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62" w:rsidRPr="00B00403" w:rsidRDefault="003D5B62" w:rsidP="003D5B62">
      <w:pPr>
        <w:pStyle w:val="PlainText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------IND- 2018 0178 S-- PL- ------ 20181122 --- --- FINAL</w:t>
      </w:r>
    </w:p>
    <w:p w:rsidR="00DE28EA" w:rsidRPr="00B06CA7" w:rsidRDefault="00DE28EA" w:rsidP="00F47340">
      <w:pPr>
        <w:pStyle w:val="BodyText"/>
        <w:rPr>
          <w:b/>
          <w:w w:val="100"/>
          <w:sz w:val="26"/>
          <w:szCs w:val="26"/>
          <w:rFonts w:ascii="Times New Roman" w:hAnsi="Times New Roman" w:cs="Times New Roman"/>
        </w:rPr>
      </w:pPr>
      <w:r>
        <w:rPr>
          <w:b/>
          <w:sz w:val="26"/>
          <w:szCs w:val="26"/>
          <w:rFonts w:ascii="Times New Roman" w:hAnsi="Times New Roman"/>
        </w:rPr>
        <w:t xml:space="preserve">LIFS 2018:4</w:t>
      </w:r>
    </w:p>
    <w:p w:rsidR="00DE28EA" w:rsidRPr="00B06CA7" w:rsidRDefault="00DE28EA" w:rsidP="00F47340">
      <w:pPr>
        <w:pStyle w:val="BodyText"/>
        <w:spacing w:after="240"/>
        <w:rPr>
          <w:w w:val="100"/>
          <w:sz w:val="16"/>
          <w:szCs w:val="19"/>
          <w:rFonts w:ascii="Times New Roman" w:hAnsi="Times New Roman" w:cs="Times New Roman"/>
        </w:rPr>
      </w:pPr>
      <w:r>
        <w:rPr>
          <w:sz w:val="16"/>
          <w:szCs w:val="19"/>
          <w:rFonts w:ascii="Times New Roman" w:hAnsi="Times New Roman"/>
        </w:rPr>
        <w:t xml:space="preserve">Opublikowano</w:t>
        <w:br/>
        <w:t xml:space="preserve">8 sierpnia 2018 r.</w:t>
      </w:r>
    </w:p>
    <w:p w:rsidR="00A457A5" w:rsidRPr="0076436D" w:rsidRDefault="00A457A5" w:rsidP="00F47340">
      <w:pPr>
        <w:pStyle w:val="Rubrik1"/>
        <w:keepNext/>
        <w:keepLines/>
        <w:widowControl/>
        <w:ind w:right="0"/>
        <w:rPr>
          <w:w w:val="100"/>
          <w:sz w:val="26"/>
          <w:szCs w:val="26"/>
          <w:rFonts w:ascii="Times New Roman" w:hAnsi="Times New Roman" w:cs="Times New Roman"/>
        </w:rPr>
      </w:pPr>
      <w:r>
        <w:rPr>
          <w:sz w:val="26"/>
          <w:szCs w:val="26"/>
          <w:rFonts w:ascii="Times New Roman" w:hAnsi="Times New Roman"/>
        </w:rPr>
        <w:t xml:space="preserve">Przepisy i zalecenia ogólne szwedzkiego Urzędu ds. Gier Losowych w sprawie loterii państwowych i loterii organizowanych w celach służących interesowi publicznemu;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uchwalono dnia 25 lipca 2018 r.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Na mocy rozdz. 16 § 3, § 8 ust. 4, § 9, § 10 ust. 1 oraz § 11 ust. 1–2 rozporządzenia w sprawie gier hazardowych (2018:1475) szwedzki Urząd ds. Gier Losowych zarządza</w:t>
      </w:r>
      <w:r w:rsidRPr="0076436D">
        <w:rPr>
          <w:rFonts w:ascii="Times New Roman" w:hAnsi="Times New Roman" w:cs="Times New Roman"/>
          <w:w w:val="100"/>
          <w:sz w:val="19"/>
          <w:szCs w:val="19"/>
          <w:vertAlign w:val="superscript"/>
        </w:rPr>
        <w:footnoteReference w:id="1"/>
      </w:r>
      <w:r>
        <w:rPr>
          <w:sz w:val="19"/>
          <w:szCs w:val="19"/>
          <w:rFonts w:ascii="Times New Roman" w:hAnsi="Times New Roman"/>
        </w:rPr>
        <w:t xml:space="preserve">, co następuje, oraz przyjmuje poniższe zalecenia ogólne.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1. Zakres stosowania i terminologia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1</w:t>
      </w:r>
      <w:r>
        <w:rPr>
          <w:sz w:val="19"/>
          <w:szCs w:val="19"/>
          <w:rFonts w:ascii="Times New Roman" w:hAnsi="Times New Roman"/>
        </w:rPr>
        <w:t xml:space="preserve"> Niniejsze przepisy i zalecenia ogólne mają zastosowanie do podmiotów posiadających zezwolenie na urządzanie loterii państwowych zgodnie z rozdz. 5 § 1 ustawy o grach hazardowych (2018:1138) oraz podmiotów posiadających zezwolenie na urządzanie loterii zgodnie z rozdz. 6 § 3 przedmiotowej ustawy.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2 </w:t>
      </w:r>
      <w:r>
        <w:rPr>
          <w:sz w:val="19"/>
          <w:szCs w:val="19"/>
          <w:rFonts w:ascii="Times New Roman" w:hAnsi="Times New Roman"/>
        </w:rPr>
        <w:t xml:space="preserve">Jeżeli nie określono inaczej, terminy i nazwy użyte w niniejszych przepisach mają takie samo znaczenie jak w ustawie o grach hazardowych (2018:1138) i rozporządzeniu w sprawie gier hazardowych (2018:1475).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niniejszych przepisach i zaleceniach ogólnych przyjęto następujące definicje: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ukryte zabezpieczenie widoczne w świetle UV</w:t>
      </w:r>
      <w:r>
        <w:rPr>
          <w:sz w:val="19"/>
          <w:szCs w:val="19"/>
          <w:rFonts w:ascii="Times New Roman" w:hAnsi="Times New Roman"/>
        </w:rPr>
        <w:t xml:space="preserve">: niewidoczny gołym okiem obraz lub wzór, który jest pokryty farbą fluorescencyjną UV.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Obraz/wzór jest widoczny wyłącznie po podświetleniu go światłem UV o długości fali 365 nm i fluoryzuje w kolorze różniącym się od koloru tła, na którym jest wydrukowany,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loteria/los o wygranej nieustalonej z góry:</w:t>
      </w:r>
      <w:r>
        <w:rPr>
          <w:sz w:val="19"/>
          <w:szCs w:val="19"/>
          <w:rFonts w:ascii="Times New Roman" w:hAnsi="Times New Roman"/>
        </w:rPr>
        <w:t xml:space="preserve"> niezasłonięty los, dla którego wygrana ustalana jest po zakupie,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los elektroniczny</w:t>
      </w:r>
      <w:r>
        <w:rPr>
          <w:sz w:val="19"/>
          <w:szCs w:val="19"/>
          <w:rFonts w:ascii="Times New Roman" w:hAnsi="Times New Roman"/>
        </w:rPr>
        <w:t xml:space="preserve">: fizyczny nośnik losu, na którym może znajdować się jeden los lub większa ich liczba i który zawiera elementy elektroniczne,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losowanie wygranych:</w:t>
      </w:r>
      <w:r>
        <w:rPr>
          <w:sz w:val="19"/>
          <w:szCs w:val="19"/>
          <w:rFonts w:ascii="Times New Roman" w:hAnsi="Times New Roman"/>
        </w:rPr>
        <w:t xml:space="preserve"> losowanie, w którym bierze udział zakupiony los, i w ramach którego ustala się wygraną,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los o z góry ustalonej wygranej:</w:t>
      </w:r>
      <w:r>
        <w:rPr>
          <w:sz w:val="19"/>
          <w:szCs w:val="19"/>
          <w:rFonts w:ascii="Times New Roman" w:hAnsi="Times New Roman"/>
        </w:rPr>
        <w:t xml:space="preserve"> zasłonięty los, w odniesieniu do którego nabywca może od razu stwierdzić, czy jest to los wygrywający, czy przegrywający,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chemiczne zabezpieczenie przed ścieraniem</w:t>
      </w:r>
      <w:r>
        <w:rPr>
          <w:sz w:val="19"/>
          <w:szCs w:val="19"/>
          <w:rFonts w:ascii="Times New Roman" w:hAnsi="Times New Roman"/>
        </w:rPr>
        <w:t xml:space="preserve">: papier zawierający środki chemiczne, które aktywują się w momencie narażenia ich na działanie rozpuszczalników lub środków utleniających (alkoholu, kwasów, węglowodorów, chloru, surfaktantów itp.), powodując przebarwienie papieru,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zabezpieczenie przed kopiowaniem</w:t>
      </w:r>
      <w:r>
        <w:rPr>
          <w:sz w:val="19"/>
          <w:szCs w:val="19"/>
          <w:rFonts w:ascii="Times New Roman" w:hAnsi="Times New Roman"/>
        </w:rPr>
        <w:t xml:space="preserve">: zabezpieczenia dokumentów, które w przypadku kopiowania ulegają zmianie lub stają się uszkodzone,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odsłonięcie</w:t>
      </w:r>
      <w:r>
        <w:rPr>
          <w:sz w:val="19"/>
          <w:szCs w:val="19"/>
          <w:rFonts w:ascii="Times New Roman" w:hAnsi="Times New Roman"/>
        </w:rPr>
        <w:t xml:space="preserve">: usunięcie warstw, na przykład warstwy przeznaczonej do zdrapania, pod którymi znajdują się informacje dotyczące gry,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mikrodruk: </w:t>
      </w:r>
      <w:r>
        <w:rPr>
          <w:sz w:val="19"/>
          <w:szCs w:val="19"/>
          <w:rFonts w:ascii="Times New Roman" w:hAnsi="Times New Roman"/>
        </w:rPr>
        <w:t xml:space="preserve">drobny tekst o maksymalnej wysokości 0,30 mm i minimalnej długości 35 mm, który dla gołego oka wygląda jak linia, a w powiększeniu jest w całości łatwo odczytywalny,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druk wypukły lub wklęsły:</w:t>
      </w:r>
      <w:r>
        <w:rPr>
          <w:sz w:val="19"/>
          <w:szCs w:val="19"/>
          <w:rFonts w:ascii="Times New Roman" w:hAnsi="Times New Roman"/>
        </w:rPr>
        <w:t xml:space="preserve"> litery, cyfry lub symbole wykonane przy użyciu grubej warstwy tuszu sprawiającej, że powierzchnia papieru staje się wypukła, lub litery, cyfry lub symbole wytłoczone na powierzchni papieru i sprawiające, że staje się ona wklęsła,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rFonts w:ascii="Times New Roman" w:hAnsi="Times New Roman"/>
        </w:rPr>
        <w:t xml:space="preserve">reprodukcja:</w:t>
      </w:r>
      <w:r>
        <w:rPr>
          <w:sz w:val="19"/>
          <w:szCs w:val="19"/>
          <w:rFonts w:ascii="Times New Roman" w:hAnsi="Times New Roman"/>
        </w:rPr>
        <w:t xml:space="preserve"> odwzorowanie obrazu przy wykorzystaniu urządzeń technicznych oraz jego późniejszy druk,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informacje dotyczące gry</w:t>
      </w:r>
      <w:r>
        <w:rPr>
          <w:sz w:val="19"/>
          <w:szCs w:val="19"/>
          <w:rFonts w:ascii="Times New Roman" w:hAnsi="Times New Roman"/>
        </w:rPr>
        <w:t xml:space="preserve">: znajdujące się na losie informacje, które przesądzają o tym, czy jest to los wygrywający, czy przegrywający,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znak wodny</w:t>
      </w:r>
      <w:r>
        <w:rPr>
          <w:sz w:val="19"/>
          <w:szCs w:val="19"/>
          <w:rFonts w:ascii="Times New Roman" w:hAnsi="Times New Roman"/>
        </w:rPr>
        <w:t xml:space="preserve">: obrazy lub wzory uzyskiwane w toku procesu produkcji papieru, które ujawniają się w świetle przechodzącym.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Obraz/wzór uzyskuje się przez zastosowanie różnych grubości w poszczególnych częściach papieru: jego grubsze części wydają się ciemniejsze, a cieńsze – jaśniejsze,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wzór zabezpieczający</w:t>
      </w:r>
      <w:r>
        <w:rPr>
          <w:sz w:val="19"/>
          <w:szCs w:val="19"/>
          <w:rFonts w:ascii="Times New Roman" w:hAnsi="Times New Roman"/>
        </w:rPr>
        <w:t xml:space="preserve">: cienkie linie w co najmniej dwóch kolorach, które łączą się ze sobą pod kątami ostrymi, przy czym maksymalna szerokość linii może wynosić 0,10 mm.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Może przyjmować także formę reliefową, tj. cienkich, ciągłych linii tworzących pewien motyw, który daje wrażenie wypukłości lub wklęsłości (trójwymiarowości),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i/>
          <w:iCs/>
          <w:rFonts w:ascii="Times New Roman" w:hAnsi="Times New Roman"/>
        </w:rPr>
        <w:t xml:space="preserve">nadruk</w:t>
      </w:r>
      <w:r>
        <w:rPr>
          <w:sz w:val="19"/>
          <w:szCs w:val="19"/>
          <w:rFonts w:ascii="Times New Roman" w:hAnsi="Times New Roman"/>
        </w:rPr>
        <w:t xml:space="preserve">: nadrukowany obraz lub wzór umieszczany po górnej stronie warstwy przeznaczonej do zdrapania bądź jej odpowiednika, zaprojektowany w taki sposób, aby dawać jasną wskazówkę, czy warstwa przeznaczona do zdrapania została odsłonięta.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2. Postanowienia szczególne w odniesieniu do loterii organizowanych w celach służących interesowi publicznemu</w:t>
      </w:r>
    </w:p>
    <w:p w:rsidR="00A457A5" w:rsidRPr="0076436D" w:rsidRDefault="00A457A5" w:rsidP="00F47340">
      <w:pPr>
        <w:pStyle w:val="Brdtexthalv"/>
        <w:rPr>
          <w:b/>
          <w:bCs/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1</w:t>
      </w:r>
      <w:r>
        <w:rPr>
          <w:sz w:val="19"/>
          <w:szCs w:val="19"/>
          <w:rFonts w:ascii="Times New Roman" w:hAnsi="Times New Roman"/>
        </w:rPr>
        <w:t xml:space="preserve"> Przed rozpoczęciem sprzedaży losów w loterii organizowanej w celach służących interesowi publicznemu zgodnie z rozdz. 6 § 3 ustawy o grach hazardowych (2018:1138) wyznacza się rewidenta.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Do obowiązków rewidenta należy zbadanie ksiąg rachunkowych loterii oraz sporządzenie sprawozdania z wykonanego badania.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przypadkach, gdy szacuje się, że obrót odnośnej loterii przekroczy pięć (5) milionów koron, wyznaczony rewident powinien mieć status biegłego rewidenta.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Badanie powinno być przeprowadzone zgodnie z instrukcjami Inspekcji Gier Hazardowych dla rewidentów badających loterie organizowane w celach służących interesowi publicznemu.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2</w:t>
      </w:r>
      <w:r>
        <w:rPr>
          <w:sz w:val="19"/>
          <w:szCs w:val="19"/>
          <w:rFonts w:ascii="Times New Roman" w:hAnsi="Times New Roman"/>
        </w:rPr>
        <w:t xml:space="preserve"> Po zakończeniu loterii posiadacz zezwolenia sporządza sprawozdanie finansowe i przedkłada Inspekcji Gier Hazardowych sprawozdanie z wykonanego badania.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3. Plan wygranych, wygrane, losowanie i wyniki losowania</w:t>
      </w:r>
    </w:p>
    <w:p w:rsidR="00A457A5" w:rsidRPr="0076436D" w:rsidRDefault="00A457A5" w:rsidP="00F47340">
      <w:pPr>
        <w:pStyle w:val="Rubrik40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Plan wygranych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1</w:t>
      </w:r>
      <w:r>
        <w:rPr>
          <w:sz w:val="19"/>
          <w:szCs w:val="19"/>
          <w:rFonts w:ascii="Times New Roman" w:hAnsi="Times New Roman"/>
        </w:rPr>
        <w:t xml:space="preserve"> Losy drukowane lub elektroniczne muszą być zgodne z ustalonym planem wygranych.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Losy wygrywające nie mogą być dostarczane oddzielnie od losów przegrywających.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Wygrane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2</w:t>
      </w:r>
      <w:r>
        <w:rPr>
          <w:sz w:val="19"/>
          <w:szCs w:val="19"/>
          <w:rFonts w:ascii="Times New Roman" w:hAnsi="Times New Roman"/>
        </w:rPr>
        <w:t xml:space="preserve"> Jeżeli w odnośnej loterii możliwe są inne wygrane niż wygrane pieniężne, wycenia się je według wartości rynkowej.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przypadku trudnych do wycenienia wygranych wycenę zleca się niezależnemu ekspertowi.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Wygrana w formie np. dzieła sztuki czy innych nagród materialnych mogą być dla posiadacza zezwolenia trudne do wycenienia.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Loterie o wygranej nieustalonej z góry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3</w:t>
      </w:r>
      <w:r>
        <w:rPr>
          <w:sz w:val="19"/>
          <w:szCs w:val="19"/>
          <w:rFonts w:ascii="Times New Roman" w:hAnsi="Times New Roman"/>
        </w:rPr>
        <w:t xml:space="preserve"> Jeżeli wyniki losowania opierają się wyłącznie na sprzedanych losach, wówczas przed rozpoczęciem losowania dokumentuje się niesprzedane losy.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Protokołowanie, zmienianie i uniewaważnianie wyników losowania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4</w:t>
      </w:r>
      <w:r>
        <w:rPr>
          <w:sz w:val="19"/>
          <w:szCs w:val="19"/>
          <w:rFonts w:ascii="Times New Roman" w:hAnsi="Times New Roman"/>
        </w:rPr>
        <w:t xml:space="preserve"> Wynik losowania dokumentuje się w protokole z losowania.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Protokół przechowuje się przez cały okres ważności zezwolenia.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5</w:t>
      </w:r>
      <w:r>
        <w:rPr>
          <w:sz w:val="19"/>
          <w:szCs w:val="19"/>
          <w:rFonts w:ascii="Times New Roman" w:hAnsi="Times New Roman"/>
        </w:rPr>
        <w:t xml:space="preserve"> Wyników losowania nie można zmieniać.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przypadku wystąpienia błędów zmieniających wyniki losowania, losowanie unieważnia się, pod warunkiem że unieważnienie ma miejsce przed ich podaniem do wiadomości publicznej.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przypadku unieważnienia wyników losowania zgodnie z akapitem drugim, podstawy do unieważnienia oraz unieważnione wyniki przechowuje się przez cały okres ważności zezwolenia.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4. Cechy losów fizycznych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1</w:t>
      </w:r>
      <w:r>
        <w:rPr>
          <w:sz w:val="19"/>
          <w:szCs w:val="19"/>
          <w:rFonts w:ascii="Times New Roman" w:hAnsi="Times New Roman"/>
        </w:rPr>
        <w:t xml:space="preserve"> Każdy los biorący udział w losowaniu wygranych musi być unikatowy.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Każdy los biorący udział w losowaniu musi być przypisany do zestawu bądź rundy zgodnie z przyznanym zezwoleniem.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2</w:t>
      </w:r>
      <w:r>
        <w:rPr>
          <w:sz w:val="19"/>
          <w:szCs w:val="19"/>
          <w:rFonts w:ascii="Times New Roman" w:hAnsi="Times New Roman"/>
        </w:rPr>
        <w:t xml:space="preserve"> Losy drukowane lub elektroniczne nie mogą mieć żadnych uszkodzeń fizycznych ani oznaczeń, które umożliwiałyby oddzielenie losów wygrywających.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Niemożliwe powinno być odczytanie informacji o grze na zasłoniętym losie.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Zasłonięte losy muszą być zabezpieczone przed naruszeniami lub reprodukcją.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3</w:t>
      </w:r>
      <w:r>
        <w:rPr>
          <w:sz w:val="19"/>
          <w:szCs w:val="19"/>
          <w:rFonts w:ascii="Times New Roman" w:hAnsi="Times New Roman"/>
        </w:rPr>
        <w:t xml:space="preserve"> Jeżeli losy mają braki jakościowe, prowadzące do niespełnienia warunków homologacji typu, należy zatrzymać produkcję oraz unieważnić wyprodukowane losy.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4</w:t>
      </w:r>
      <w:r>
        <w:rPr>
          <w:sz w:val="19"/>
          <w:szCs w:val="19"/>
          <w:rFonts w:ascii="Times New Roman" w:hAnsi="Times New Roman"/>
        </w:rPr>
        <w:t xml:space="preserve"> W odniesieniu do zasłoniętych losów o z góry ustalonej wygranej, w przypadku których najwyższa wygrana przekracza jednokrotność (1-krotność) wartości wygranej dla stawki podstawowej zastosowanie mają następujące przepisy: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ponowne zasłonięcie otwartego losu nie powinno być możliwe,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odczytanie informacji o grze w świetle przechodzącym nie powinno być możliwe,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informacje o grze nie mogą dawać efektu wypukłości lub wklęsłości na zewnętrznej powierzchni zasłaniającej,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 powinien mieć zabezpieczenie przed kopiowaniem,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 powinien mieć ukryte zabezpieczenie widoczne w świetle UV,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na polu przeznaczonym do zdrapania powinien znajdować się nadruk zasłaniający informacje o grze i pola kontrolne,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zasłonięte pola kontrolne powinny być zabezpieczone przed odsłonięciem i odczytaniem,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odczytanie informacji o grze z wykorzystaniem ładunków elektrostatycznych nie powinno być możliwe,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informacje o grze powinny być umieszczane w różnych miejscach,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informacje o grze powinny być zabezpieczone przed możliwością ich zmiany oraz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na losie należy umieścić mikrodruk.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Zabezpieczenie przed kopiowaniem mogą stanowić trudne do skopiowania kolory, „pułapki rastrowe”, nadruki bądź lakier dający różne odbicia, np. błyszczący lakier na matowym bądź specjalnym papierze.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u w:val="thick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Mikrodruk można umieścić w polu przeznaczonym do zdrapania.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5</w:t>
      </w:r>
      <w:r>
        <w:rPr>
          <w:sz w:val="19"/>
          <w:szCs w:val="19"/>
          <w:rFonts w:ascii="Times New Roman" w:hAnsi="Times New Roman"/>
        </w:rPr>
        <w:t xml:space="preserve"> W odniesieniu do losów o wygranej nieustalonej z góry, w przypadku których najwyższa wygrana przekracza jednokrotność (1-krotność) wartości wygranej dla stawki podstawowej zastosowanie mają następujące przepisy: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 powinien mieć zabezpieczenie przed kopiowaniem,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 powinien mieć ukryte zabezpieczenie widoczne w świetle UV,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na losie należy umieścić wzór zabezpieczający,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informacje o grze powinny być zabezpieczone przed możliwością ich zmiany,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na losie należy umieścić mikrodruk,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 powinien być wykonany z papieru ze znakiem wodnym lub z papieru mającego równoważne zabezpieczenie oraz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papier powinien być zabezpieczony przed ścieraniem z wykorzystaniem środków chemicznych.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Zabezpieczenie przed kopiowaniem mogą stanowić trudne do skopiowania kolory, „pułapki rastrowe”, nadruki bądź lakier dający różne odbicia, np. błyszczący lakier na matowym bądź specjalnym papierze.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Mikrodruk można umieścić w polu przeznaczonym do zdrapania.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Równoważne zabezpieczenie może składać się z kombinacji różnych środków zabezpieczających, które razem dają ochronę przed kopiowaniem równoważną do papieru ze znakiem wodnym.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6</w:t>
      </w:r>
      <w:r>
        <w:rPr>
          <w:sz w:val="19"/>
          <w:szCs w:val="19"/>
          <w:rFonts w:ascii="Times New Roman" w:hAnsi="Times New Roman"/>
        </w:rPr>
        <w:t xml:space="preserve"> W odniesieniu do losów elektronicznych, w przypadku których najwyższa wygrana przekracza 1/6-krotność wartości wygranej dla stawki podstawowej zastosowanie mają następujące przepisy: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po aktywacji lub przywrócenia losów powinny pozostać wyraźne ślady,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 powinien mieć ukryte zabezpieczenie widoczne w świetle UV,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 powinien mieć zabezpieczenie przed kopiowaniem,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los powinien mieć pola kontrolne z nadrukiem,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podzespoły elektroniczne i wyświetlacze powinny być zabezpieczone przed manipulacjami oraz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na losie należy umieścić mikrodruk.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Zabezpieczenie przed kopiowaniem mogą stanowić trudne do skopiowania kolory, „pułapki rastrowe”, nadruki bądź lakier dający różne odbicia, np. błyszczący lakier na matowym bądź specjalnym papierze.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Mikrodruk można umieścić w polu przeznaczonym do zdrapania.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5. Postępowanie z losami</w:t>
      </w:r>
      <w:r>
        <w:rPr>
          <w:sz w:val="21"/>
          <w:szCs w:val="21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Rubrik40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Postępowanie z gotowymi losami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b/>
          <w:bCs/>
          <w:rFonts w:ascii="Times New Roman" w:hAnsi="Times New Roman"/>
        </w:rPr>
        <w:t xml:space="preserve">1</w:t>
      </w:r>
      <w:r>
        <w:rPr>
          <w:sz w:val="19"/>
          <w:szCs w:val="19"/>
          <w:rFonts w:ascii="Times New Roman" w:hAnsi="Times New Roman"/>
        </w:rPr>
        <w:t xml:space="preserve"> Należy ustalić udokumentowane procedury dotyczące postępowania z gotowymi losami.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Procedury stosuje się także do losów częściowo gotowych.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2</w:t>
      </w:r>
      <w:r>
        <w:rPr>
          <w:sz w:val="19"/>
          <w:szCs w:val="19"/>
          <w:rFonts w:ascii="Times New Roman" w:hAnsi="Times New Roman"/>
        </w:rPr>
        <w:t xml:space="preserve"> W trakcie generowania danych gry nieupoważnione osoby nie mogą mieć pełnego wglądu do informacji na temat wygranych znajdujących się na gotowych losach.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3</w:t>
      </w:r>
      <w:r>
        <w:rPr>
          <w:sz w:val="19"/>
          <w:szCs w:val="19"/>
          <w:rFonts w:ascii="Times New Roman" w:hAnsi="Times New Roman"/>
        </w:rPr>
        <w:t xml:space="preserve"> Gotowe produkty i inne materiały wrażliwe przechowuje się w bezpieczny i odpowiedni do swojego celu sposób.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Karty, kody, klucze itp. do miejsc obsługiwania lub przechowywania fizycznych losów kontroluje się, tak aby osoby nieupoważnione nie miały do nich dostępu.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4</w:t>
      </w:r>
      <w:r>
        <w:rPr>
          <w:sz w:val="19"/>
          <w:szCs w:val="19"/>
          <w:rFonts w:ascii="Times New Roman" w:hAnsi="Times New Roman"/>
        </w:rPr>
        <w:t xml:space="preserve"> Losy fizyczne pakuje się w taki sposób, aby w celu uzyskania dostępu do pojedynczego losu konieczne było zerwanie zewnętrznej folii albo podobnego zabezpieczenia.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Jeżeli losy fizyczne pakowane są na paletę, wówczas zasłania się ją w taki sposób, aby nie dało się zobaczyć, co się na niej znajduje.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Wszelkie złamanie pieczęci lub zerwanie osłony dokumentuje się.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5</w:t>
      </w:r>
      <w:r>
        <w:rPr>
          <w:sz w:val="19"/>
          <w:szCs w:val="19"/>
          <w:rFonts w:ascii="Times New Roman" w:hAnsi="Times New Roman"/>
        </w:rPr>
        <w:t xml:space="preserve"> Transport gotowych losów fizycznych odbywa się w sposób bezpieczny.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Transport gotowych losów powinno się zlecić renomowanemu przewoźnikowi, który ma możliwość zaplombowania swoich pojazdów.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Wybór trasy powinien być kontrolowany, aby przewoźnik nie wybrał bardziej ryzykownego wariantu, przykładowo w celu uzyskania dodatkowych korzyści ekonomicznych.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Należy unikać przerw na trasie.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Dostawę powinno się zaplanować w taki sposób, aby towar można było rozładować i umieścić w bezpiecznym miejscu natychmiast po przywozie.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Należy unikać tymczasowych postojów samochodów ciężarowych nocą ani w żadnym innym czasie.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Obsługa niesprzedanych losów oraz zrealizowanych losów wygrywających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b/>
          <w:bCs/>
          <w:rFonts w:ascii="Times New Roman" w:hAnsi="Times New Roman"/>
        </w:rPr>
        <w:t xml:space="preserve">6</w:t>
      </w:r>
      <w:r>
        <w:rPr>
          <w:sz w:val="19"/>
          <w:szCs w:val="19"/>
          <w:rFonts w:ascii="Times New Roman" w:hAnsi="Times New Roman"/>
        </w:rPr>
        <w:t xml:space="preserve"> Należy ustalić udokumentowane procedury dotyczące postępowania z niesprzedanymi losami i zrealizowanymi losami wygrywającymi.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Niesprzedane losy i zrealizowane losy wygrywające niszczy się w najszybszym możliwym czasie po zakończeniu loterii.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Jeżeli wygrane zatwierdzane są w systemie gry, uznaje się to za równoważne ze zniszczeniem, o którym mowa w akapicie drugim.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Postępowanie z uszkodzonymi losami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b/>
          <w:bCs/>
          <w:rFonts w:ascii="Times New Roman" w:hAnsi="Times New Roman"/>
        </w:rPr>
        <w:t xml:space="preserve">7</w:t>
      </w:r>
      <w:r>
        <w:rPr>
          <w:sz w:val="19"/>
          <w:szCs w:val="19"/>
          <w:rFonts w:ascii="Times New Roman" w:hAnsi="Times New Roman"/>
        </w:rPr>
        <w:t xml:space="preserve"> Należy ustalić udokumentowane procedury dotyczące postępowania z losami uszkodzonymi w trakcie produkcji lub dostawy.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przypadku wymiany losów uszkodzonych w trakcie produkcji lub dostawy plan i podział wygranych, jak również liczba losów musi się w dalszym ciągu zgadzać z zamówieniem.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Uszkodzone losy fizyczne dokumentuje się i niszczy.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Postępowanie z odpadami drukarskimi i innym wyposażeniem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8</w:t>
      </w:r>
      <w:r>
        <w:rPr>
          <w:sz w:val="19"/>
          <w:szCs w:val="19"/>
          <w:rFonts w:ascii="Times New Roman" w:hAnsi="Times New Roman"/>
        </w:rPr>
        <w:t xml:space="preserve"> Należy ustalić udokumentowane procedury dotyczące postępowania z odpadami drukarskimi i innym wyposażeniem wykorzystywanym do produkcji fizycznych losów.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Wszystkie odpady drukarskie dokumentuje się i niszczy.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Postępowanie ze zużytymi nośnikami informacji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9</w:t>
      </w:r>
      <w:r>
        <w:rPr>
          <w:sz w:val="19"/>
          <w:szCs w:val="19"/>
          <w:rFonts w:ascii="Times New Roman" w:hAnsi="Times New Roman"/>
        </w:rPr>
        <w:t xml:space="preserve"> Należy ustalić udokumentowane procedury dotyczące postępowania ze zużytymi, nieużywanymi systemami generowania danych na losy fizyczne i zatwierdzania drukowanych losów fizycznych.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Zarządzanie plikami zawierającymi informacje o wygranych odbywa się w taki sposób, że żadna osoba nieupoważniona nie będzie mogła skopiować informacji lub w inny sposób ich nadużyć bądź uszkodzić.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Niszczenie losów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b/>
          <w:bCs/>
          <w:rFonts w:ascii="Times New Roman" w:hAnsi="Times New Roman"/>
        </w:rPr>
        <w:t xml:space="preserve">10</w:t>
      </w:r>
      <w:r>
        <w:rPr>
          <w:sz w:val="19"/>
          <w:szCs w:val="19"/>
          <w:rFonts w:ascii="Times New Roman" w:hAnsi="Times New Roman"/>
        </w:rPr>
        <w:t xml:space="preserve"> Należy ustalić udokumentowane procedury dotyczące niszczenia losów.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Przy niszczeniu powinny być obecne co najmniej dwie osoby.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6. Informacje przekazywane agentowi</w:t>
      </w:r>
      <w:r>
        <w:rPr>
          <w:sz w:val="21"/>
          <w:szCs w:val="21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1</w:t>
      </w:r>
      <w:r>
        <w:rPr>
          <w:sz w:val="19"/>
          <w:szCs w:val="19"/>
          <w:rFonts w:ascii="Times New Roman" w:hAnsi="Times New Roman"/>
        </w:rPr>
        <w:t xml:space="preserve"> Agent posiadacza zezwolenia musi posiadać wiedzę na temat stosownych fragmentów ustawy (2018:1138) o grach hazardowych, rozporządzenia (2018:1475), przepisów, zaleceń ogólnych i warunków, które mają zastosowanie w odniesieniu do posiadacza zezwolenia, jak również na temat wewnętrznych zasad i wskazówek dotyczących działania agenta, ustalonych przez posiadacza zezwolenia.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Stosowne fragmenty ustawy o grach hazardowych, rozporządzeń i przepisów to np. wymóg ukończenia 18 lat, aby uczestniczyć w grze hazardowej, zakaz grania na kredyt, skąd gracz może uzyskać informację i pomoc w zakresie samooceny, samowykluczenia i w przypadku innych problemów związanych z graniem.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7. Konto gracza a tymczasowe konto gracza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1</w:t>
      </w:r>
      <w:r>
        <w:rPr>
          <w:sz w:val="19"/>
          <w:szCs w:val="19"/>
          <w:rFonts w:ascii="Times New Roman" w:hAnsi="Times New Roman"/>
        </w:rPr>
        <w:t xml:space="preserve"> Jeden gracz może posiadać tylko jedno konto gracza.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Akapit pierwszy nie ma zastosowania w przypadku, gdy posiadacz zezwolenia oferuje gry hazardowe pod różnymi adresami internetowymi.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W takim przypadku gracz może posiadać więcej niż jedno konto w systemie posiadacza zezwolenia, pod warunkiem że posiadacz: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jest zdolny do zidentyfikowania i zdefiniowania dla gracza osobnych kont;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zagwarantuje, że gracz po podjęciu decyzji o wykluczeniu się z gry zgodnie z rozdz. 14 § 11 ustawy (2018:1138) o grach hazardowych zostanie wykluczony ze wszystkich gier oferowanych przez posiadacza zezwolenia, chyba że gracz aktywnie zdecyduje, że wykluczenie dotyczy tylko jednej lub kilku określonych gier; a także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jest zdolny do monitorowania zachowań hazardowych i transakcji na wszystkich osobnych kontach odnośnego gracza.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2</w:t>
      </w:r>
      <w:r>
        <w:rPr>
          <w:sz w:val="19"/>
          <w:szCs w:val="19"/>
          <w:rFonts w:ascii="Times New Roman" w:hAnsi="Times New Roman"/>
        </w:rPr>
        <w:t xml:space="preserve"> Na tymczasowe konto gracz nie może wpłacić więcej niż 1/4 wartości kwoty bazowej wygranej.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3</w:t>
      </w:r>
      <w:r>
        <w:rPr>
          <w:sz w:val="19"/>
          <w:szCs w:val="19"/>
          <w:b/>
          <w:bCs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Gracza, który posiada tymczasowe konto gracza, należy w ciągu 15 dni od rejestracji wezwać do przedstawienia dokumentów poświadczających prawdziwość danych podanych przy rejestracji.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Maksymalny okres użytkowania tymczasowego konta gracza do grania w gry hazardowe wynosi 30 dni.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8. Informacje przekazywane graczom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1</w:t>
      </w:r>
      <w:r>
        <w:rPr>
          <w:sz w:val="19"/>
          <w:szCs w:val="19"/>
          <w:rFonts w:ascii="Times New Roman" w:hAnsi="Times New Roman"/>
        </w:rPr>
        <w:t xml:space="preserve"> Posiadacz zezwolenia, oprócz informacji określonych w rozdz. 14 § 4 ustawy o grach hazardowych (2018:1138), zobowiązany jest do stałego udostępniania graczowi następujących danych: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nazwa, numer telefonu i adres poczty elektronicznej podmiotu posiadającego zezwolenie;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stosownych przypadkach dane beneficjenta;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okres sprzedaży lub okres ważności zezwolenia;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rodzaje ryzyka, które wiążą się z grami hazardowymi, w których stawką są pieniądze,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telefonu zaufania dla osób uzależnionych od hazardu, niezależnego od działalności hazardowej posiadacza zezwolenia, oferującego pomoc adekwatną do szwedzkich warunków hazardowych;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informacja o roli Inspekcji Gier Hazardowych: wydawaniu zezwoleń i prowadzeniu nadzoru;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ceny losów, stawki bądź ich odpowiedniki w odnośnej grze;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ewentualne inne koszty udziału w odnośnej loterii; oraz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stosownych przypadkach liczba losów lub podobnych elementów.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Jeżeli wygrana nie jest wydawana niezwłocznie, graczowi przekazuje się także informacje o terminie i sposobie wydawania wygranych, a także o ostatnim dniu ich wydawania.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przypadku loterii o wygranej nieustalonej z góry oraz loterii bezlosowych przekazuje się także informacje o terminie i sposobie opublikowania wyników losowania oraz o terminie ewentualnego losowania wygranych.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Rolę niezależnego telefonu zaufania może pełnić np. linia </w:t>
      </w:r>
      <w:r>
        <w:rPr>
          <w:sz w:val="19"/>
          <w:szCs w:val="19"/>
          <w:i/>
          <w:rFonts w:ascii="Times New Roman" w:hAnsi="Times New Roman"/>
        </w:rPr>
        <w:t xml:space="preserve">Stödlinjen</w:t>
      </w:r>
      <w:r>
        <w:rPr>
          <w:sz w:val="19"/>
          <w:szCs w:val="19"/>
          <w:rFonts w:ascii="Times New Roman" w:hAnsi="Times New Roman"/>
        </w:rPr>
        <w:t xml:space="preserve">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2</w:t>
      </w:r>
      <w:r>
        <w:rPr>
          <w:sz w:val="19"/>
          <w:szCs w:val="19"/>
          <w:rFonts w:ascii="Times New Roman" w:hAnsi="Times New Roman"/>
        </w:rPr>
        <w:t xml:space="preserve"> Na losach fizycznych lub ich odpowiednikach dane, o których mowa w § 1 podaje się w sposób czytelny i dobrze widoczny.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Dopuszcza się jednak podawanie danych, o których mowa w § 1 ust. 2, 4 i 6 w inny sposób niż na losach, pod warunkiem że umieści się na nich informację o miejscu ich udostępnienia.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Na losach fizycznych w sposób czytelny i dobrze widoczny umieszcza się plan wygranych.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Dane ewentualnego zleceniobiorcy w rozumieniu rozdz. 11 § 6 ustawy o grach hazardowych (2018:1138) podaje się wyłącznie, gdy jest to konieczne, by gracz mógł dochodzić swych praw.</w:t>
      </w:r>
    </w:p>
    <w:p w:rsidR="00A457A5" w:rsidRPr="0076436D" w:rsidRDefault="00DE28EA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Plan wygranych może znajdować się np. na tylnej stronie losu fizycznego.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Gracz powinien móc łatwo zorientować się, jaki podmiot posiada zezwolenie na urządzanie loterii bądź jaki podmiot jest jej beneficjentem.</w:t>
      </w:r>
      <w:r>
        <w:rPr>
          <w:sz w:val="19"/>
          <w:szCs w:val="19"/>
          <w:rFonts w:ascii="Times New Roman" w:hAnsi="Times New Roman"/>
        </w:rPr>
        <w:t xml:space="preserve"> </w:t>
      </w:r>
      <w:r>
        <w:rPr>
          <w:sz w:val="19"/>
          <w:szCs w:val="19"/>
          <w:rFonts w:ascii="Times New Roman" w:hAnsi="Times New Roman"/>
        </w:rPr>
        <w:t xml:space="preserve">Informacje o posiadaczu zezwolenia lub beneficjencie mogą być umieszczone np. na przedniej stronie fizycznego losu.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3</w:t>
      </w:r>
      <w:r>
        <w:rPr>
          <w:sz w:val="19"/>
          <w:szCs w:val="19"/>
          <w:rFonts w:ascii="Times New Roman" w:hAnsi="Times New Roman"/>
        </w:rPr>
        <w:t xml:space="preserve"> Jeśli gracz zakupi losy wymagające rejestracji zgodnie z rozdz. 12 § 1 ustawy o grach hazardowych (2018:1138), przed zarejestrowaniem gracza przedstawia mu się informacje, o których mowa w § 1 ust. 4-6 oraz informuje się go o możliwości ustawienia limitu uczestnictwa w grze zgodnie z rozdz. 14 § 7, § 11 akapitem pierwszym, § 12 ustawy o grach hazardowych oraz rozdz. 11 § 3 rozporządzenia w sprawie gier hazardowych (2018:1475).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4</w:t>
      </w:r>
      <w:r>
        <w:rPr>
          <w:sz w:val="19"/>
          <w:szCs w:val="19"/>
          <w:rFonts w:ascii="Times New Roman" w:hAnsi="Times New Roman"/>
        </w:rPr>
        <w:t xml:space="preserve"> W przypadku loterii online informacje określone w § 1 akapicie pierwszym pkt. 1-3 i 5 umieszcza się w widocznym miejscu na stronie głównej podmiotu posiadającego zezwolenie, tak samo jak logotyp Inspekcji Gier Hazardowych odsyłający do strony internetowej Urzędu.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5</w:t>
      </w:r>
      <w:r>
        <w:rPr>
          <w:sz w:val="19"/>
          <w:szCs w:val="19"/>
          <w:rFonts w:ascii="Times New Roman" w:hAnsi="Times New Roman"/>
        </w:rPr>
        <w:t xml:space="preserve"> W przypadku zmiany obowiązujących warunków użytkowania, jeśli zmiany nie są nieznaczące, gracza informuje się o nich przed wprowadzeniem ich w życie.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Zalecenie ogólne: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Za zmianę, która jest nieznacząca uważa się np. poprawienie błędu ortograficznego.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Gracza można poinformować o zmianach w warunkach użytkowania np. poprzez ich pisemne przedstawienie graczowi bądź zażądanie od niego zgody na nowe warunki użytkowania w momencie logowania.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szCs w:val="21"/>
          <w:rFonts w:ascii="Times New Roman" w:hAnsi="Times New Roman"/>
        </w:rPr>
        <w:t xml:space="preserve">Rozdział 9. Informacje generowane w raportach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1</w:t>
      </w:r>
      <w:r>
        <w:rPr>
          <w:sz w:val="19"/>
          <w:szCs w:val="19"/>
          <w:rFonts w:ascii="Times New Roman" w:hAnsi="Times New Roman"/>
        </w:rPr>
        <w:t xml:space="preserve"> Posiadacz zezwolenie obowiązany jest rejestrować i być w stanie wygenerować w formie raportów następujące informacje w odniesieniu do zestawów losów bądź rund albo podobnych jednostek zgodnie z przyznanym zezwoleniem.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całkowita liczba wydrukowanych losów zgodnie z planem wygranych;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całkowita liczba sprzedanych losów;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łączna suma wpływów ze sprzedanych losów;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łączna suma wypłaconych wygranych;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łączna suma wypłaconych wygranych na każdym poziomie zgodnie z planem wygranych;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rzeczywisty procent zwrotu.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b/>
          <w:bCs/>
          <w:rFonts w:ascii="Times New Roman" w:hAnsi="Times New Roman"/>
        </w:rPr>
        <w:t xml:space="preserve">§ 2</w:t>
      </w:r>
      <w:r>
        <w:rPr>
          <w:sz w:val="19"/>
          <w:szCs w:val="19"/>
          <w:rFonts w:ascii="Times New Roman" w:hAnsi="Times New Roman"/>
        </w:rPr>
        <w:t xml:space="preserve"> Posiadacz zezwolenie obowiązany jest dokumentować i być w stanie wygenerować w formie raportów informacje dotyczące losów, co do których istnieje ryzyko manipulacji albo które w inny sposób zniknęły przed sprzedażą.</w:t>
      </w:r>
      <w:r>
        <w:rPr>
          <w:sz w:val="19"/>
          <w:szCs w:val="19"/>
          <w:rFonts w:ascii="Times New Roman" w:hAnsi="Times New Roman"/>
        </w:rPr>
        <w:t xml:space="preserve"> 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pBdr>
          <w:top w:val="single" w:sz="4" w:space="1" w:color="auto"/>
        </w:pBd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Niniejsze przepisy wchodzą w życie z dniem 1 stycznia 2019 r.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Przepisy stosuje się także w odniesieniu do wniosków o przyznanie licencji złożonych do Urzędu ds. Gier Losowych po dniu 1 sierpnia 2018 r. i dotyczących okresu po dniu 1 stycznia 2019 r.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W imieniu Urzędu ds. Gier Losowych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CAMILLA ROSENBERG</w:t>
      </w:r>
    </w:p>
    <w:p w:rsidR="00A457A5" w:rsidRPr="0076436D" w:rsidRDefault="00A457A5" w:rsidP="00F47340">
      <w:pPr>
        <w:pStyle w:val="BodyText"/>
        <w:jc w:val="center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szCs w:val="19"/>
          <w:rFonts w:ascii="Times New Roman" w:hAnsi="Times New Roman"/>
        </w:rPr>
        <w:t xml:space="preserve">Johan Röhr</w:t>
      </w:r>
    </w:p>
    <w:sectPr w:rsidR="00A457A5" w:rsidRPr="00764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354" w:h="13720"/>
      <w:pgMar w:top="680" w:right="2306" w:bottom="1302" w:left="115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1E" w:rsidRDefault="003A531E">
      <w:pPr>
        <w:spacing w:after="0" w:line="240" w:lineRule="auto"/>
      </w:pPr>
      <w:r>
        <w:separator/>
      </w:r>
    </w:p>
  </w:endnote>
  <w:endnote w:type="continuationSeparator" w:id="0">
    <w:p w:rsidR="003A531E" w:rsidRDefault="003A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tabs>
        <w:tab w:val="center" w:pos="12800"/>
        <w:tab w:val="right" w:pos="25600"/>
      </w:tabs>
      <w:jc w:val="left"/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3D5B62">
      <w:rPr>
        <w:rStyle w:val="Pagina"/>
        <w:rFonts w:ascii="Times New Roman" w:hAnsi="Times New Roman" w:cs="Times New Roman"/>
      </w:rPr>
      <w:t>8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tabs>
        <w:tab w:val="center" w:pos="12800"/>
        <w:tab w:val="right" w:pos="25600"/>
      </w:tabs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3D5B62">
      <w:rPr>
        <w:rStyle w:val="Pagina"/>
        <w:rFonts w:ascii="Times New Roman" w:hAnsi="Times New Roman" w:cs="Times New Roman"/>
      </w:rPr>
      <w:t>7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3D5B62">
      <w:rPr>
        <w:rStyle w:val="Pagina"/>
        <w:rFonts w:ascii="Times New Roman" w:hAnsi="Times New Roman" w:cs="Times New Roman"/>
      </w:rPr>
      <w:t>1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1E" w:rsidRDefault="003A531E">
      <w:pPr>
        <w:spacing w:after="0" w:line="240" w:lineRule="auto"/>
      </w:pPr>
      <w:r>
        <w:separator/>
      </w:r>
    </w:p>
  </w:footnote>
  <w:footnote w:type="continuationSeparator" w:id="0">
    <w:p w:rsidR="003A531E" w:rsidRDefault="003A531E">
      <w:pPr>
        <w:spacing w:after="0" w:line="240" w:lineRule="auto"/>
      </w:pPr>
      <w:r>
        <w:continuationSeparator/>
      </w:r>
    </w:p>
  </w:footnote>
  <w:footnote w:id="1">
    <w:p w:rsidR="00A457A5" w:rsidRPr="00DE28EA" w:rsidRDefault="00A457A5">
      <w:pPr>
        <w:pStyle w:val="Fotnot"/>
        <w:rPr>
          <w:w w:val="100"/>
          <w:sz w:val="17"/>
          <w:szCs w:val="17"/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t xml:space="preserve"> </w:t>
      </w:r>
      <w:r>
        <w:rPr>
          <w:sz w:val="17"/>
          <w:szCs w:val="17"/>
          <w:rFonts w:ascii="Times New Roman" w:hAnsi="Times New Roman"/>
        </w:rPr>
        <w:t xml:space="preserve">Zob. dyrektywa (UE) 2015/1535 Parlamentu Europejskiego i Rady z dnia 9 września 2015 r. ustanawiająca procedurę udzielania informacji w dziedzinie przepisów technicznych oraz zasad dotyczących usług społeczeństwa informacyjnego.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 w:rsidP="00B06CA7">
    <w:pPr>
      <w:pStyle w:val="Header"/>
      <w:tabs>
        <w:tab w:val="clear" w:pos="2680"/>
        <w:tab w:val="clear" w:pos="4860"/>
        <w:tab w:val="center" w:pos="3840"/>
        <w:tab w:val="right" w:pos="7680"/>
        <w:tab w:val="center" w:pos="14920"/>
        <w:tab w:val="right" w:pos="29840"/>
      </w:tabs>
      <w:suppressAutoHyphens/>
      <w:jc w:val="right"/>
      <w:rPr>
        <w:w w:val="100"/>
        <w:sz w:val="21"/>
        <w:szCs w:val="21"/>
        <w:rFonts w:ascii="Times New Roman" w:hAnsi="Times New Roman" w:cs="Times New Roman"/>
      </w:rPr>
    </w:pPr>
    <w:r>
      <w:rPr>
        <w:sz w:val="21"/>
        <w:szCs w:val="21"/>
        <w:rFonts w:ascii="Times New Roman" w:hAnsi="Times New Roman"/>
      </w:rPr>
      <w:t xml:space="preserve">LIFS 2018:4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2E54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CB7C0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3A3C52"/>
    <w:multiLevelType w:val="hybridMultilevel"/>
    <w:tmpl w:val="A84C1E32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FD2128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9B198B"/>
    <w:multiLevelType w:val="hybridMultilevel"/>
    <w:tmpl w:val="6786FB40"/>
    <w:lvl w:ilvl="0" w:tplc="B67C5E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E5520B7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56B0796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4345C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24C1E4B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7507C3"/>
    <w:multiLevelType w:val="hybridMultilevel"/>
    <w:tmpl w:val="0332EE3C"/>
    <w:lvl w:ilvl="0" w:tplc="11843B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6D"/>
    <w:rsid w:val="00160D7C"/>
    <w:rsid w:val="001B10D4"/>
    <w:rsid w:val="00224CE3"/>
    <w:rsid w:val="002534DF"/>
    <w:rsid w:val="00265800"/>
    <w:rsid w:val="003818B4"/>
    <w:rsid w:val="003A531E"/>
    <w:rsid w:val="003D5B62"/>
    <w:rsid w:val="00462030"/>
    <w:rsid w:val="005D32FE"/>
    <w:rsid w:val="0076436D"/>
    <w:rsid w:val="00971EE7"/>
    <w:rsid w:val="009774BE"/>
    <w:rsid w:val="00A457A5"/>
    <w:rsid w:val="00B06CA7"/>
    <w:rsid w:val="00B62056"/>
    <w:rsid w:val="00B64244"/>
    <w:rsid w:val="00B97BEE"/>
    <w:rsid w:val="00BD10A6"/>
    <w:rsid w:val="00DE28EA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  <w14:defaultImageDpi w14:val="0"/>
  <w15:docId w15:val="{842AE625-EACD-411B-9873-17F85ED7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l-PL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givare">
    <w:name w:val="Utgivare"/>
    <w:pPr>
      <w:widowControl w:val="0"/>
      <w:tabs>
        <w:tab w:val="left" w:pos="100"/>
      </w:tabs>
      <w:autoSpaceDE w:val="0"/>
      <w:autoSpaceDN w:val="0"/>
      <w:adjustRightInd w:val="0"/>
      <w:spacing w:before="180" w:line="160" w:lineRule="atLeast"/>
      <w:jc w:val="both"/>
    </w:pPr>
    <w:rPr>
      <w:rFonts w:ascii="Times" w:hAnsi="Times" w:cs="Times"/>
      <w:color w:val="000000"/>
      <w:w w:val="0"/>
      <w:sz w:val="16"/>
      <w:szCs w:val="16"/>
      <w:lang w:val="pl-PL" w:eastAsia="sv-SE"/>
    </w:rPr>
  </w:style>
  <w:style w:type="paragraph" w:customStyle="1" w:styleId="Fristende7cic">
    <w:name w:val="Fristående 7 cic"/>
    <w:uiPriority w:val="99"/>
    <w:pPr>
      <w:tabs>
        <w:tab w:val="left" w:pos="1980"/>
      </w:tabs>
      <w:autoSpaceDE w:val="0"/>
      <w:autoSpaceDN w:val="0"/>
      <w:adjustRightInd w:val="0"/>
      <w:spacing w:before="100" w:line="220" w:lineRule="atLeast"/>
      <w:ind w:left="1980" w:hanging="1980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styleId="BodyText">
    <w:name w:val="Body Text"/>
    <w:basedOn w:val="Normal"/>
    <w:link w:val="BodyTextChar"/>
    <w:uiPriority w:val="99"/>
    <w:pPr>
      <w:tabs>
        <w:tab w:val="left" w:pos="2940"/>
      </w:tabs>
      <w:autoSpaceDE w:val="0"/>
      <w:autoSpaceDN w:val="0"/>
      <w:adjustRightInd w:val="0"/>
      <w:spacing w:after="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odyTextChar">
    <w:name w:val="Body Text Char"/>
    <w:link w:val="BodyText"/>
    <w:uiPriority w:val="99"/>
  </w:style>
  <w:style w:type="paragraph" w:customStyle="1" w:styleId="Brdtextblank">
    <w:name w:val="Brödtext blank"/>
    <w:uiPriority w:val="99"/>
    <w:pPr>
      <w:tabs>
        <w:tab w:val="left" w:pos="3060"/>
      </w:tabs>
      <w:autoSpaceDE w:val="0"/>
      <w:autoSpaceDN w:val="0"/>
      <w:adjustRightInd w:val="0"/>
      <w:spacing w:before="220" w:line="220" w:lineRule="atLeast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Brdtexthalv">
    <w:name w:val="Brödtext halv"/>
    <w:uiPriority w:val="99"/>
    <w:pPr>
      <w:autoSpaceDE w:val="0"/>
      <w:autoSpaceDN w:val="0"/>
      <w:adjustRightInd w:val="0"/>
      <w:spacing w:before="100" w:line="220" w:lineRule="atLeast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Brdtextlinje">
    <w:name w:val="Brödtext linje"/>
    <w:uiPriority w:val="99"/>
    <w:pPr>
      <w:pBdr>
        <w:top w:val="single" w:sz="8" w:space="0" w:color="auto"/>
      </w:pBdr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Fotnot">
    <w:name w:val="Fotnot"/>
    <w:uiPriority w:val="99"/>
    <w:pPr>
      <w:widowControl w:val="0"/>
      <w:tabs>
        <w:tab w:val="left" w:pos="10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  <w:lang w:val="pl-PL" w:eastAsia="sv-SE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3840"/>
        <w:tab w:val="right" w:pos="7680"/>
      </w:tabs>
      <w:autoSpaceDE w:val="0"/>
      <w:autoSpaceDN w:val="0"/>
      <w:adjustRightInd w:val="0"/>
      <w:spacing w:after="0" w:line="220" w:lineRule="atLeast"/>
      <w:jc w:val="right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FooterChar">
    <w:name w:val="Footer Char"/>
    <w:link w:val="Footer"/>
    <w:uiPriority w:val="99"/>
    <w:semiHidden/>
  </w:style>
  <w:style w:type="paragraph" w:styleId="Header">
    <w:name w:val="header"/>
    <w:aliases w:val="extra"/>
    <w:basedOn w:val="Normal"/>
    <w:link w:val="HeaderChar"/>
    <w:uiPriority w:val="99"/>
    <w:pPr>
      <w:widowControl w:val="0"/>
      <w:tabs>
        <w:tab w:val="left" w:pos="2680"/>
        <w:tab w:val="left" w:pos="4860"/>
      </w:tabs>
      <w:autoSpaceDE w:val="0"/>
      <w:autoSpaceDN w:val="0"/>
      <w:adjustRightInd w:val="0"/>
      <w:spacing w:after="0" w:line="240" w:lineRule="atLeast"/>
      <w:jc w:val="both"/>
    </w:pPr>
    <w:rPr>
      <w:rFonts w:ascii="Times" w:hAnsi="Times" w:cs="Times"/>
      <w:b/>
      <w:bCs/>
      <w:color w:val="000000"/>
      <w:w w:val="0"/>
      <w:sz w:val="20"/>
      <w:szCs w:val="20"/>
    </w:rPr>
  </w:style>
  <w:style w:type="character" w:customStyle="1" w:styleId="HeaderChar">
    <w:name w:val="Header Char"/>
    <w:aliases w:val="extra Char"/>
    <w:link w:val="Header"/>
    <w:uiPriority w:val="99"/>
    <w:semiHidden/>
  </w:style>
  <w:style w:type="paragraph" w:customStyle="1" w:styleId="Rubrik1">
    <w:name w:val="Rubrik1"/>
    <w:uiPriority w:val="99"/>
    <w:pPr>
      <w:widowControl w:val="0"/>
      <w:suppressAutoHyphens/>
      <w:autoSpaceDE w:val="0"/>
      <w:autoSpaceDN w:val="0"/>
      <w:adjustRightInd w:val="0"/>
      <w:spacing w:line="240" w:lineRule="atLeast"/>
      <w:ind w:right="240"/>
    </w:pPr>
    <w:rPr>
      <w:rFonts w:ascii="Times" w:hAnsi="Times" w:cs="Times"/>
      <w:b/>
      <w:bCs/>
      <w:color w:val="000000"/>
      <w:w w:val="0"/>
      <w:sz w:val="24"/>
      <w:szCs w:val="24"/>
      <w:lang w:val="pl-PL" w:eastAsia="sv-SE"/>
    </w:rPr>
  </w:style>
  <w:style w:type="paragraph" w:customStyle="1" w:styleId="Rubrik2engelsk">
    <w:name w:val="Rubrik2 engelsk"/>
    <w:uiPriority w:val="99"/>
    <w:pPr>
      <w:keepNext/>
      <w:widowControl w:val="0"/>
      <w:autoSpaceDE w:val="0"/>
      <w:autoSpaceDN w:val="0"/>
      <w:adjustRightInd w:val="0"/>
      <w:spacing w:before="320" w:line="200" w:lineRule="atLeast"/>
      <w:jc w:val="both"/>
    </w:pPr>
    <w:rPr>
      <w:rFonts w:ascii="Times" w:hAnsi="Times" w:cs="Times"/>
      <w:b/>
      <w:bCs/>
      <w:color w:val="000000"/>
      <w:w w:val="0"/>
      <w:lang w:val="pl-PL" w:eastAsia="sv-SE"/>
    </w:rPr>
  </w:style>
  <w:style w:type="paragraph" w:customStyle="1" w:styleId="Rubrik3">
    <w:name w:val="Rubrik3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  <w:sz w:val="18"/>
      <w:szCs w:val="18"/>
      <w:lang w:val="pl-PL" w:eastAsia="sv-SE"/>
    </w:rPr>
  </w:style>
  <w:style w:type="paragraph" w:customStyle="1" w:styleId="Rubrik30">
    <w:name w:val="Rubrik3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b/>
      <w:bCs/>
      <w:color w:val="000000"/>
      <w:w w:val="0"/>
      <w:sz w:val="18"/>
      <w:szCs w:val="18"/>
      <w:lang w:val="pl-PL" w:eastAsia="sv-SE"/>
    </w:rPr>
  </w:style>
  <w:style w:type="paragraph" w:customStyle="1" w:styleId="Kantrubrik">
    <w:name w:val="Kantrubrik"/>
    <w:uiPriority w:val="99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Times" w:hAnsi="Times" w:cs="Times"/>
      <w:b/>
      <w:bCs/>
      <w:color w:val="000000"/>
      <w:w w:val="0"/>
      <w:sz w:val="22"/>
      <w:szCs w:val="22"/>
      <w:lang w:val="pl-PL" w:eastAsia="sv-SE"/>
    </w:rPr>
  </w:style>
  <w:style w:type="paragraph" w:customStyle="1" w:styleId="Rubrik4">
    <w:name w:val="Rubrik4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i/>
      <w:iCs/>
      <w:color w:val="000000"/>
      <w:w w:val="0"/>
      <w:sz w:val="18"/>
      <w:szCs w:val="18"/>
      <w:lang w:val="pl-PL" w:eastAsia="sv-SE"/>
    </w:rPr>
  </w:style>
  <w:style w:type="paragraph" w:customStyle="1" w:styleId="Rubrik40">
    <w:name w:val="Rubrik4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i/>
      <w:iCs/>
      <w:color w:val="000000"/>
      <w:w w:val="0"/>
      <w:sz w:val="18"/>
      <w:szCs w:val="18"/>
      <w:lang w:val="pl-PL" w:eastAsia="sv-SE"/>
    </w:rPr>
  </w:style>
  <w:style w:type="paragraph" w:customStyle="1" w:styleId="Rubrik400utanluftver">
    <w:name w:val="Rubrik400 utan luft över"/>
    <w:uiPriority w:val="99"/>
    <w:pPr>
      <w:keepNext/>
      <w:widowControl w:val="0"/>
      <w:suppressAutoHyphens/>
      <w:autoSpaceDE w:val="0"/>
      <w:autoSpaceDN w:val="0"/>
      <w:adjustRightInd w:val="0"/>
      <w:spacing w:line="220" w:lineRule="atLeast"/>
    </w:pPr>
    <w:rPr>
      <w:rFonts w:ascii="Times" w:hAnsi="Times" w:cs="Times"/>
      <w:i/>
      <w:iCs/>
      <w:color w:val="000000"/>
      <w:w w:val="0"/>
      <w:sz w:val="18"/>
      <w:szCs w:val="18"/>
      <w:lang w:val="pl-PL" w:eastAsia="sv-SE"/>
    </w:rPr>
  </w:style>
  <w:style w:type="paragraph" w:customStyle="1" w:styleId="Rubrik5">
    <w:name w:val="Rubrik5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Rubrik50">
    <w:name w:val="Rubrik5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Strecklinjeunder">
    <w:name w:val="Strecklinje under"/>
    <w:uiPriority w:val="99"/>
    <w:pPr>
      <w:pBdr>
        <w:bottom w:val="single" w:sz="8" w:space="0" w:color="auto"/>
      </w:pBdr>
      <w:tabs>
        <w:tab w:val="left" w:pos="306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Strecklinjever">
    <w:name w:val="Strecklinje över"/>
    <w:uiPriority w:val="99"/>
    <w:pPr>
      <w:pBdr>
        <w:top w:val="single" w:sz="8" w:space="0" w:color="auto"/>
      </w:pBdr>
      <w:tabs>
        <w:tab w:val="left" w:pos="2560"/>
        <w:tab w:val="left" w:pos="460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Tabellfotnot">
    <w:name w:val="Tabellfotnot"/>
    <w:uiPriority w:val="99"/>
    <w:pPr>
      <w:widowControl w:val="0"/>
      <w:tabs>
        <w:tab w:val="left" w:pos="56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  <w:lang w:val="pl-PL" w:eastAsia="sv-SE"/>
    </w:rPr>
  </w:style>
  <w:style w:type="paragraph" w:customStyle="1" w:styleId="Tabelltext">
    <w:name w:val="Tabelltext"/>
    <w:uiPriority w:val="99"/>
    <w:pPr>
      <w:widowControl w:val="0"/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  <w:lang w:val="pl-PL" w:eastAsia="sv-SE"/>
    </w:rPr>
  </w:style>
  <w:style w:type="paragraph" w:customStyle="1" w:styleId="Tabelltitel">
    <w:name w:val="Tabelltitel"/>
    <w:uiPriority w:val="99"/>
    <w:pPr>
      <w:keepNext/>
      <w:pageBreakBefore/>
      <w:widowControl w:val="0"/>
      <w:suppressAutoHyphens/>
      <w:autoSpaceDE w:val="0"/>
      <w:autoSpaceDN w:val="0"/>
      <w:adjustRightInd w:val="0"/>
      <w:spacing w:before="180" w:line="180" w:lineRule="atLeast"/>
    </w:pPr>
    <w:rPr>
      <w:rFonts w:ascii="Times" w:hAnsi="Times" w:cs="Times"/>
      <w:b/>
      <w:bCs/>
      <w:color w:val="000000"/>
      <w:w w:val="0"/>
      <w:sz w:val="18"/>
      <w:szCs w:val="18"/>
      <w:lang w:val="pl-PL" w:eastAsia="sv-SE"/>
    </w:rPr>
  </w:style>
  <w:style w:type="paragraph" w:customStyle="1" w:styleId="Text">
    <w:name w:val="Text"/>
    <w:uiPriority w:val="99"/>
    <w:pPr>
      <w:widowControl w:val="0"/>
      <w:tabs>
        <w:tab w:val="left" w:pos="760"/>
      </w:tabs>
      <w:autoSpaceDE w:val="0"/>
      <w:autoSpaceDN w:val="0"/>
      <w:adjustRightInd w:val="0"/>
      <w:spacing w:before="120" w:line="180" w:lineRule="atLeast"/>
      <w:jc w:val="both"/>
    </w:pPr>
    <w:rPr>
      <w:rFonts w:ascii="Times" w:hAnsi="Times" w:cs="Times"/>
      <w:color w:val="000000"/>
      <w:w w:val="0"/>
      <w:sz w:val="14"/>
      <w:szCs w:val="14"/>
      <w:lang w:val="pl-PL" w:eastAsia="sv-SE"/>
    </w:rPr>
  </w:style>
  <w:style w:type="paragraph" w:customStyle="1" w:styleId="brdtextfyrkant">
    <w:name w:val="brödtext fyrkan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upprkninga-z">
    <w:name w:val="uppräkning a-z"/>
    <w:uiPriority w:val="99"/>
    <w:pPr>
      <w:tabs>
        <w:tab w:val="left" w:pos="280"/>
      </w:tabs>
      <w:autoSpaceDE w:val="0"/>
      <w:autoSpaceDN w:val="0"/>
      <w:adjustRightInd w:val="0"/>
      <w:spacing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upprkninga-zstart">
    <w:name w:val="uppräkning a-z start"/>
    <w:uiPriority w:val="99"/>
    <w:pPr>
      <w:tabs>
        <w:tab w:val="left" w:pos="280"/>
      </w:tabs>
      <w:autoSpaceDE w:val="0"/>
      <w:autoSpaceDN w:val="0"/>
      <w:adjustRightInd w:val="0"/>
      <w:spacing w:before="100"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upprkningstreck">
    <w:name w:val="uppräkning streck"/>
    <w:uiPriority w:val="99"/>
    <w:pPr>
      <w:tabs>
        <w:tab w:val="left" w:pos="560"/>
      </w:tabs>
      <w:autoSpaceDE w:val="0"/>
      <w:autoSpaceDN w:val="0"/>
      <w:adjustRightInd w:val="0"/>
      <w:spacing w:line="220" w:lineRule="atLeast"/>
      <w:ind w:left="560" w:hanging="280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paragraph" w:customStyle="1" w:styleId="Rubrik2">
    <w:name w:val="Rubrik2"/>
    <w:uiPriority w:val="99"/>
    <w:pPr>
      <w:keepNext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  <w:lang w:val="pl-PL" w:eastAsia="sv-SE"/>
    </w:rPr>
  </w:style>
  <w:style w:type="paragraph" w:customStyle="1" w:styleId="Brdtextnytt">
    <w:name w:val="Brödtext nyt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  <w:lang w:val="pl-PL" w:eastAsia="sv-SE"/>
    </w:rPr>
  </w:style>
  <w:style w:type="character" w:customStyle="1" w:styleId="Bilaga">
    <w:name w:val="Bilaga"/>
    <w:uiPriority w:val="99"/>
    <w:rPr>
      <w:sz w:val="14"/>
      <w:szCs w:val="14"/>
    </w:rPr>
  </w:style>
  <w:style w:type="character" w:customStyle="1" w:styleId="Kursiv">
    <w:name w:val="Kursiv"/>
    <w:uiPriority w:val="99"/>
    <w:rPr>
      <w:rFonts w:ascii="Times" w:hAnsi="Times" w:cs="Times"/>
      <w:i/>
      <w:iCs/>
      <w:color w:val="000000"/>
      <w:u w:val="none"/>
      <w:vertAlign w:val="baseline"/>
    </w:rPr>
  </w:style>
  <w:style w:type="character" w:customStyle="1" w:styleId="Arkisar">
    <w:name w:val="Arkisar"/>
    <w:uiPriority w:val="99"/>
    <w:rPr>
      <w:sz w:val="14"/>
      <w:szCs w:val="14"/>
    </w:rPr>
  </w:style>
  <w:style w:type="character" w:customStyle="1" w:styleId="UnderISSN-nummer">
    <w:name w:val="Under ISSN-nummer"/>
    <w:uiPriority w:val="99"/>
    <w:rPr>
      <w:rFonts w:ascii="Times" w:hAnsi="Times" w:cs="Times"/>
      <w:color w:val="000000"/>
      <w:spacing w:val="0"/>
      <w:sz w:val="15"/>
      <w:szCs w:val="15"/>
      <w:u w:val="none"/>
      <w:vertAlign w:val="baseline"/>
    </w:rPr>
  </w:style>
  <w:style w:type="character" w:customStyle="1" w:styleId="Svfrfattnhalvfet">
    <w:name w:val="Sv.författn. halvfet"/>
    <w:uiPriority w:val="99"/>
    <w:rPr>
      <w:rFonts w:ascii="Times" w:hAnsi="Times" w:cs="Times"/>
      <w:b/>
      <w:bCs/>
      <w:color w:val="000000"/>
      <w:spacing w:val="0"/>
      <w:sz w:val="36"/>
      <w:szCs w:val="36"/>
      <w:u w:val="none"/>
      <w:vertAlign w:val="baseline"/>
    </w:rPr>
  </w:style>
  <w:style w:type="character" w:customStyle="1" w:styleId="Tryckort">
    <w:name w:val="Tryckort"/>
    <w:uiPriority w:val="99"/>
    <w:rPr>
      <w:rFonts w:ascii="Times" w:hAnsi="Times" w:cs="Times"/>
      <w:color w:val="000000"/>
      <w:spacing w:val="0"/>
      <w:sz w:val="11"/>
      <w:szCs w:val="11"/>
      <w:u w:val="none"/>
      <w:vertAlign w:val="baseline"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Ekvationsvariabler">
    <w:name w:val="Ekvationsvariabler"/>
    <w:uiPriority w:val="99"/>
    <w:rPr>
      <w:i/>
      <w:iCs/>
    </w:rPr>
  </w:style>
  <w:style w:type="character" w:customStyle="1" w:styleId="Halvfet">
    <w:name w:val="Halvfet"/>
    <w:uiPriority w:val="99"/>
    <w:rPr>
      <w:rFonts w:ascii="Times" w:hAnsi="Times" w:cs="Times"/>
      <w:b/>
      <w:bCs/>
      <w:color w:val="000000"/>
      <w:u w:val="none"/>
      <w:vertAlign w:val="baseline"/>
    </w:rPr>
  </w:style>
  <w:style w:type="character" w:customStyle="1" w:styleId="Pagina">
    <w:name w:val="Pagina"/>
    <w:uiPriority w:val="99"/>
    <w:rPr>
      <w:rFonts w:ascii="Times" w:hAnsi="Times" w:cs="Times"/>
      <w:color w:val="000000"/>
      <w:spacing w:val="0"/>
      <w:sz w:val="19"/>
      <w:szCs w:val="19"/>
      <w:u w:val="none"/>
      <w:vertAlign w:val="baseline"/>
    </w:rPr>
  </w:style>
  <w:style w:type="character" w:customStyle="1" w:styleId="Utkom">
    <w:name w:val="Utkom"/>
    <w:uiPriority w:val="99"/>
    <w:rPr>
      <w:rFonts w:ascii="Times" w:hAnsi="Times" w:cs="Times"/>
      <w:color w:val="000000"/>
      <w:spacing w:val="0"/>
      <w:sz w:val="17"/>
      <w:szCs w:val="17"/>
      <w:u w:val="none"/>
      <w:vertAlign w:val="baseline"/>
    </w:rPr>
  </w:style>
  <w:style w:type="paragraph" w:styleId="PlainText">
    <w:name w:val="Plain Text"/>
    <w:basedOn w:val="Normal"/>
    <w:link w:val="PlainTextChar"/>
    <w:uiPriority w:val="99"/>
    <w:unhideWhenUsed/>
    <w:rsid w:val="003D5B62"/>
    <w:pPr>
      <w:spacing w:after="0" w:line="240" w:lineRule="auto"/>
    </w:pPr>
    <w:rPr>
      <w:rFonts w:ascii="Consolas" w:hAnsi="Consolas"/>
      <w:sz w:val="21"/>
      <w:szCs w:val="21"/>
      <w:lang w:val="pl-PL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5B62"/>
    <w:rPr>
      <w:rFonts w:ascii="Consolas" w:hAnsi="Consolas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2457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rkuser1</dc:creator>
  <cp:keywords/>
  <dc:description/>
  <cp:lastModifiedBy>KARAGIANNI, Maria</cp:lastModifiedBy>
  <cp:revision>3</cp:revision>
  <dcterms:created xsi:type="dcterms:W3CDTF">2018-11-09T14:20:00Z</dcterms:created>
  <dcterms:modified xsi:type="dcterms:W3CDTF">2018-11-14T09:58:00Z</dcterms:modified>
</cp:coreProperties>
</file>