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B92" w:rsidRPr="008F61B0" w:rsidRDefault="006B2B92" w:rsidP="006B2B92">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0518 F-- SL- ------ 20200930 --- --- FINAL</w:t>
      </w:r>
      <w:r>
        <w:rPr>
          <w:sz w:val="20"/>
          <w:szCs w:val="20"/>
          <w:rFonts w:ascii="Courier New" w:hAnsi="Courier New"/>
        </w:rPr>
        <w:t xml:space="preserve"> </w:t>
      </w:r>
    </w:p>
    <w:p w:rsidR="00D8408E" w:rsidRPr="00621B9B" w:rsidRDefault="00DD2A33">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10. april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Uradni list Francoske republike št. 0085 z dne 7. aprila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Besedilo št. 11</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Odredba z dne 1. aprila 2020 o vsebini dokumentacije vlog za izdajo dovoljenja za promet z gnojili, dodatki za gnojila in sredstvi za izboljšanje tal ter drugih dovoljenj in o merilih, ki jih je treba upoštevati pri pripravi elementov, zahtevanih za oceno</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B2B92"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AGRG2008998A</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D8408E" w:rsidRPr="006B2B92" w:rsidRDefault="00DD2A33">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 https://www.legifrance.gouv.fr/eli/arrete/2020/4/1/AGRG2008998A/jo/texte</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Ciljna javnost: imetniki in vložniki vlog za izdajo dovoljenja za promet ali drugih dovoljenj za gnojila, dodatke za gnojila in sredstva za izboljšanje tal.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Predmet: vsebina dokumentacije vloge za izdajo dovoljenja za promet, dovoljenja za preskušanje in dovoljenja za uvoz gnojil, dodatkov za gnojila in sredstev za izboljšanje tal ter vsebina obvestil in izjav v zvezi s temi proizvodi.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Začetek veljavnosti: besedilo začne veljati dan po objavi.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Obvestilo: odredba v zvezi z vsemi vrstami vlog, obvestil in izjav, povezanih z dovoljenjem za promet ali drugimi dovoljenji za gnojila, dodatke za gnojila ali sredstva za izboljšanje tal, določa sestavo dokumentacije, ki jo je treba predložiti Nacionalni agenciji za zdravstveno varnost na področju prehrane, okolja in dela.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Referenčna besedila: ta odredba se sprejme na podlagi členov R. 255-13 in R. 255-14 Zakonika o kmetijstvu in morskem ribištvu.</w:t>
      </w:r>
      <w:r>
        <w:rPr>
          <w:sz w:val="24"/>
          <w:szCs w:val="24"/>
          <w:rFonts w:ascii="Arial" w:hAnsi="Arial"/>
        </w:rPr>
        <w:t xml:space="preserve"> </w:t>
      </w:r>
      <w:r>
        <w:rPr>
          <w:sz w:val="24"/>
          <w:szCs w:val="24"/>
          <w:rFonts w:ascii="Arial" w:hAnsi="Arial"/>
        </w:rPr>
        <w:t xml:space="preserve">Na voljo je na spletnem mestu Légifrance (https://www.legifrance.gouv.fr).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Minister za kmetijstvo in prehrano –</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Uredbe (ES) št. 1907/2006 Evropskega parlamenta in Sveta z dne 18. decembra 2006 o registraciji, evalvaciji, avtorizaciji in omejevanju kemikalij (REACH) ter o ustanovitvi Evropske agencije za kemikalije;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Zakonika o kmetijstvu in morskem ribištvu, zlasti členov R. 255-13 in R. 255-14;</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Uredbe št. 80-478 z dne 16. junija 1980 o izvajanju člena L. 412-1 Potrošniškega zakonika, kar zadeva gnojila in sredstva za izboljšanje tal;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 upoštevanju predloga generalnega direktorja Nacionalne agencije za zdravstveno varnost na področju prehrane, okolja in dela z dne 2. avgusta 2019 –</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odreja: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1</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Področje uporabe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Določbe te odredbe se uporabljajo za gnojila, dodatke za gnojila in sredstva za izboljšanje tal (v nadaljnjem besedilu: proizvodi), ki se razumejo kot „proizvod ali skupina proizvodov“ v smislu člena R 255-1 Zakonika o kmetijstvu in morskem ribištvu.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2</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Splošne določbe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Vse vloge za izdajo dovoljenja za promet, dovoljenja za preskušanje ali dovoljenja za uvoz proizvoda, vse vloge za spremembo, podaljšanje ali odvzem teh dovoljenj ter vse informacije, obvestila ali izjave v zvezi s temi proizvodi se predložijo Nacionalni agenciji za zdravstveno varnost na področju prehrane, okolja in dela (Anses).</w:t>
      </w:r>
      <w:r>
        <w:rPr>
          <w:sz w:val="24"/>
          <w:szCs w:val="24"/>
          <w:rFonts w:ascii="Arial" w:hAnsi="Arial"/>
        </w:rPr>
        <w:t xml:space="preserve"> </w:t>
      </w:r>
      <w:r>
        <w:rPr>
          <w:sz w:val="24"/>
          <w:szCs w:val="24"/>
          <w:rFonts w:ascii="Arial" w:hAnsi="Arial"/>
        </w:rPr>
        <w:t xml:space="preserve">Vloga se sestavi v obliki dokumentacije v francoskem jeziku, razen posebnih določb iz člena 3.</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Ta dokumentacija vključuje: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dopis, ki se sklicuje na vlogo, prenos informacij, obvestilo ali izjavo;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 obrazec, pravilno izpolnjen skladno z zadevnim sporočilom, z datumom in podpisom.</w:t>
      </w:r>
      <w:r>
        <w:rPr>
          <w:sz w:val="24"/>
          <w:szCs w:val="24"/>
          <w:rFonts w:ascii="Arial" w:hAnsi="Arial"/>
        </w:rPr>
        <w:t xml:space="preserve"> </w:t>
      </w:r>
      <w:r>
        <w:rPr>
          <w:sz w:val="24"/>
          <w:szCs w:val="24"/>
          <w:rFonts w:ascii="Arial" w:hAnsi="Arial"/>
        </w:rPr>
        <w:t xml:space="preserve">Obrazec in obvestilo sta na voljo na spletnem mestu agencije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3. po potrebi dodatne elemente, zahtevane za proučitev ali oceno vloge ali vpis obvestila ali izjave iz členov 3 do 6 te odredbe.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Dokumentacija se predloži v digitalni obliki, in sicer na mediju za shranjevanje podatkov.</w:t>
      </w:r>
      <w:r>
        <w:rPr>
          <w:sz w:val="24"/>
          <w:szCs w:val="24"/>
          <w:rFonts w:ascii="Arial" w:hAnsi="Arial"/>
        </w:rPr>
        <w:t xml:space="preserve"> </w:t>
      </w:r>
      <w:r>
        <w:rPr>
          <w:sz w:val="24"/>
          <w:szCs w:val="24"/>
          <w:rFonts w:ascii="Arial" w:hAnsi="Arial"/>
        </w:rPr>
        <w:t xml:space="preserve">Vključuje lahko tudi papirno različico v dveh izvodih, katerima je priloženo potrdilo o identiteti dokumentov v papirni obliki in dokumentov v elektronski obliki.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Dokumentacija se predloži v skladu z obvestilom, priloženim k obrazcu za predložitev.</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Proizvodi, ki so predmet vloge, so označeni v skladu s prilogo k tej odredbi in „smernicami v zvezi z oceno dokumentacije vloge za izdajo dovoljenja za promet ali drugega dovoljenja za gnojila, dodatke za gnojila in sredstva za izboljšanje tal“, ki so na voljo na spletnem mestu agencije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3</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Dovoljenje za promet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Vloga za izdajo dovoljenja za promet z določenim proizvodom, podaljšanje ali spremembo dovoljenja za promet z določenim proizvodom z izjemo vlog iz odstavkov III in IV vključuje naslednje dodatne elemente za namene ocene iz člena L. 255-7 Zakonika o kmetijstvu in morskem ribištvu:</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podatke o sledljivosti proizvoda in njegovih surovin glede na mesta proizvodnje in izdelave, če so različna;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celostno sestavo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poročila o analizah značilnosti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informacije v zvezi z nespremenljivostjo sestave proizvoda glede na parametre in zagotovljene vrednosti, kot so njegova homogenost, nespremenljivost in stabilnost, ter ustrezna poročila o analizah;</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informacije glede proizvodnje proizvoda, zlasti opis surovin in informacije o uporabljenih pomožnih tehnoloških sredstvih, podrobnosti glede proizvodnega postopka, postopkov za upravljanje kakovosti, nadzor in samonadzor, opredelitev serij in upravljanje neskladnosti;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agronomsko zbirno poročilo in poročila o preskusih, ki ob predpisanih pogojih uporabe določajo učinkovitost proizvoda glede na posebej zahtevane učinke.</w:t>
      </w:r>
      <w:r>
        <w:rPr>
          <w:sz w:val="24"/>
          <w:szCs w:val="24"/>
          <w:rFonts w:ascii="Arial" w:hAnsi="Arial"/>
        </w:rPr>
        <w:t xml:space="preserve"> </w:t>
      </w:r>
      <w:r>
        <w:rPr>
          <w:sz w:val="24"/>
          <w:szCs w:val="24"/>
          <w:rFonts w:ascii="Arial" w:hAnsi="Arial"/>
        </w:rPr>
        <w:t xml:space="preserve">V primeru vloge za podaljšanje dovoljenja za promet vložnik utemelji morebitno neizpolnjeno obveznost posredovanja teh zbirnih poročil in preskusov;</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zbirno poročilo in poročila o študiji, ki ob predpisanih pogojih uporabe dokazujejo odsotnost škodljivega učinka proizvoda na zdravje ljudi, zdravje živali in okolje.</w:t>
      </w:r>
      <w:r>
        <w:rPr>
          <w:sz w:val="24"/>
          <w:szCs w:val="24"/>
          <w:rFonts w:ascii="Arial" w:hAnsi="Arial"/>
        </w:rPr>
        <w:t xml:space="preserve"> </w:t>
      </w:r>
      <w:r>
        <w:rPr>
          <w:sz w:val="24"/>
          <w:szCs w:val="24"/>
          <w:rFonts w:ascii="Arial" w:hAnsi="Arial"/>
        </w:rPr>
        <w:t xml:space="preserve">V primeru vloge za podaljšanje dovoljenja za promet vložnik utemelji morebitno neizpolnjeno obveznost posredovanja teh zbirnih poročil;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 primeru vloge za podaljšanje dovoljenja za promet, rezultate analiz spremljanja proizvodnje in dodatne podatke po pridobitvi dovoljenja, zahtevane v prvotnem sklepu;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osnutek etikete ali informativnega lista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varnostni list proizvoda in vse surovine v skladu s členom 31 zgoraj navedene uredbe (ES) št.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Zbirna poročila ter poročila o študijah in preskusih se lahko sestavijo v angleškem jeziku.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Vloga za izdajo dovoljenja za promet z določenim proizvodom na osnovi vzajemnega priznavanja v skladu s členom R. 255-17 Zakonika o kmetijstvu in morskem ribištvu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potrdilo o identiteti proizvoda, ki je predmet vloge za izdajo dovoljenja in se zakonito trži v zadevni državi članici;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celostno sestavo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kopijo upravnega sklepa, standarda ali zakonodajnega besedila, na podlagi katerega se proizvod lahko trži v zadevni državi članici, ter njegov prevod v francoski ali angleški jezik;</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model etikete proizvoda, danega v promet v referenčni državi članici, ter prevod etikete v francoski in angleški jezik;</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seznam pridelkov, ki jim je proizvod namenjen, ter pogoje uporabe.</w:t>
      </w:r>
      <w:r>
        <w:rPr>
          <w:sz w:val="24"/>
          <w:szCs w:val="24"/>
          <w:rFonts w:ascii="Arial" w:hAnsi="Arial"/>
        </w:rPr>
        <w:t xml:space="preserve"> </w:t>
      </w:r>
      <w:r>
        <w:rPr>
          <w:sz w:val="24"/>
          <w:szCs w:val="24"/>
          <w:rFonts w:ascii="Arial" w:hAnsi="Arial"/>
        </w:rPr>
        <w:t xml:space="preserve">Vložnik za vsak pridelek ali vrsto tal opredeli zlasti način nanosa proizvoda, najmanjše in največje odmerke posameznega nanosa in nanosa na hektar, letno število nanosov, obdobje in/ali fazo rasti v zvezi z nanosom.</w:t>
      </w:r>
      <w:r>
        <w:rPr>
          <w:sz w:val="24"/>
          <w:szCs w:val="24"/>
          <w:rFonts w:ascii="Arial" w:hAnsi="Arial"/>
        </w:rPr>
        <w:t xml:space="preserve"> </w:t>
      </w:r>
      <w:r>
        <w:rPr>
          <w:sz w:val="24"/>
          <w:szCs w:val="24"/>
          <w:rFonts w:ascii="Arial" w:hAnsi="Arial"/>
        </w:rPr>
        <w:t xml:space="preserve">Predlagajo se lahko ukrepi za obvladovanje tveganj;</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osnutek etikete ali informativnega lista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varnostni list proizvoda in vse surovine v skladu s členom 31 zgoraj navedene uredbe (ES) št.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Zahteva za dovoljenje za promet s proizvodom, enakim proizvodu, za katerega je bilo dovoljenje že izdano,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podatke o sledljivosti proizvoda in njegovih surovin glede na mesta proizvodnje ali izdelave, če so različna;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potrdilo o enakosti referenčnega proizvoda in zahtevanega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osnutek etikete ali informativnega lista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Vloga za spremembo dovoljenja za promet z določenim proizvodom, namenjena odobritvi ene ali več dodatnih vrst uporabe ali postopkov, v zvezi z vsako vrsto uporabo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agronomsko zbirno poročilo in poročila o preskusih, ki ob predpisanih pogojih uporabe določajo učinkovitost proizvoda glede na posebej zahtevane učinke;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zbirno poročilo in poročila o študiji, ki ob predpisanih pogojih uporabe dokazujejo odsotnost škodljivega učinka proizvoda na zdravje ljudi, zdravje živali in okolje;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osnutek etikete ali informativnega lista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Zbirna poročila ter poročila o študijah in preskusih se lahko sestavijo v angleškem jeziku.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4</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Dovoljenje za preskušanje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Vloga za izdajo dovoljenja za preskušanje proizvoda ali za podaljšanje tega dovoljenja vključuje naslednje dodatne elemente za namene ocene v skladu s členom L. 255-8 Zakonika o kmetijstvu in morskem ribištvu:</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podatke o sledljivosti proizvoda in njegovih surovin glede na mesta proizvodnje in izdelave, če so različna;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celostno sestavo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poročila o analizah značilnosti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varnostni list proizvoda in vse surovine v skladu s členom 31 Uredbe (ES) št.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Obvestilo o spremembah pogojev preskušanja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kopijo dovoljenja za preskušanje;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ustrezna dokazila.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5</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Dovoljenje za uvoz</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Vloga za izdajo dovoljenja za uvoz proizvoda oziroma za spremembo ali podaljšanje tega dovoljenja vključuje naslednje dodatne elemente za namene ocene v skladu s členom L. 255-7 Zakonika o kmetijstvu in morskem ribištvu:</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vse informacije, ki omogočajo oceno identitete proizvodov v skladu s členom R. 255-20 Zakonika o kmetijstvu in morskem ribištvu;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originalno etiketo proizvoda, ki se uvaža;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osnutek etikete ali informativnega lista v francoskem jeziku.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6</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Druge vloge ali izjave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Vloga za prenos dovoljenja za promet ali drugega dovoljenja v skladu s členom R. 255-5 Zakonika o kmetijstvu in morskem ribištvu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originalni izvod sklepa o izdaji dovoljenja za promet ali drugega dovoljenja;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potrdilo prvotnega imetnika glede prenosa dovoljenja za promet ali drugega dovoljenja.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Vloga za dajanje novega trgovskega imena že odobrenemu proizvodu v skladu s členom R. 255-5 Zakonika o kmetijstvu in morskem ribištvu ali izjava o spremembi trgovskega imena proizvoda v skladu s členom R. 255-9 navedenega zakonika vključuje naslednja dodatna elementa: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kopijo dovoljenja za promet s proizvodom ali drugega dovoljenja, povezanega s proizvodom;</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potrdilo o enakosti referenčnega proizvoda in zahtevanega proizvoda.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Izjava o spremembi naslova imetnika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kopijo dovoljenja za promet s proizvodom ali drugega dovoljenja, povezanega s proizvodom;</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dokazilo o spremembi naslova imetnika.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Izjava o spremembi naziva podjetja imetnika dovoljenja za promet s proizvodom ali drugega dovoljenja v skladu s členom R. 255-9 Zakonika o kmetijstvu in morskem ribištvu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kopijo dovoljenja za promet s proizvodom ali drugega dovoljenja, povezanega s proizvodom;</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dokazilo o spremembi naziva podjetja.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 Izjava o spremembi ali dodatnem mestu izdelave ali proizvodnje proizvoda v skladu s členom R. 255-9 Zakonika o kmetijstvu in morskem ribištvu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podatke o sledljivosti proizvoda in vseh surovin glede mest proizvodnje ali izdelave, če so različna.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VI.</w:t>
      </w:r>
      <w:r>
        <w:rPr>
          <w:sz w:val="24"/>
          <w:szCs w:val="24"/>
          <w:rFonts w:ascii="Arial" w:hAnsi="Arial"/>
        </w:rPr>
        <w:t xml:space="preserve"> </w:t>
      </w:r>
      <w:r>
        <w:rPr>
          <w:sz w:val="24"/>
          <w:szCs w:val="24"/>
          <w:rFonts w:ascii="Arial" w:hAnsi="Arial"/>
        </w:rPr>
        <w:t xml:space="preserve">Vloga za spremembo informacij, navedenih v dokumentaciji, ki se ocenjuje, vključuje naslednje dodatne elemente: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 primeru vloge za prenos proizvoda potrdilo prvotnega imetnika glede prenosa dovoljenja za promet ali drugega dovoljenja;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 primeru spremembe naslova imetnika dokazilo o spremembi naslova imetnika;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 primeru spremembe naziva podjetja imetnika dokazilo o spremembi naziva podjetja;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v primeru spremembe trgovskega imena proizvoda potrdilo, da je referenčni proizvod enak zahtevanemu proizvodu.</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7</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Odredba z dne 21. decembra 1998 o odobritvi gnojil in sredstev za izboljšanje tal, kakor je bila spremenjena, se razveljavi.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Člen 8</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 izvajanje te odredbe, ki bo objavljena v Uradnem listu Francoske republike, je odgovoren generalni direktor za prehrano.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Priloga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PRILOGA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VSEBNOST SLEDI KOVINSKIH ELEMENTOV IN ORGANSKIH SPOJIN – MIKROBIOLOŠKA MERILA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Spodaj navedena merila predstavljajo referenčna merila kakovosti za proizvode.</w:t>
      </w:r>
      <w:r>
        <w:rPr>
          <w:sz w:val="24"/>
          <w:szCs w:val="24"/>
          <w:rFonts w:ascii="Arial" w:hAnsi="Arial"/>
        </w:rPr>
        <w:t xml:space="preserve"> </w:t>
      </w:r>
      <w:r>
        <w:rPr>
          <w:sz w:val="24"/>
          <w:szCs w:val="24"/>
          <w:rFonts w:ascii="Arial" w:hAnsi="Arial"/>
        </w:rPr>
        <w:t xml:space="preserve">Če se merila presežejo, vložnik zagotovi potrebna dokazila o elementih, ki merila presegajo.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Vsi vidiki sledi kovinskih elementov in sledi organskih spojin, ki jih vsebujejo gnojila, njihovi dodatki ali sredstva za izboljšanje tal, se upoštevajo pri preverjanje odsotnosti škodljivega učinka na zdravje ljudi, zdravje živali in okolje, in sicer na podlagi odmerka in pogostosti nanosov v skladu s priporočenimi pogoji uporabe.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Informacije se zagotovijo v skladu s „smernicami v zvezi z oceno dokumentacije vloge za izdajo dovoljenja za promet ali drugega dovoljenja za gnojila, dodatke za gnojila in sredstva za izboljšanje tal“, omenjenimi v členu 2.</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Sledi kovinskih elementov</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D8408E" w:rsidRPr="00621B9B" w:rsidTr="00B553AE">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D8408E" w:rsidRPr="00621B9B" w:rsidRDefault="00D8408E" w:rsidP="00990A0D">
            <w:pPr>
              <w:keepNext/>
              <w:widowControl w:val="0"/>
              <w:autoSpaceDE w:val="0"/>
              <w:autoSpaceDN w:val="0"/>
              <w:adjustRightInd w:val="0"/>
              <w:spacing w:after="0" w:line="240" w:lineRule="auto"/>
              <w:jc w:val="center"/>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Največje vsebnosti v gnojilih</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(v mg/kg suhe snovi)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Največje vsebnosti v sredstvih za izboljšanje tal</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(v mg/kg suhe snovi)</w:t>
            </w: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40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40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Cd</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Cr 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Cr skupaj</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Cu</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300 (*)</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Pb</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Zn</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800 (*)</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Razen v primeru potrebe, priznane v skladu z veljavnimi predpisi.</w:t>
      </w:r>
    </w:p>
    <w:p w:rsidR="00621B9B" w:rsidRDefault="00621B9B">
      <w:pPr>
        <w:widowControl w:val="0"/>
        <w:autoSpaceDE w:val="0"/>
        <w:autoSpaceDN w:val="0"/>
        <w:adjustRightInd w:val="0"/>
        <w:spacing w:after="0" w:line="240" w:lineRule="auto"/>
        <w:rPr>
          <w:rFonts w:ascii="Arial" w:hAnsi="Arial" w:cs="Arial"/>
          <w:sz w:val="24"/>
          <w:szCs w:val="24"/>
        </w:rPr>
      </w:pPr>
    </w:p>
    <w:p w:rsidR="00B553AE" w:rsidRPr="00621B9B" w:rsidRDefault="00B553AE">
      <w:pPr>
        <w:widowControl w:val="0"/>
        <w:autoSpaceDE w:val="0"/>
        <w:autoSpaceDN w:val="0"/>
        <w:adjustRightInd w:val="0"/>
        <w:spacing w:after="0" w:line="240" w:lineRule="auto"/>
        <w:rPr>
          <w:rFonts w:ascii="Arial" w:hAnsi="Arial" w:cs="Arial"/>
          <w:sz w:val="24"/>
          <w:szCs w:val="24"/>
        </w:rPr>
      </w:pPr>
    </w:p>
    <w:p w:rsidR="00D8408E" w:rsidRPr="00621B9B" w:rsidRDefault="00621B9B"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Sledi organskih spojin</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D8408E" w:rsidRPr="00621B9B">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Vsota 16 policikličnih aromatskih ogljikovodikov (PAO):</w:t>
            </w:r>
          </w:p>
          <w:p w:rsidR="00621B9B" w:rsidRPr="00621B9B" w:rsidRDefault="00621B9B">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naftalen, acenaftilen, acenaften, fluoren, fenantren, antracen, fluoranten, piren, benzo[a]antracen, krizen, benzo[b]fluoranten, benzo[k]fluoranten, benzo[a]piren, indeno[1,2,3-cd]piren, dibenzo[a,h]antracen in benzo[gi]perilen.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Največja vsebnost:</w:t>
            </w:r>
          </w:p>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6 mg/kg suhe snovi</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C34831" w:rsidRDefault="00C34831" w:rsidP="00C34831">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Mikrobiološka merila</w:t>
      </w:r>
      <w:r>
        <w:rPr>
          <w:sz w:val="24"/>
          <w:szCs w:val="24"/>
          <w:rFonts w:ascii="Arial" w:hAnsi="Arial"/>
        </w:rPr>
        <w:t xml:space="preserve"> </w:t>
      </w:r>
    </w:p>
    <w:tbl>
      <w:tblPr>
        <w:tblW w:w="9640" w:type="dxa"/>
        <w:tblInd w:w="8" w:type="dxa"/>
        <w:tblLayout w:type="fixed"/>
        <w:tblCellMar>
          <w:left w:w="0" w:type="dxa"/>
          <w:right w:w="0" w:type="dxa"/>
        </w:tblCellMar>
        <w:tblLook w:val="0000" w:firstRow="0" w:lastRow="0" w:firstColumn="0" w:lastColumn="0" w:noHBand="0" w:noVBand="0"/>
      </w:tblPr>
      <w:tblGrid>
        <w:gridCol w:w="1600"/>
        <w:gridCol w:w="1264"/>
        <w:gridCol w:w="1440"/>
        <w:gridCol w:w="1350"/>
        <w:gridCol w:w="1440"/>
        <w:gridCol w:w="1260"/>
        <w:gridCol w:w="1286"/>
      </w:tblGrid>
      <w:tr w:rsidR="00C34831" w:rsidTr="00C34831">
        <w:tc>
          <w:tcPr>
            <w:tcW w:w="1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Pridelki</w:t>
            </w:r>
          </w:p>
        </w:tc>
      </w:tr>
      <w:tr w:rsidR="00C34831" w:rsidTr="00C5171F">
        <w:tc>
          <w:tcPr>
            <w:tcW w:w="16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26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Poljščine</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Gojenje drevja, vinogradništvo</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in drobnoplodno sadje</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Trate,</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travniki in travišča</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Gozdarstvo, okrasna drevesa</w:t>
            </w:r>
          </w:p>
        </w:tc>
        <w:tc>
          <w:tcPr>
            <w:tcW w:w="126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Cvetje</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Zelenjava, jagode</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Mikroorganizmi, ki so patogeni za ljudi ali živali:</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Enterokoki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i/>
                <w:iCs/>
                <w:rFonts w:ascii="Arial" w:hAnsi="Arial"/>
              </w:rPr>
              <w:t xml:space="preserve">Escherichia coli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i/>
                <w:iCs/>
                <w:rFonts w:ascii="Arial" w:hAnsi="Arial"/>
              </w:rPr>
              <w:t xml:space="preserve">Clostridium perfringens</w:t>
            </w:r>
            <w:r>
              <w:rPr>
                <w:sz w:val="24"/>
                <w:szCs w:val="24"/>
                <w:rFonts w:ascii="Arial" w:hAnsi="Arial"/>
              </w:rPr>
              <w:t xml:space="preserve"> (trosi in vegetativne oblike)</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c>
          <w:tcPr>
            <w:tcW w:w="270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Salmonela</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Odsotna v 1 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Odsotna v 25 g</w:t>
            </w:r>
          </w:p>
        </w:tc>
      </w:tr>
      <w:tr w:rsidR="00C34831" w:rsidTr="00C34831">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i/>
                <w:iCs/>
                <w:rFonts w:ascii="Arial" w:hAnsi="Arial"/>
              </w:rPr>
              <w:t xml:space="preserve">Staphylococcus aureus</w:t>
            </w:r>
            <w:r>
              <w:rPr>
                <w:sz w:val="24"/>
                <w:szCs w:val="24"/>
                <w:rFonts w:ascii="Arial" w:hAnsi="Arial"/>
              </w:rPr>
              <w:t xml:space="preserve"> ali</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ali koagulaza pozitivni stafilokoki</w:t>
            </w: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i/>
                <w:iCs/>
                <w:rFonts w:ascii="Arial" w:hAnsi="Arial"/>
              </w:rPr>
              <w:t xml:space="preserve">Listeria monocytogenes</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Odsotna v 25 g (travnik)</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Odsotna v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Makroorganizmi, ki so patogeni za ljudi ali živali:</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Ogorčice (jajčeca in ličinke)</w:t>
            </w:r>
          </w:p>
        </w:tc>
        <w:tc>
          <w:tcPr>
            <w:tcW w:w="5494" w:type="dxa"/>
            <w:gridSpan w:val="4"/>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Odsotne v 1 g**</w:t>
            </w: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Odsotne v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Priporočene metode analize so opredeljene v smernicah, ki jih objavila agencija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Dodatne analize, priporočljive glede na vrsto proizvoda in zadevne pridelke, so opredeljene v smernicah, ki jih je objavila agencija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Če so prisotne ličinke, se v smernicah, ki jih objavi agencija Anses, opredelijo dodatne analize, priporočljive glede na zadevne pridelke.</w:t>
            </w: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Protimikrobna odpornost</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Za proizvode, ki so sestavljeni iz mikroorganizmov ali v katerih je vključen eden ali več mikroorganizmov (bakterij), v zvezi s katerimi se predvideva učinek gnojenja, je treba vzpostaviti antibiogram s sklicevanjem na smernice EFSA (1) in na razrede antibiotikov, ki jih je opredelila SZO (2).</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B2B92"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Smernice o mikroorganizmih, ki se uporabljajo kot krmni dodatki ali produkcijski organizmi, preglednica 2 (EFSA)</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 Vzorčni seznam osnovnih zdravil SZO.</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aprila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ministra in po njegovem pooblastilu:</w:t>
      </w: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namestnik generalnega direktorja za prehrano</w:t>
      </w: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 Evain</w:t>
      </w:r>
    </w:p>
    <w:sectPr w:rsidR="00621B9B" w:rsidRPr="00621B9B">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AB6" w:rsidRDefault="000C1AB6" w:rsidP="00716768">
      <w:pPr>
        <w:spacing w:after="0" w:line="240" w:lineRule="auto"/>
      </w:pPr>
      <w:r>
        <w:separator/>
      </w:r>
    </w:p>
  </w:endnote>
  <w:endnote w:type="continuationSeparator" w:id="0">
    <w:p w:rsidR="000C1AB6" w:rsidRDefault="000C1AB6" w:rsidP="0071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AB6" w:rsidRDefault="000C1AB6" w:rsidP="00716768">
      <w:pPr>
        <w:spacing w:after="0" w:line="240" w:lineRule="auto"/>
      </w:pPr>
      <w:r>
        <w:separator/>
      </w:r>
    </w:p>
  </w:footnote>
  <w:footnote w:type="continuationSeparator" w:id="0">
    <w:p w:rsidR="000C1AB6" w:rsidRDefault="000C1AB6" w:rsidP="007167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03F9B"/>
    <w:multiLevelType w:val="singleLevel"/>
    <w:tmpl w:val="53A5200D"/>
    <w:lvl w:ilvl="0">
      <w:start w:val="1"/>
      <w:numFmt w:val="bullet"/>
      <w:lvlText w:val="·"/>
      <w:lvlJc w:val="left"/>
      <w:rPr>
        <w:rFonts w:ascii="Times New Roman" w:hAnsi="Times New Roman" w:cs="Times New Roman"/>
      </w:rPr>
    </w:lvl>
  </w:abstractNum>
  <w:abstractNum w:abstractNumId="1" w15:restartNumberingAfterBreak="0">
    <w:nsid w:val="53C61E88"/>
    <w:multiLevelType w:val="singleLevel"/>
    <w:tmpl w:val="0EC5D46D"/>
    <w:lvl w:ilvl="0">
      <w:start w:val="1"/>
      <w:numFmt w:val="bullet"/>
      <w:lvlText w:val="·"/>
      <w:lvlJc w:val="left"/>
      <w:rPr>
        <w:rFonts w:ascii="Times New Roman" w:hAnsi="Times New Roman" w:cs="Times New Roman"/>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28"/>
    <w:rsid w:val="000C1AB6"/>
    <w:rsid w:val="00510235"/>
    <w:rsid w:val="00621B9B"/>
    <w:rsid w:val="006B2B92"/>
    <w:rsid w:val="00716768"/>
    <w:rsid w:val="00755C28"/>
    <w:rsid w:val="00915AB1"/>
    <w:rsid w:val="00990A0D"/>
    <w:rsid w:val="00A619BA"/>
    <w:rsid w:val="00B553AE"/>
    <w:rsid w:val="00C34831"/>
    <w:rsid w:val="00C5171F"/>
    <w:rsid w:val="00D8408E"/>
    <w:rsid w:val="00DD2A3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97528802-E004-4F22-8A01-B9E922B2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768"/>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6768"/>
  </w:style>
  <w:style w:type="paragraph" w:styleId="Footer">
    <w:name w:val="footer"/>
    <w:basedOn w:val="Normal"/>
    <w:link w:val="FooterChar"/>
    <w:uiPriority w:val="99"/>
    <w:unhideWhenUsed/>
    <w:rsid w:val="00716768"/>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6768"/>
  </w:style>
  <w:style w:type="paragraph" w:styleId="PlainText">
    <w:name w:val="Plain Text"/>
    <w:basedOn w:val="Normal"/>
    <w:link w:val="PlainTextChar"/>
    <w:uiPriority w:val="99"/>
    <w:unhideWhenUsed/>
    <w:rsid w:val="006B2B92"/>
    <w:pPr>
      <w:spacing w:after="0" w:line="240" w:lineRule="auto"/>
    </w:pPr>
    <w:rPr>
      <w:rFonts w:ascii="Consolas" w:eastAsia="Times New Roman" w:hAnsi="Consolas" w:cs="Times New Roman"/>
      <w:sz w:val="21"/>
      <w:szCs w:val="21"/>
      <w:lang w:val="sl-SI" w:eastAsia="en-US"/>
    </w:rPr>
  </w:style>
  <w:style w:type="character" w:customStyle="1" w:styleId="PlainTextChar">
    <w:name w:val="Plain Text Char"/>
    <w:basedOn w:val="DefaultParagraphFont"/>
    <w:link w:val="PlainText"/>
    <w:uiPriority w:val="99"/>
    <w:rsid w:val="006B2B92"/>
    <w:rPr>
      <w:rFonts w:ascii="Consolas" w:eastAsia="Times New Roman" w:hAnsi="Consolas" w:cs="Times New Roman"/>
      <w:sz w:val="21"/>
      <w:szCs w:val="21"/>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2638</Words>
  <Characters>15038</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ZAGHINI, Francesco</cp:lastModifiedBy>
  <cp:revision>7</cp:revision>
  <dcterms:created xsi:type="dcterms:W3CDTF">2020-04-10T08:50:00Z</dcterms:created>
  <dcterms:modified xsi:type="dcterms:W3CDTF">2020-09-03T15:22:00Z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Apr 10 10:49:34 CEST 2020</vt:lpwstr>
  </property>
  <property fmtid="{D5CDD505-2E9C-101B-9397-08002B2CF9AE}" pid="3" name="jforVersion">
    <vt:lpwstr>jfor V0.7.2rc1 - see http://www.jfor.org</vt:lpwstr>
  </property>
</Properties>
</file>