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57E01" w14:textId="0AD2A2E6" w:rsidR="0091011B" w:rsidRPr="00701B1F" w:rsidRDefault="0091011B" w:rsidP="0091011B">
      <w:pPr>
        <w:widowControl/>
        <w:rPr>
          <w:rFonts w:ascii="Courier New" w:hAnsi="Courier New" w:cs="Courier New"/>
          <w:sz w:val="20"/>
        </w:rPr>
      </w:pPr>
      <w:r>
        <w:rPr>
          <w:rFonts w:ascii="Courier New" w:hAnsi="Courier New" w:cs="Courier New"/>
          <w:sz w:val="20"/>
        </w:rPr>
        <w:t>1. ------IND- 2020 0043 PL-- ES</w:t>
      </w:r>
      <w:r w:rsidRPr="00701B1F">
        <w:rPr>
          <w:rFonts w:ascii="Courier New" w:hAnsi="Courier New" w:cs="Courier New"/>
          <w:sz w:val="20"/>
        </w:rPr>
        <w:t>- ------ 20200218 --- --- PROJET</w:t>
      </w:r>
    </w:p>
    <w:p w14:paraId="56F23F34" w14:textId="77777777" w:rsidR="008443A6" w:rsidRPr="00701B1F" w:rsidRDefault="008443A6" w:rsidP="00701B1F">
      <w:pPr>
        <w:pStyle w:val="OZNPROJEKTUwskazaniedatylubwersjiprojektu"/>
      </w:pPr>
      <w:r>
        <w:t>Proyecto</w:t>
      </w:r>
    </w:p>
    <w:p w14:paraId="266F98D1" w14:textId="77777777" w:rsidR="008443A6" w:rsidRPr="00701B1F" w:rsidRDefault="008443A6" w:rsidP="00D35C9B">
      <w:pPr>
        <w:pStyle w:val="OZNRODZAKTUtznustawalubrozporzdzenieiorganwydajcy"/>
        <w:rPr>
          <w:spacing w:val="0"/>
        </w:rPr>
      </w:pPr>
      <w:r>
        <w:t>LEY</w:t>
      </w:r>
    </w:p>
    <w:p w14:paraId="2246451F" w14:textId="77777777" w:rsidR="008443A6" w:rsidRPr="00701B1F" w:rsidRDefault="008443A6" w:rsidP="00D35C9B">
      <w:pPr>
        <w:pStyle w:val="DATAAKTUdatauchwalenialubwydaniaaktu"/>
      </w:pPr>
      <w:proofErr w:type="gramStart"/>
      <w:r>
        <w:t>de</w:t>
      </w:r>
      <w:proofErr w:type="gramEnd"/>
      <w:r>
        <w:t xml:space="preserve"> </w:t>
      </w:r>
    </w:p>
    <w:p w14:paraId="7CD67CC4" w14:textId="77777777" w:rsidR="008443A6" w:rsidRPr="00701B1F" w:rsidRDefault="008443A6" w:rsidP="00D35C9B">
      <w:pPr>
        <w:pStyle w:val="TYTUAKTUprzedmiotregulacjiustawylubrozporzdzenia"/>
      </w:pPr>
      <w:proofErr w:type="gramStart"/>
      <w:r>
        <w:t>por</w:t>
      </w:r>
      <w:proofErr w:type="gramEnd"/>
      <w:r>
        <w:t xml:space="preserve"> la que se modifican determinadas leyes para fomentar las decisiones saludables de los consumidores</w:t>
      </w:r>
      <w:r w:rsidRPr="00701B1F">
        <w:rPr>
          <w:rStyle w:val="FootnoteReference"/>
        </w:rPr>
        <w:footnoteReference w:id="1"/>
      </w:r>
      <w:r>
        <w:rPr>
          <w:rStyle w:val="IGindeksgrny"/>
        </w:rPr>
        <w:t>)</w:t>
      </w:r>
      <w:r>
        <w:t xml:space="preserve">, </w:t>
      </w:r>
      <w:r w:rsidRPr="00701B1F">
        <w:rPr>
          <w:rStyle w:val="FootnoteReference"/>
        </w:rPr>
        <w:footnoteReference w:id="2"/>
      </w:r>
      <w:r>
        <w:rPr>
          <w:rStyle w:val="IGindeksgrny"/>
        </w:rPr>
        <w:t>)</w:t>
      </w:r>
    </w:p>
    <w:p w14:paraId="4B7D687C" w14:textId="77777777" w:rsidR="008443A6" w:rsidRPr="00701B1F" w:rsidRDefault="008443A6" w:rsidP="00701B1F">
      <w:pPr>
        <w:pStyle w:val="ARTartustawynprozporzdzenia"/>
      </w:pPr>
      <w:r>
        <w:rPr>
          <w:rStyle w:val="Ppogrubienie"/>
        </w:rPr>
        <w:t>Artículo 1.</w:t>
      </w:r>
      <w:r>
        <w:t xml:space="preserve"> En la Ley, de 17 de junio de 1966, sobre el procedimiento administrativo de ejecución (Boletín Oficial de la República de Polonia de 2019, punto 1438, posteriormente en su versión modificada</w:t>
      </w:r>
      <w:r w:rsidRPr="00701B1F">
        <w:rPr>
          <w:rStyle w:val="FootnoteReference"/>
        </w:rPr>
        <w:footnoteReference w:id="3"/>
      </w:r>
      <w:r>
        <w:rPr>
          <w:rStyle w:val="IGindeksgrny"/>
        </w:rPr>
        <w:t>)</w:t>
      </w:r>
      <w:r>
        <w:t>), en el artículo 3 </w:t>
      </w:r>
      <w:r>
        <w:rPr>
          <w:i/>
          <w:iCs/>
        </w:rPr>
        <w:t>bis</w:t>
      </w:r>
      <w:r>
        <w:t>:</w:t>
      </w:r>
    </w:p>
    <w:p w14:paraId="251E2B80" w14:textId="77777777" w:rsidR="008443A6" w:rsidRPr="00701B1F" w:rsidRDefault="008443A6" w:rsidP="00701B1F">
      <w:pPr>
        <w:pStyle w:val="PKTpunkt"/>
      </w:pPr>
      <w:r>
        <w:t>1)</w:t>
      </w:r>
      <w:r>
        <w:tab/>
        <w:t>el apartado 1 se reformula como sigue:</w:t>
      </w:r>
    </w:p>
    <w:p w14:paraId="117787CC" w14:textId="77777777" w:rsidR="008443A6" w:rsidRPr="00701B1F" w:rsidRDefault="008443A6" w:rsidP="00701B1F">
      <w:pPr>
        <w:pStyle w:val="ZUSTzmustartykuempunktem"/>
      </w:pPr>
      <w:r>
        <w:t>«Apartado 1. En el ámbito de las obligaciones contraídas en los casos indicados en el artículo 8 y en el artículo 21, apartado 1, punto 1, de la Ley General Tributaria, de 29 de agosto de 1997, las deudas aduaneras contraídas en los casos indicados en el artículo 77 apartado 1, así como en el artículo 81, apartado 1, del Reglamento (UE) n.º 952/2013 del Parlamento Europeo y del Consejo, de 9 de octubre de 2013, por el que se establece el código aduanero de la Unión, los impuestos demostrados en una declaración aduanera, las cuotas a la seguridad social, las tasas de combustible mencionadas en la Ley, de 27 de octubre de 1994, sobre las autopistas de peaje y sobre el Fondo nacional de carreteras (Boletín Oficial de la República de Polonia de 2020, punto 72), las subvenciones mencionadas en la Ley, de 19 de noviembre de 2009, sobre juegos de azar (Boletín Oficial de la República de Polonia de 2019, puntos 847 y 1495), las tasas de gestión de residuos urbanos, mencionadas en el artículo 6 </w:t>
      </w:r>
      <w:proofErr w:type="spellStart"/>
      <w:r>
        <w:rPr>
          <w:i/>
          <w:iCs/>
        </w:rPr>
        <w:t>nonies</w:t>
      </w:r>
      <w:proofErr w:type="spellEnd"/>
      <w:r>
        <w:t xml:space="preserve"> de la Ley, </w:t>
      </w:r>
      <w:r>
        <w:lastRenderedPageBreak/>
        <w:t>de 13 de septiembre de 1996, sobre el mantenimiento de la limpieza y el orden en los municipios (Boletín Oficial de la República de Polonia de 2019, puntos 2010 y 2020), las tasas de emisión, así como las tasas del uso del medioambiente, mencionadas en la Ley de 27 de abril de 2001 sobre la protección del medioambiente (Boletín Oficial de la República de Polonia de 2019, punto 1396, en su versión modificada</w:t>
      </w:r>
      <w:r w:rsidRPr="00701B1F">
        <w:rPr>
          <w:rStyle w:val="IGindeksgrny"/>
        </w:rPr>
        <w:footnoteReference w:id="4"/>
      </w:r>
      <w:r>
        <w:rPr>
          <w:rStyle w:val="IGindeksgrny"/>
        </w:rPr>
        <w:t>)</w:t>
      </w:r>
      <w:r>
        <w:t>), el impuesto de solidaridad, mencionado en el capítulo 6 </w:t>
      </w:r>
      <w:r>
        <w:rPr>
          <w:i/>
          <w:iCs/>
        </w:rPr>
        <w:t>bis</w:t>
      </w:r>
      <w:r>
        <w:t xml:space="preserve"> de la Ley de 26 de julio de 1991 relativa al impuesto sobre la renta de las personas físicas (Boletín Oficial de la República de Polonia de 2019, punto 1387, en su versión modificada</w:t>
      </w:r>
      <w:r w:rsidRPr="00701B1F">
        <w:rPr>
          <w:rStyle w:val="IGindeksgrny"/>
        </w:rPr>
        <w:footnoteReference w:id="5"/>
      </w:r>
      <w:r>
        <w:rPr>
          <w:rStyle w:val="IGindeksgrny"/>
        </w:rPr>
        <w:t>)</w:t>
      </w:r>
      <w:r>
        <w:t>), las tasas mencionadas en el artículo 9 </w:t>
      </w:r>
      <w:r>
        <w:rPr>
          <w:i/>
          <w:iCs/>
        </w:rPr>
        <w:t>ter</w:t>
      </w:r>
      <w:r>
        <w:t>, apartado 1, de la Ley de 26 de octubre de 1982 relativa a la educación en la sobriedad y la prevención del alcoholismo (Boletín Oficial de la República de Polonia de 2019, punto 2277, así como de 2020, punto ...), así como la tasa mencionada en el artículo 12 </w:t>
      </w:r>
      <w:r>
        <w:rPr>
          <w:i/>
          <w:iCs/>
        </w:rPr>
        <w:t>bis</w:t>
      </w:r>
      <w:r>
        <w:t xml:space="preserve">, apartado 1, de la Ley de 11 de septiembre de 2015 sobre la salud pública (Boletín Oficial de la República de Polonia de 2019, </w:t>
      </w:r>
      <w:r>
        <w:rPr>
          <w:rStyle w:val="Ppogrubienie"/>
          <w:b w:val="0"/>
        </w:rPr>
        <w:t>punto 2365, así como de 2020, punto …</w:t>
      </w:r>
      <w:r>
        <w:t>), también se aplicará la ejecución administrativa, si así resultase respectivamente de:</w:t>
      </w:r>
    </w:p>
    <w:p w14:paraId="31A15CBA" w14:textId="77777777" w:rsidR="008443A6" w:rsidRPr="00701B1F" w:rsidRDefault="008443A6" w:rsidP="00701B1F">
      <w:pPr>
        <w:pStyle w:val="ZPKTzmpktartykuempunktem"/>
      </w:pPr>
      <w:r>
        <w:t>1)</w:t>
      </w:r>
      <w:r>
        <w:tab/>
        <w:t>la declaración o el testimonio presentado por el contribuyente o pagador;</w:t>
      </w:r>
    </w:p>
    <w:p w14:paraId="166F0737" w14:textId="77777777" w:rsidR="008443A6" w:rsidRPr="00701B1F" w:rsidRDefault="008443A6" w:rsidP="00701B1F">
      <w:pPr>
        <w:pStyle w:val="ZPKTzmpktartykuempunktem"/>
      </w:pPr>
      <w:r>
        <w:t>2)</w:t>
      </w:r>
      <w:r>
        <w:tab/>
        <w:t>la declaración aduanera presentada por el deudor;</w:t>
      </w:r>
    </w:p>
    <w:p w14:paraId="3C7492EF" w14:textId="77777777" w:rsidR="008443A6" w:rsidRPr="0091011B" w:rsidRDefault="008443A6" w:rsidP="00701B1F">
      <w:pPr>
        <w:pStyle w:val="ZPKTzmpktartykuempunktem"/>
        <w:rPr>
          <w:spacing w:val="-4"/>
        </w:rPr>
      </w:pPr>
      <w:r w:rsidRPr="0091011B">
        <w:rPr>
          <w:spacing w:val="-4"/>
        </w:rPr>
        <w:t>3)</w:t>
      </w:r>
      <w:r w:rsidRPr="0091011B">
        <w:rPr>
          <w:spacing w:val="-4"/>
        </w:rPr>
        <w:tab/>
        <w:t>la declaración de liquidación presentada por el pagador de cuotas a la seguridad social;</w:t>
      </w:r>
    </w:p>
    <w:p w14:paraId="5F35BF60" w14:textId="77777777" w:rsidR="008443A6" w:rsidRPr="00701B1F" w:rsidRDefault="008443A6" w:rsidP="00701B1F">
      <w:pPr>
        <w:pStyle w:val="ZPKTzmpktartykuempunktem"/>
      </w:pPr>
      <w:r>
        <w:t>4)</w:t>
      </w:r>
      <w:r>
        <w:tab/>
        <w:t>la información sobre la tasa de combustible;</w:t>
      </w:r>
    </w:p>
    <w:p w14:paraId="2BFBBCF0" w14:textId="77777777" w:rsidR="008443A6" w:rsidRPr="00701B1F" w:rsidRDefault="008443A6" w:rsidP="00701B1F">
      <w:pPr>
        <w:pStyle w:val="ZPKTzmpktartykuempunktem"/>
      </w:pPr>
      <w:r>
        <w:t>5)</w:t>
      </w:r>
      <w:r>
        <w:tab/>
        <w:t>la información sobre subvenciones;</w:t>
      </w:r>
    </w:p>
    <w:p w14:paraId="738C0EB6" w14:textId="77777777" w:rsidR="008443A6" w:rsidRPr="0091011B" w:rsidRDefault="008443A6" w:rsidP="00701B1F">
      <w:pPr>
        <w:pStyle w:val="ZPKTzmpktartykuempunktem"/>
        <w:rPr>
          <w:spacing w:val="-4"/>
        </w:rPr>
      </w:pPr>
      <w:r w:rsidRPr="0091011B">
        <w:rPr>
          <w:spacing w:val="-4"/>
        </w:rPr>
        <w:t>6)</w:t>
      </w:r>
      <w:r w:rsidRPr="0091011B">
        <w:rPr>
          <w:spacing w:val="-4"/>
        </w:rPr>
        <w:tab/>
        <w:t>la declaración del importe de la tasa de gestión de residuos urbanos, o bien de la notificación al propietario del inmueble por parte del alcalde, presidente del municipio o presidente de la ciudad sobre el importe de la tasa de gestión de residuos urbanos;</w:t>
      </w:r>
    </w:p>
    <w:p w14:paraId="5F1D5FEA" w14:textId="77777777" w:rsidR="008443A6" w:rsidRPr="00701B1F" w:rsidRDefault="008443A6" w:rsidP="00701B1F">
      <w:pPr>
        <w:pStyle w:val="ZPKTzmpktartykuempunktem"/>
      </w:pPr>
      <w:r>
        <w:t>7)</w:t>
      </w:r>
      <w:r>
        <w:tab/>
        <w:t>el estado de liquidación mencionado en el artículo 175, del Reglamento Delegado (UE) 2015/2446 de la Comisión, de 28 de julio de 2015, por el que se completa el Reglamento (UE) n</w:t>
      </w:r>
      <w:proofErr w:type="gramStart"/>
      <w:r>
        <w:t>.º</w:t>
      </w:r>
      <w:proofErr w:type="gramEnd"/>
      <w:r>
        <w:t xml:space="preserve"> 952/2013 del Parlamento Europeo y del Consejo con normas de desarrollo relativas a determinadas disposiciones del Código Aduanero de la Unión (DO L 343 de 29.12.2015, p. 1, en su versión modificada</w:t>
      </w:r>
      <w:r w:rsidR="0009374D" w:rsidRPr="00701B1F">
        <w:rPr>
          <w:rStyle w:val="FootnoteReference"/>
        </w:rPr>
        <w:footnoteReference w:id="6"/>
      </w:r>
      <w:r>
        <w:rPr>
          <w:rStyle w:val="IGindeksgrny"/>
        </w:rPr>
        <w:t>)</w:t>
      </w:r>
      <w:r>
        <w:t xml:space="preserve">); </w:t>
      </w:r>
    </w:p>
    <w:p w14:paraId="04F58155" w14:textId="77777777" w:rsidR="008443A6" w:rsidRPr="00701B1F" w:rsidRDefault="008443A6" w:rsidP="00701B1F">
      <w:pPr>
        <w:pStyle w:val="ZPKTzmpktartykuempunktem"/>
      </w:pPr>
      <w:r>
        <w:lastRenderedPageBreak/>
        <w:t>8)</w:t>
      </w:r>
      <w:r>
        <w:tab/>
        <w:t>la información sobre la tasa de emisión;</w:t>
      </w:r>
    </w:p>
    <w:p w14:paraId="596F4DE1" w14:textId="77777777" w:rsidR="008443A6" w:rsidRPr="00701B1F" w:rsidRDefault="008443A6" w:rsidP="00701B1F">
      <w:pPr>
        <w:pStyle w:val="ZPKTzmpktartykuempunktem"/>
      </w:pPr>
      <w:r>
        <w:t>9)</w:t>
      </w:r>
      <w:r>
        <w:tab/>
        <w:t>la declaración del importe del impuesto de solidaridad;</w:t>
      </w:r>
    </w:p>
    <w:p w14:paraId="1E0B8CD4" w14:textId="77777777" w:rsidR="008443A6" w:rsidRPr="00701B1F" w:rsidRDefault="008443A6" w:rsidP="00701B1F">
      <w:pPr>
        <w:pStyle w:val="ZPKTzmpktartykuempunktem"/>
        <w:rPr>
          <w:rStyle w:val="IntenseReference"/>
          <w:b w:val="0"/>
          <w:bCs/>
          <w:smallCaps w:val="0"/>
          <w:color w:val="auto"/>
          <w:spacing w:val="0"/>
        </w:rPr>
      </w:pPr>
      <w:r>
        <w:rPr>
          <w:rStyle w:val="IntenseReference"/>
          <w:b w:val="0"/>
          <w:bCs/>
          <w:smallCaps w:val="0"/>
          <w:color w:val="auto"/>
        </w:rPr>
        <w:t>10)</w:t>
      </w:r>
      <w:r>
        <w:rPr>
          <w:rStyle w:val="IntenseReference"/>
          <w:b w:val="0"/>
          <w:bCs/>
          <w:smallCaps w:val="0"/>
          <w:color w:val="auto"/>
        </w:rPr>
        <w:tab/>
        <w:t>la lista con la información y los datos sobre el ámbito de uso del medioambiente, así como sobre los importes de las tasas debidas;</w:t>
      </w:r>
    </w:p>
    <w:p w14:paraId="3C265D8F" w14:textId="77777777" w:rsidR="008443A6" w:rsidRPr="0091011B" w:rsidRDefault="008443A6" w:rsidP="00701B1F">
      <w:pPr>
        <w:pStyle w:val="ZPKTzmpktartykuempunktem"/>
        <w:rPr>
          <w:spacing w:val="-6"/>
        </w:rPr>
      </w:pPr>
      <w:r w:rsidRPr="0091011B">
        <w:rPr>
          <w:spacing w:val="-6"/>
        </w:rPr>
        <w:t>11)</w:t>
      </w:r>
      <w:r w:rsidRPr="0091011B">
        <w:rPr>
          <w:spacing w:val="-6"/>
        </w:rPr>
        <w:tab/>
        <w:t>la información mencionada en el artículo 9 </w:t>
      </w:r>
      <w:r w:rsidRPr="0091011B">
        <w:rPr>
          <w:i/>
          <w:iCs/>
          <w:spacing w:val="-6"/>
        </w:rPr>
        <w:t>ter</w:t>
      </w:r>
      <w:r w:rsidRPr="0091011B">
        <w:rPr>
          <w:spacing w:val="-6"/>
        </w:rPr>
        <w:t>, apartado 15, punto 1, de la Ley, de 26 de octubre de 1982, relativa a la educación en la sobriedad y la prevención del alcoholismo;</w:t>
      </w:r>
    </w:p>
    <w:p w14:paraId="26E007CC" w14:textId="77777777" w:rsidR="008443A6" w:rsidRPr="00701B1F" w:rsidRDefault="008443A6" w:rsidP="00701B1F">
      <w:pPr>
        <w:pStyle w:val="ZPKTzmpktartykuempunktem"/>
      </w:pPr>
      <w:r>
        <w:t>12)</w:t>
      </w:r>
      <w:r>
        <w:tab/>
      </w:r>
      <w:proofErr w:type="gramStart"/>
      <w:r>
        <w:t>la</w:t>
      </w:r>
      <w:proofErr w:type="gramEnd"/>
      <w:r>
        <w:t xml:space="preserve"> información mencionada en el artículo 12 </w:t>
      </w:r>
      <w:proofErr w:type="spellStart"/>
      <w:r>
        <w:rPr>
          <w:i/>
          <w:iCs/>
        </w:rPr>
        <w:t>octies</w:t>
      </w:r>
      <w:proofErr w:type="spellEnd"/>
      <w:r>
        <w:t>, apartado 1, punto 1, de la Ley, de 11 de septiembre de 2015, sobre la salud pública.»;</w:t>
      </w:r>
    </w:p>
    <w:p w14:paraId="7B97F692" w14:textId="77777777" w:rsidR="008443A6" w:rsidRPr="00701B1F" w:rsidRDefault="008443A6" w:rsidP="00701B1F">
      <w:pPr>
        <w:pStyle w:val="PKTpunkt"/>
      </w:pPr>
      <w:r>
        <w:t>2)</w:t>
      </w:r>
      <w:r>
        <w:tab/>
        <w:t>en el apartado 2, el punto 1 se reformula como sigue:</w:t>
      </w:r>
    </w:p>
    <w:p w14:paraId="0FDB3A99" w14:textId="77777777" w:rsidR="008443A6" w:rsidRPr="0091011B" w:rsidRDefault="008443A6" w:rsidP="00701B1F">
      <w:pPr>
        <w:pStyle w:val="ZPKTzmpktartykuempunktem"/>
        <w:rPr>
          <w:spacing w:val="-2"/>
        </w:rPr>
      </w:pPr>
      <w:r w:rsidRPr="0091011B">
        <w:rPr>
          <w:spacing w:val="-2"/>
        </w:rPr>
        <w:t>«1)</w:t>
      </w:r>
      <w:r w:rsidRPr="0091011B">
        <w:rPr>
          <w:spacing w:val="-2"/>
        </w:rPr>
        <w:tab/>
        <w:t>en la declaración, el testimonio, la declaración aduanera, la declaración de liquidación, la información sobre la tasa de combustible, la información sobre subvenciones, la declaración del importe de la tasa de gestión de residuos urbanos, la notificación del importe de la tasa de gestión de residuos urbanos, el estado de liquidación, la información sobre la tasa de emisión, la declaración del importe del impuesto de solidaridad, la lista con la información y los datos sobre el ámbito de uso del medioambiente y sobre el importe de las tasas debidas, la información mencionada en el artículo 9 </w:t>
      </w:r>
      <w:r w:rsidRPr="0091011B">
        <w:rPr>
          <w:i/>
          <w:iCs/>
          <w:spacing w:val="-2"/>
        </w:rPr>
        <w:t>ter</w:t>
      </w:r>
      <w:r w:rsidRPr="0091011B">
        <w:rPr>
          <w:spacing w:val="-2"/>
        </w:rPr>
        <w:t>, apartado 15, punto 1, de la Ley, de 26 de octubre de 1982, relativa a la educación en la sobriedad y la prevención del alcoholismo, o bien la información mencionada en el artículo 12 </w:t>
      </w:r>
      <w:proofErr w:type="spellStart"/>
      <w:r w:rsidRPr="0091011B">
        <w:rPr>
          <w:i/>
          <w:iCs/>
          <w:spacing w:val="-2"/>
        </w:rPr>
        <w:t>octies</w:t>
      </w:r>
      <w:proofErr w:type="spellEnd"/>
      <w:r w:rsidRPr="0091011B">
        <w:rPr>
          <w:spacing w:val="-2"/>
        </w:rPr>
        <w:t>, apartado 1, punto 1, de la Ley, de 11 de septiembre de 2015, sobre la salud pública, se ha incluido una instrucción acerca de que estos constituyen una base para emitir el título ejecutivo;».</w:t>
      </w:r>
    </w:p>
    <w:p w14:paraId="6863C749" w14:textId="77777777" w:rsidR="008443A6" w:rsidRPr="00701B1F" w:rsidRDefault="008443A6" w:rsidP="00701B1F">
      <w:pPr>
        <w:pStyle w:val="ARTartustawynprozporzdzenia"/>
      </w:pPr>
      <w:r>
        <w:rPr>
          <w:rStyle w:val="Ppogrubienie"/>
        </w:rPr>
        <w:t>Artículo 2.</w:t>
      </w:r>
      <w:r>
        <w:t xml:space="preserve"> En la Ley, de 26 de octubre de 1982, relativa a la educación en la sobriedad y la prevención del alcoholismo (Boletín Oficial de la República de Polonia de 2019, punto 2277), se introducen las siguientes modificaciones:</w:t>
      </w:r>
    </w:p>
    <w:p w14:paraId="56E13534" w14:textId="77777777" w:rsidR="008443A6" w:rsidRPr="00701B1F" w:rsidRDefault="0009374D" w:rsidP="00701B1F">
      <w:pPr>
        <w:pStyle w:val="PKTpunkt"/>
      </w:pPr>
      <w:r>
        <w:t>1)</w:t>
      </w:r>
      <w:r>
        <w:tab/>
      </w:r>
      <w:proofErr w:type="gramStart"/>
      <w:r>
        <w:t>en</w:t>
      </w:r>
      <w:proofErr w:type="gramEnd"/>
      <w:r>
        <w:t xml:space="preserve"> el artículo 9, apartado 2, se añade una frase segunda con la siguiente redacción: </w:t>
      </w:r>
    </w:p>
    <w:p w14:paraId="18C2E522" w14:textId="77777777" w:rsidR="008443A6" w:rsidRPr="00701B1F" w:rsidRDefault="008443A6" w:rsidP="00701B1F">
      <w:pPr>
        <w:pStyle w:val="ZFRAGzmfragmentunpzdaniaartykuempunktem"/>
      </w:pPr>
      <w:r>
        <w:t xml:space="preserve">«La emisión de permisos, decisiones que introducen modificaciones en esos permisos y duplicados de dichos permisos es una tarea propia de los </w:t>
      </w:r>
      <w:proofErr w:type="spellStart"/>
      <w:r>
        <w:t>voivodatos</w:t>
      </w:r>
      <w:proofErr w:type="spellEnd"/>
      <w:r>
        <w:t>»;</w:t>
      </w:r>
    </w:p>
    <w:p w14:paraId="07DD09A5" w14:textId="77777777" w:rsidR="008443A6" w:rsidRPr="00701B1F" w:rsidRDefault="0009374D" w:rsidP="0091011B">
      <w:pPr>
        <w:pStyle w:val="PKTpunkt"/>
        <w:pageBreakBefore/>
      </w:pPr>
      <w:r>
        <w:lastRenderedPageBreak/>
        <w:t>2)</w:t>
      </w:r>
      <w:r>
        <w:tab/>
        <w:t>el artículo 9 </w:t>
      </w:r>
      <w:r>
        <w:rPr>
          <w:i/>
          <w:iCs/>
        </w:rPr>
        <w:t>ter</w:t>
      </w:r>
      <w:r>
        <w:t xml:space="preserve"> se reformula como sigue:</w:t>
      </w:r>
    </w:p>
    <w:p w14:paraId="45C7AC93" w14:textId="77777777" w:rsidR="008443A6" w:rsidRPr="00701B1F" w:rsidRDefault="008443A6" w:rsidP="00701B1F">
      <w:pPr>
        <w:pStyle w:val="ZARTzmartartykuempunktem"/>
      </w:pPr>
      <w:r>
        <w:t>«Artículo 9 </w:t>
      </w:r>
      <w:r>
        <w:rPr>
          <w:i/>
          <w:iCs/>
        </w:rPr>
        <w:t>ter</w:t>
      </w:r>
      <w:r>
        <w:t>. 1. Se cobrarán tasas por la emisión de los permisos mencionados en el artículo 9, apartados 1 y 2, la emisión de las decisiones por las se modifican los permisos, así como por la emisión de los duplicados de dichos permisos.</w:t>
      </w:r>
    </w:p>
    <w:p w14:paraId="18344EA2" w14:textId="77777777" w:rsidR="008443A6" w:rsidRPr="00701B1F" w:rsidRDefault="008443A6" w:rsidP="00701B1F">
      <w:pPr>
        <w:pStyle w:val="ZUSTzmustartykuempunktem"/>
      </w:pPr>
      <w:r>
        <w:t>2. Las tasas se pagarán antes de la emisión del permiso, del permiso duplicado o de la decisión en la cuenta del órgano emisor del permiso, tras presentar la declaración mencionada en el apartado 4, frase segunda, sin perjuicio de los apartados 14 a 16.</w:t>
      </w:r>
    </w:p>
    <w:p w14:paraId="29B95E6A" w14:textId="77777777" w:rsidR="008443A6" w:rsidRPr="00701B1F" w:rsidRDefault="008443A6" w:rsidP="00701B1F">
      <w:pPr>
        <w:pStyle w:val="ZUSTzmustartykuempunktem"/>
      </w:pPr>
      <w:r>
        <w:t>3. El valor de la venta al por mayor de las bebidas alcohólicas deberá calcularse para cada tipo de bebida por separado.</w:t>
      </w:r>
    </w:p>
    <w:p w14:paraId="4767DFE0" w14:textId="77777777" w:rsidR="008443A6" w:rsidRPr="0091011B" w:rsidRDefault="008443A6" w:rsidP="00701B1F">
      <w:pPr>
        <w:pStyle w:val="ZUSTzmustartykuempunktem"/>
        <w:rPr>
          <w:spacing w:val="-2"/>
        </w:rPr>
      </w:pPr>
      <w:r w:rsidRPr="0091011B">
        <w:rPr>
          <w:spacing w:val="-2"/>
        </w:rPr>
        <w:t>4. Las tasas de los permisos mencionados en el artículo 9 </w:t>
      </w:r>
      <w:r w:rsidRPr="0091011B">
        <w:rPr>
          <w:i/>
          <w:iCs/>
          <w:spacing w:val="-2"/>
        </w:rPr>
        <w:t>bis</w:t>
      </w:r>
      <w:r w:rsidRPr="0091011B">
        <w:rPr>
          <w:spacing w:val="-2"/>
        </w:rPr>
        <w:t>, apartado 1, puntos 1 y 2, se establecen en el importe de 4 000 PLN para los empresarios que soliciten el permiso por primera vez y para los que no hayan superado el importe de 1 000 000 PLN del valor de venta en el año anterior al año de expiración del permiso. Dichas tasas se ingresarán en la cuenta del órgano emisor del permiso, tras presentar una declaración por escrito relativa al valor de la venta al por mayor de las bebidas alcohólicas en el último año natural.</w:t>
      </w:r>
    </w:p>
    <w:p w14:paraId="77046645" w14:textId="77777777" w:rsidR="008443A6" w:rsidRPr="00701B1F" w:rsidRDefault="008443A6" w:rsidP="00701B1F">
      <w:pPr>
        <w:pStyle w:val="ZUSTzmustartykuempunktem"/>
      </w:pPr>
      <w:r>
        <w:t>5. En el caso de los empresarios cuyo valor de la venta al por mayor de las bebidas alcohólicas en el año anterior al año de expiración del permiso haya superado el importe de 1 000 000 PLN, la tasa de los permisos mencionados en el artículo 9 </w:t>
      </w:r>
      <w:r>
        <w:rPr>
          <w:i/>
          <w:iCs/>
        </w:rPr>
        <w:t>bis</w:t>
      </w:r>
      <w:r>
        <w:t>, apartado 1, puntos 1 y 2, se establece en un importe equivalente al 0,4 % del valor de la venta en el año anterior, redondeando a 100 PLN.</w:t>
      </w:r>
    </w:p>
    <w:p w14:paraId="7ED4535B" w14:textId="77777777" w:rsidR="008443A6" w:rsidRPr="00701B1F" w:rsidRDefault="008443A6" w:rsidP="00701B1F">
      <w:pPr>
        <w:pStyle w:val="ZUSTzmustartykuempunktem"/>
      </w:pPr>
      <w:r>
        <w:t>6. La tasa del permiso mencionado en el artículo 9 </w:t>
      </w:r>
      <w:r>
        <w:rPr>
          <w:i/>
          <w:iCs/>
        </w:rPr>
        <w:t>bis</w:t>
      </w:r>
      <w:r>
        <w:t>, apartado 1, punto 3, se establece en un importe equivalente a 22 500 PLN por cada 250 mil litros del alcohol al 100 %, sin perjuicio de los apartados 7 a 10.</w:t>
      </w:r>
    </w:p>
    <w:p w14:paraId="328ED8A6" w14:textId="77777777" w:rsidR="008443A6" w:rsidRPr="00701B1F" w:rsidRDefault="008443A6" w:rsidP="00701B1F">
      <w:pPr>
        <w:pStyle w:val="ZUSTzmustartykuempunktem"/>
      </w:pPr>
      <w:r>
        <w:t>7. La tasa del permiso mencionado en el artículo 9 </w:t>
      </w:r>
      <w:r>
        <w:rPr>
          <w:i/>
          <w:iCs/>
        </w:rPr>
        <w:t>bis</w:t>
      </w:r>
      <w:r>
        <w:t xml:space="preserve">, apartado 1, punto 3, para los empresarios que comercialicen bebidas alcohólicas con un grado alcohólico volumétrico superior al 18 %, suministrando únicamente a embarcaciones, trenes o aviones, se establece en proporción al volumen de ventas declarado. </w:t>
      </w:r>
    </w:p>
    <w:p w14:paraId="2D1A2542" w14:textId="77777777" w:rsidR="008443A6" w:rsidRPr="00701B1F" w:rsidRDefault="008443A6" w:rsidP="00701B1F">
      <w:pPr>
        <w:pStyle w:val="ZUSTzmustartykuempunktem"/>
      </w:pPr>
      <w:r>
        <w:t>8. La tasa del permiso mencionado en el artículo 9 </w:t>
      </w:r>
      <w:r>
        <w:rPr>
          <w:i/>
          <w:iCs/>
        </w:rPr>
        <w:t>bis</w:t>
      </w:r>
      <w:r>
        <w:t>, apartado 1, punto 3, para los empresarios autorizados a la producción o el llenado de las bebidas espirituosas en cantidad de hasta 10 000 litros de alcohol al 100 % al año, se establece en proporción al volumen de ventas anual declarado de productos propios.</w:t>
      </w:r>
    </w:p>
    <w:p w14:paraId="5F141D5B" w14:textId="77777777" w:rsidR="008443A6" w:rsidRPr="00701B1F" w:rsidRDefault="008443A6" w:rsidP="00701B1F">
      <w:pPr>
        <w:pStyle w:val="ZUSTzmustartykuempunktem"/>
      </w:pPr>
      <w:r>
        <w:t>9. La tasa del permiso de liquidación de las reservas de bebidas alcohólicas con un grado alcohólico volumétrico de hasta un 18 % será de 1 000 PLN.</w:t>
      </w:r>
    </w:p>
    <w:p w14:paraId="21B717BC" w14:textId="77777777" w:rsidR="008443A6" w:rsidRPr="00701B1F" w:rsidRDefault="008443A6" w:rsidP="00701B1F">
      <w:pPr>
        <w:pStyle w:val="ZUSTzmustartykuempunktem"/>
      </w:pPr>
      <w:r>
        <w:lastRenderedPageBreak/>
        <w:t>10. La tasa del permiso de liquidación de las bebidas alcohólicas con un grado alcohólico volumétrico inferior al 18 % se cobrará en función de la cantidad de litros de alcohol al 100 % declarada en la solicitud y en proporción al importe de la tasa indicada en el apartado 6.</w:t>
      </w:r>
    </w:p>
    <w:p w14:paraId="08163B73" w14:textId="77777777" w:rsidR="008443A6" w:rsidRPr="00701B1F" w:rsidRDefault="008443A6" w:rsidP="00701B1F">
      <w:pPr>
        <w:pStyle w:val="ZUSTzmustartykuempunktem"/>
      </w:pPr>
      <w:r>
        <w:t xml:space="preserve">11. La tasa del permiso mencionado en el artículo 9, apartados 1 o 2, para un empresario que suministre a otro empresario que disponga del permiso de venta al por menor de bebidas alcohólicas destinadas al consumo fuera del lugar de venta con las bebidas alcohólicas en recipientes unitarios de cantidad nominal de bebida no superior a 300 ml será de 25 PLN más por cada litro de alcohol al 100 % es esos recipientes. Dicha tasa se pagará también en el caso de realizar las acciones mencionadas en los apartados 8 a 10 en relación con las bebidas alcohólicas en recipientes unitarios de cantidad nominal de bebida no superior a 300 ml. </w:t>
      </w:r>
    </w:p>
    <w:p w14:paraId="57F36E70" w14:textId="77777777" w:rsidR="008443A6" w:rsidRPr="0091011B" w:rsidRDefault="008443A6" w:rsidP="00701B1F">
      <w:pPr>
        <w:pStyle w:val="ZUSTzmustartykuempunktem"/>
        <w:rPr>
          <w:spacing w:val="-2"/>
        </w:rPr>
      </w:pPr>
      <w:r w:rsidRPr="0091011B">
        <w:rPr>
          <w:spacing w:val="-2"/>
        </w:rPr>
        <w:t>12. Del importe de la tasa parcial debida, mencionada en el apartado 11, se restará el importe de la tasa parcial calculada sobre las bebidas alcohólicas en recipientes unitarios de cantidad nominal de bebida no superior a 300 ml devueltas por el empresario.</w:t>
      </w:r>
    </w:p>
    <w:p w14:paraId="30E0995A" w14:textId="77777777" w:rsidR="008443A6" w:rsidRPr="00701B1F" w:rsidRDefault="008443A6" w:rsidP="00701B1F">
      <w:pPr>
        <w:pStyle w:val="ZUSTzmustartykuempunktem"/>
      </w:pPr>
      <w:r>
        <w:t>13. La obligación del pago de la tasa surge en el momento de suministro de las bebidas mencionadas en el apartado 11.</w:t>
      </w:r>
    </w:p>
    <w:p w14:paraId="3367E34B" w14:textId="77777777" w:rsidR="008443A6" w:rsidRPr="00701B1F" w:rsidRDefault="008443A6" w:rsidP="00701B1F">
      <w:pPr>
        <w:pStyle w:val="ZUSTzmustartykuempunktem"/>
      </w:pPr>
      <w:r>
        <w:t>14. El órgano competente en el ámbito de la tasa parcial mencionada en el apartado 11 será el director de la administración tributaria correspondiente al domicilio o a la dirección de la sede del empresario que cuenta con el permiso mencionado en el artículo 9, apartado 1 o 2.</w:t>
      </w:r>
    </w:p>
    <w:p w14:paraId="338786AB" w14:textId="77777777" w:rsidR="008443A6" w:rsidRPr="00701B1F" w:rsidRDefault="008443A6" w:rsidP="00701B1F">
      <w:pPr>
        <w:pStyle w:val="ZUSTzmustartykuempunktem"/>
      </w:pPr>
      <w:r>
        <w:t>15. El empresario que cuente con el permiso mencionado en el artículo 9, apartado 1 o 2, independientemente del permiso de que se trate, deberá:</w:t>
      </w:r>
    </w:p>
    <w:p w14:paraId="71462077" w14:textId="77777777" w:rsidR="008443A6" w:rsidRPr="00701B1F" w:rsidRDefault="008443A6" w:rsidP="00701B1F">
      <w:pPr>
        <w:pStyle w:val="ZPKTzmpktartykuempunktem"/>
      </w:pPr>
      <w:r>
        <w:t>1)</w:t>
      </w:r>
      <w:r>
        <w:tab/>
        <w:t>presentar de forma electrónica la información firmada mediante firma cualificada, de acuerdo con el modelo mencionado en el apartado 28, en el órgano mencionado en el apartado 14, a través del sistema informático del Ministro de Finanzas Públicas competente;</w:t>
      </w:r>
    </w:p>
    <w:p w14:paraId="2A5866F9" w14:textId="77777777" w:rsidR="008443A6" w:rsidRPr="00701B1F" w:rsidRDefault="0009374D" w:rsidP="00701B1F">
      <w:pPr>
        <w:pStyle w:val="ZPKTzmpktartykuempunktem"/>
      </w:pPr>
      <w:r>
        <w:t>2)</w:t>
      </w:r>
      <w:r>
        <w:tab/>
        <w:t>calcular e ingresar en la cuenta de la administración tributaria competente la tasa equivalente al importe mencionado en el apartado 11</w:t>
      </w:r>
    </w:p>
    <w:p w14:paraId="1C732E1C" w14:textId="77777777" w:rsidR="008443A6" w:rsidRPr="00701B1F" w:rsidRDefault="008443A6" w:rsidP="00701B1F">
      <w:pPr>
        <w:pStyle w:val="ZCZWSPPKTzmczciwsppktartykuempunktem"/>
      </w:pPr>
      <w:r>
        <w:t>– hasta el final del mes posterior al final del semestre.</w:t>
      </w:r>
    </w:p>
    <w:p w14:paraId="09BC9EE0" w14:textId="77777777" w:rsidR="008443A6" w:rsidRPr="00701B1F" w:rsidRDefault="008443A6" w:rsidP="00701B1F">
      <w:pPr>
        <w:pStyle w:val="ZUSTzmustartykuempunktem"/>
      </w:pPr>
      <w:r>
        <w:t>16. La información mencionada en el apartado 15, punto 1, incluirá los datos siguientes:</w:t>
      </w:r>
    </w:p>
    <w:p w14:paraId="24279B6B" w14:textId="77777777" w:rsidR="008443A6" w:rsidRPr="00701B1F" w:rsidRDefault="008443A6" w:rsidP="0091011B">
      <w:pPr>
        <w:pStyle w:val="ZPKTzmpktartykuempunktem"/>
        <w:pageBreakBefore/>
      </w:pPr>
      <w:r>
        <w:lastRenderedPageBreak/>
        <w:t>1)</w:t>
      </w:r>
      <w:r>
        <w:tab/>
        <w:t xml:space="preserve">el período al que corresponde; </w:t>
      </w:r>
    </w:p>
    <w:p w14:paraId="1E821983" w14:textId="77777777" w:rsidR="008443A6" w:rsidRPr="00701B1F" w:rsidRDefault="008443A6" w:rsidP="00701B1F">
      <w:pPr>
        <w:pStyle w:val="ZPKTzmpktartykuempunktem"/>
      </w:pPr>
      <w:r>
        <w:t>2)</w:t>
      </w:r>
      <w:r>
        <w:tab/>
        <w:t>el tipo de permiso del que se dispone y al que se refiere la información;</w:t>
      </w:r>
    </w:p>
    <w:p w14:paraId="00196E91" w14:textId="77777777" w:rsidR="008443A6" w:rsidRPr="00701B1F" w:rsidRDefault="008443A6" w:rsidP="00701B1F">
      <w:pPr>
        <w:pStyle w:val="ZPKTzmpktartykuempunktem"/>
      </w:pPr>
      <w:r>
        <w:t>3)</w:t>
      </w:r>
      <w:r>
        <w:tab/>
        <w:t>el lugar de presentación de la información: el nombre de la administración tributaria competente;</w:t>
      </w:r>
    </w:p>
    <w:p w14:paraId="6AB35816" w14:textId="77777777" w:rsidR="008443A6" w:rsidRPr="00701B1F" w:rsidRDefault="008443A6" w:rsidP="00701B1F">
      <w:pPr>
        <w:pStyle w:val="ZPKTzmpktartykuempunktem"/>
      </w:pPr>
      <w:r>
        <w:t>4)</w:t>
      </w:r>
      <w:r>
        <w:tab/>
        <w:t>el objetivo de presentación de la información:</w:t>
      </w:r>
    </w:p>
    <w:p w14:paraId="7D4732A9" w14:textId="77777777" w:rsidR="008443A6" w:rsidRPr="00701B1F" w:rsidRDefault="008443A6" w:rsidP="00701B1F">
      <w:pPr>
        <w:pStyle w:val="ZLITwPKTzmlitwpktartykuempunktem"/>
      </w:pPr>
      <w:r>
        <w:t>a)</w:t>
      </w:r>
      <w:r>
        <w:tab/>
        <w:t>presentación de la información;</w:t>
      </w:r>
    </w:p>
    <w:p w14:paraId="2F6F6FBD" w14:textId="77777777" w:rsidR="008443A6" w:rsidRPr="00701B1F" w:rsidRDefault="008443A6" w:rsidP="00701B1F">
      <w:pPr>
        <w:pStyle w:val="ZLITwPKTzmlitwpktartykuempunktem"/>
      </w:pPr>
      <w:r>
        <w:t>b)</w:t>
      </w:r>
      <w:r>
        <w:tab/>
        <w:t>corrección de la información;</w:t>
      </w:r>
    </w:p>
    <w:p w14:paraId="611E6054" w14:textId="77777777" w:rsidR="008443A6" w:rsidRPr="00701B1F" w:rsidRDefault="008443A6" w:rsidP="00701B1F">
      <w:pPr>
        <w:pStyle w:val="ZPKTzmpktartykuempunktem"/>
      </w:pPr>
      <w:r>
        <w:t>5)</w:t>
      </w:r>
      <w:r>
        <w:tab/>
        <w:t>los datos del empresario que dispone del permiso mencionado en el artículo 9, apartado 1 o 2:</w:t>
      </w:r>
    </w:p>
    <w:p w14:paraId="656258F8" w14:textId="77777777" w:rsidR="008443A6" w:rsidRPr="00701B1F" w:rsidRDefault="008443A6" w:rsidP="00701B1F">
      <w:pPr>
        <w:pStyle w:val="ZLITwPKTzmlitwpktartykuempunktem"/>
      </w:pPr>
      <w:r>
        <w:t>a)</w:t>
      </w:r>
      <w:r>
        <w:tab/>
        <w:t>la razón social (empresa) o el nombre y apellido;</w:t>
      </w:r>
    </w:p>
    <w:p w14:paraId="08FC15DD" w14:textId="77777777" w:rsidR="008443A6" w:rsidRPr="00701B1F" w:rsidRDefault="008443A6" w:rsidP="00701B1F">
      <w:pPr>
        <w:pStyle w:val="ZLITwPKTzmlitwpktartykuempunktem"/>
      </w:pPr>
      <w:r>
        <w:t>b)</w:t>
      </w:r>
      <w:r>
        <w:tab/>
        <w:t xml:space="preserve">NIF; y </w:t>
      </w:r>
    </w:p>
    <w:p w14:paraId="49DF64C0" w14:textId="77777777" w:rsidR="008443A6" w:rsidRPr="00701B1F" w:rsidRDefault="008443A6" w:rsidP="00701B1F">
      <w:pPr>
        <w:pStyle w:val="ZLITwPKTzmlitwpktartykuempunktem"/>
      </w:pPr>
      <w:r>
        <w:t>c)</w:t>
      </w:r>
      <w:r>
        <w:tab/>
        <w:t>el nombre y apellido, el número de teléfono o la dirección de correo electrónico de la persona indicada para el contacto;</w:t>
      </w:r>
    </w:p>
    <w:p w14:paraId="1A28ECB3" w14:textId="77777777" w:rsidR="008443A6" w:rsidRPr="00701B1F" w:rsidRDefault="008443A6" w:rsidP="00701B1F">
      <w:pPr>
        <w:pStyle w:val="ZPKTzmpktartykuempunktem"/>
      </w:pPr>
      <w:r>
        <w:t>6)</w:t>
      </w:r>
      <w:r>
        <w:tab/>
        <w:t>los números de facturas u otros documentos que certifiquen el suministro de las bebidas mencionadas en el apartado 11, las fechas de su emisión, así como el NIF del proveedor o, en su caso, del comprador;</w:t>
      </w:r>
    </w:p>
    <w:p w14:paraId="2F0D456D" w14:textId="77777777" w:rsidR="008443A6" w:rsidRPr="00701B1F" w:rsidRDefault="008443A6" w:rsidP="00701B1F">
      <w:pPr>
        <w:pStyle w:val="ZPKTzmpktartykuempunktem"/>
      </w:pPr>
      <w:r>
        <w:t>7)</w:t>
      </w:r>
      <w:r>
        <w:tab/>
        <w:t>la cantidad total de litros de las bebidas mencionadas en el apartado 11;</w:t>
      </w:r>
    </w:p>
    <w:p w14:paraId="2B2D3B7E" w14:textId="77777777" w:rsidR="008443A6" w:rsidRPr="00701B1F" w:rsidRDefault="008443A6" w:rsidP="00701B1F">
      <w:pPr>
        <w:pStyle w:val="ZPKTzmpktartykuempunktem"/>
      </w:pPr>
      <w:r>
        <w:t>8)</w:t>
      </w:r>
      <w:r>
        <w:tab/>
        <w:t>el número total de recipientes de las bebidas mencionadas en el apartado 11, desglosado por la cantidad nominal de la bebida en los recipientes;</w:t>
      </w:r>
    </w:p>
    <w:p w14:paraId="015022E6" w14:textId="77777777" w:rsidR="008443A6" w:rsidRPr="00701B1F" w:rsidRDefault="008443A6" w:rsidP="00701B1F">
      <w:pPr>
        <w:pStyle w:val="ZPKTzmpktartykuempunktem"/>
      </w:pPr>
      <w:r>
        <w:t>9)</w:t>
      </w:r>
      <w:r>
        <w:tab/>
        <w:t>el importe de la tasa, fijado de acuerdo con el apartado 11;</w:t>
      </w:r>
    </w:p>
    <w:p w14:paraId="7A578806" w14:textId="77777777" w:rsidR="008443A6" w:rsidRPr="00701B1F" w:rsidRDefault="008443A6" w:rsidP="00701B1F">
      <w:pPr>
        <w:pStyle w:val="ZPKTzmpktartykuempunktem"/>
      </w:pPr>
      <w:r>
        <w:t>10)</w:t>
      </w:r>
      <w:r>
        <w:tab/>
        <w:t>el importe de la reducción la tasa establecida de acuerdo con el apartado 12;</w:t>
      </w:r>
    </w:p>
    <w:p w14:paraId="0B0A5069" w14:textId="77777777" w:rsidR="008443A6" w:rsidRPr="00701B1F" w:rsidRDefault="008443A6" w:rsidP="00701B1F">
      <w:pPr>
        <w:pStyle w:val="ZPKTzmpktartykuempunktem"/>
      </w:pPr>
      <w:r>
        <w:t>11)</w:t>
      </w:r>
      <w:r>
        <w:tab/>
        <w:t>el importe de la tasa que debe pagarse;</w:t>
      </w:r>
    </w:p>
    <w:p w14:paraId="25BB7F53" w14:textId="77777777" w:rsidR="008443A6" w:rsidRPr="00701B1F" w:rsidRDefault="008443A6" w:rsidP="00701B1F">
      <w:pPr>
        <w:pStyle w:val="ZPKTzmpktartykuempunktem"/>
      </w:pPr>
      <w:r>
        <w:t>12)</w:t>
      </w:r>
      <w:r>
        <w:tab/>
        <w:t>la instrucción que la información constituye una base para emitir el título ejecutivo, de acuerdo con la Ley, de 17 de junio de 1966, sobre el procedimiento administrativo de ejecución (Boletín Oficial de la República de Polonia de 2019, punto 1438, en su versión modificada</w:t>
      </w:r>
      <w:r w:rsidR="0009374D" w:rsidRPr="00701B1F">
        <w:rPr>
          <w:rStyle w:val="FootnoteReference"/>
        </w:rPr>
        <w:footnoteReference w:id="7"/>
      </w:r>
      <w:r>
        <w:rPr>
          <w:rStyle w:val="IGindeksgrny"/>
        </w:rPr>
        <w:t>)</w:t>
      </w:r>
      <w:r>
        <w:t>).</w:t>
      </w:r>
    </w:p>
    <w:p w14:paraId="251048F4" w14:textId="77777777" w:rsidR="008443A6" w:rsidRPr="00701B1F" w:rsidRDefault="008443A6" w:rsidP="00701B1F">
      <w:pPr>
        <w:pStyle w:val="ZUSTzmustartykuempunktem"/>
      </w:pPr>
      <w:r>
        <w:t xml:space="preserve">17. El director de la primera administración tributaria de Bydgoszcz, hasta finales del mes posterior al plazo mencionado en el apartado 15, realizará el reparto del total de ingresos de la tasa parcial mencionada en el apartado 11, así como de la tasa adicional mencionada en el apartado 19, en proporción a los ingresos obtenidos por los municipios en el primer y segundo trimestre procedentes de las tasas mencionadas en el </w:t>
      </w:r>
      <w:r>
        <w:lastRenderedPageBreak/>
        <w:t>artículo 11 </w:t>
      </w:r>
      <w:r>
        <w:rPr>
          <w:i/>
          <w:iCs/>
        </w:rPr>
        <w:t>bis</w:t>
      </w:r>
      <w:r>
        <w:t xml:space="preserve">, basándose en los datos publicados en el Boletín de Información Pública en la página de la administración del Ministro de Finanzas Públicas competente, y transferirá los fondos en las cuentas bancarias del Fondo Nacional de la Salud y de las autoridades de los municipios. </w:t>
      </w:r>
    </w:p>
    <w:p w14:paraId="7CCB7C26" w14:textId="77777777" w:rsidR="008443A6" w:rsidRPr="0091011B" w:rsidRDefault="008443A6" w:rsidP="00701B1F">
      <w:pPr>
        <w:pStyle w:val="ZUSTzmustartykuempunktem"/>
        <w:rPr>
          <w:spacing w:val="-4"/>
        </w:rPr>
      </w:pPr>
      <w:r w:rsidRPr="0091011B">
        <w:rPr>
          <w:spacing w:val="-4"/>
        </w:rPr>
        <w:t>18. El director de la primera administración tributaria de Bydgoszcz, hasta finales de abril del año siguiente, realizará el reparto del total de ingresos de la tasa parcial mencionada en el apartado 11, así como de la tasa adicional mencionada en el apartado 19, en proporción a los ingresos obtenidos por los municipios en el tercer y cuarto trimestre, procedentes de las tasas mencionadas en el artículo 11 </w:t>
      </w:r>
      <w:r w:rsidRPr="0091011B">
        <w:rPr>
          <w:i/>
          <w:iCs/>
          <w:spacing w:val="-4"/>
        </w:rPr>
        <w:t>bis</w:t>
      </w:r>
      <w:r w:rsidRPr="0091011B">
        <w:rPr>
          <w:spacing w:val="-4"/>
        </w:rPr>
        <w:t>, basándose en los datos publicados en el Boletín de Información Pública en la página de la administración del Ministro de Finanzas Públicas competente, al igual que transferirá los fondos en las cuentas bancarias del Fondo Nacional de la Salud y de las autoridades de los municipios.</w:t>
      </w:r>
    </w:p>
    <w:p w14:paraId="2566B0E6" w14:textId="77777777" w:rsidR="008443A6" w:rsidRPr="00701B1F" w:rsidRDefault="008443A6" w:rsidP="00701B1F">
      <w:pPr>
        <w:pStyle w:val="ZUSTzmustartykuempunktem"/>
      </w:pPr>
      <w:r>
        <w:t>19. En el caso de incumplimiento de las obligaciones mencionadas en el apartado 15, punto 1 o 2, el órgano mencionado en el apartado 14 establecerá, mediante una decisión, una tasa adicional que ascenderá a:</w:t>
      </w:r>
    </w:p>
    <w:p w14:paraId="6F9D1B07" w14:textId="77777777" w:rsidR="008443A6" w:rsidRPr="00701B1F" w:rsidRDefault="0009374D" w:rsidP="00701B1F">
      <w:pPr>
        <w:pStyle w:val="ZPKTzmpktartykuempunktem"/>
      </w:pPr>
      <w:r>
        <w:t>1)</w:t>
      </w:r>
      <w:r>
        <w:tab/>
        <w:t>2 000 PLN para un empresario que disponga del permiso mencionado en el artículo 9 </w:t>
      </w:r>
      <w:r>
        <w:rPr>
          <w:i/>
          <w:iCs/>
        </w:rPr>
        <w:t>bis</w:t>
      </w:r>
      <w:r>
        <w:t>, apartado 1, puntos 1 y 2; y</w:t>
      </w:r>
    </w:p>
    <w:p w14:paraId="7922D393" w14:textId="77777777" w:rsidR="008443A6" w:rsidRPr="00701B1F" w:rsidRDefault="0009374D" w:rsidP="00701B1F">
      <w:pPr>
        <w:pStyle w:val="ZPKTzmpktartykuempunktem"/>
      </w:pPr>
      <w:r>
        <w:t>2)</w:t>
      </w:r>
      <w:r>
        <w:tab/>
        <w:t>11 250 PLN para un empresario que disponga del permiso mencionado en el artículo 9 </w:t>
      </w:r>
      <w:r>
        <w:rPr>
          <w:i/>
          <w:iCs/>
        </w:rPr>
        <w:t>bis</w:t>
      </w:r>
      <w:r>
        <w:t>, apartado 1, punto 3.</w:t>
      </w:r>
    </w:p>
    <w:p w14:paraId="481BAE4E" w14:textId="77777777" w:rsidR="008443A6" w:rsidRPr="00701B1F" w:rsidRDefault="008443A6" w:rsidP="00701B1F">
      <w:pPr>
        <w:pStyle w:val="ZUSTzmustartykuempunktem"/>
      </w:pPr>
      <w:r>
        <w:t>20. La tasa adicional se ingresará en la cuenta del órgano mencionado en el apartado 14.</w:t>
      </w:r>
    </w:p>
    <w:p w14:paraId="68FAC292" w14:textId="77777777" w:rsidR="008443A6" w:rsidRPr="00701B1F" w:rsidRDefault="008443A6" w:rsidP="00701B1F">
      <w:pPr>
        <w:pStyle w:val="ZUSTzmustartykuempunktem"/>
      </w:pPr>
      <w:r>
        <w:t xml:space="preserve">21. A las tasas mencionadas en los apartados 11 y 19, se aplicará </w:t>
      </w:r>
      <w:r>
        <w:rPr>
          <w:i/>
          <w:iCs/>
        </w:rPr>
        <w:t>mutatis mutandis</w:t>
      </w:r>
      <w:r>
        <w:t xml:space="preserve"> lo dispuesto en la Ley General Tributaria, de 29 de agosto de 1997 (Boletín Oficial de la República de Polonia de 2019, punto 900, en su versión modificada</w:t>
      </w:r>
      <w:r w:rsidR="00494853" w:rsidRPr="00701B1F">
        <w:rPr>
          <w:rStyle w:val="FootnoteReference"/>
        </w:rPr>
        <w:footnoteReference w:id="8"/>
      </w:r>
      <w:r>
        <w:rPr>
          <w:rStyle w:val="IGindeksgrny"/>
        </w:rPr>
        <w:t>)</w:t>
      </w:r>
      <w:r>
        <w:t>).</w:t>
      </w:r>
    </w:p>
    <w:p w14:paraId="77074BE1" w14:textId="77777777" w:rsidR="008443A6" w:rsidRPr="00701B1F" w:rsidRDefault="008443A6" w:rsidP="00701B1F">
      <w:pPr>
        <w:pStyle w:val="ZUSTzmustartykuempunktem"/>
      </w:pPr>
      <w:r>
        <w:t>22. En caso de pago en exceso en concepto de la tasa parcial mencionada en el apartado 11, así como de la tasa adicional mencionada en el apartado 19, la devolución del pago en exceso se producirá de los fondos procedentes de esa parte de la tasa.</w:t>
      </w:r>
    </w:p>
    <w:p w14:paraId="6DF6E5B4" w14:textId="77777777" w:rsidR="008443A6" w:rsidRPr="00701B1F" w:rsidRDefault="008443A6" w:rsidP="00701B1F">
      <w:pPr>
        <w:pStyle w:val="ZUSTzmustartykuempunktem"/>
      </w:pPr>
      <w:r>
        <w:t xml:space="preserve">23. La tasa de emisión de la decisión por la que se introducen nuevos lugares de actividad económica, por la que se aumenta el número de esos lugares en relación con </w:t>
      </w:r>
      <w:r>
        <w:lastRenderedPageBreak/>
        <w:t>los indicados en los permisos emitidos, mencionados en el artículo 9 </w:t>
      </w:r>
      <w:r>
        <w:rPr>
          <w:i/>
          <w:iCs/>
        </w:rPr>
        <w:t>bis</w:t>
      </w:r>
      <w:r>
        <w:t>, apartado 1, será de un 50 % de la tasa indicada en el permiso en la fecha de su emisión.</w:t>
      </w:r>
    </w:p>
    <w:p w14:paraId="33D72B0B" w14:textId="77777777" w:rsidR="008443A6" w:rsidRPr="00701B1F" w:rsidRDefault="008443A6" w:rsidP="00701B1F">
      <w:pPr>
        <w:pStyle w:val="ZUSTzmustartykuempunktem"/>
      </w:pPr>
      <w:r>
        <w:t>24. La tasa por la emisión de otras decisiones por las que se modifican los permisos será de 200 PLN.</w:t>
      </w:r>
    </w:p>
    <w:p w14:paraId="609B1A30" w14:textId="77777777" w:rsidR="008443A6" w:rsidRPr="00701B1F" w:rsidRDefault="008443A6" w:rsidP="00701B1F">
      <w:pPr>
        <w:pStyle w:val="ZUSTzmustartykuempunktem"/>
      </w:pPr>
      <w:r>
        <w:t>25. La tasa de ampliación del límite mencionado en el artículo 9 </w:t>
      </w:r>
      <w:r>
        <w:rPr>
          <w:i/>
          <w:iCs/>
        </w:rPr>
        <w:t>bis</w:t>
      </w:r>
      <w:r>
        <w:t>, apartado 3, se cobrará en función de la cantidad de litros de alcohol al 100 % declarada en la solicitud y en proporción al importe de la tasa indicada en el apartado 6.</w:t>
      </w:r>
    </w:p>
    <w:p w14:paraId="3948916F" w14:textId="77777777" w:rsidR="008443A6" w:rsidRPr="00701B1F" w:rsidRDefault="008443A6" w:rsidP="00701B1F">
      <w:pPr>
        <w:pStyle w:val="ZUSTzmustartykuempunktem"/>
      </w:pPr>
      <w:r>
        <w:t>26. La tasa de emisión de los duplicados de permisos mencionados en el artículo 9, apartados 1 y 2, será de 50 PLN.</w:t>
      </w:r>
    </w:p>
    <w:p w14:paraId="30001BAD" w14:textId="77777777" w:rsidR="008443A6" w:rsidRPr="00487A2C" w:rsidRDefault="008443A6" w:rsidP="00701B1F">
      <w:pPr>
        <w:pStyle w:val="ZUSTzmustartykuempunktem"/>
        <w:rPr>
          <w:spacing w:val="-2"/>
        </w:rPr>
      </w:pPr>
      <w:r w:rsidRPr="00487A2C">
        <w:rPr>
          <w:spacing w:val="-2"/>
        </w:rPr>
        <w:t>27. Los permisos y las decisiones mencionadas en los apartados 7 a 10 y 23 a 26, así como en el artículo 9, apartados 1 y 2, no estás sujetos al pago de los derechos de timbre.</w:t>
      </w:r>
    </w:p>
    <w:p w14:paraId="0F329936" w14:textId="77777777" w:rsidR="008443A6" w:rsidRPr="00701B1F" w:rsidRDefault="008443A6" w:rsidP="00701B1F">
      <w:pPr>
        <w:pStyle w:val="ZUSTzmustartykuempunktem"/>
      </w:pPr>
      <w:r>
        <w:t>28. El Ministro de Finanzas Públicas competente establecerá y publicará en la plataforma electrónica de los servicios de la administración pública el modelo de documento electrónico de la información mencionada en el apartado 15, punto 1.»;</w:t>
      </w:r>
    </w:p>
    <w:p w14:paraId="232C6C88" w14:textId="77777777" w:rsidR="008443A6" w:rsidRPr="00701B1F" w:rsidRDefault="008443A6" w:rsidP="00701B1F">
      <w:pPr>
        <w:pStyle w:val="PKTpunkt"/>
      </w:pPr>
      <w:r>
        <w:t>3)</w:t>
      </w:r>
      <w:r>
        <w:tab/>
        <w:t>en el artículo 9 </w:t>
      </w:r>
      <w:proofErr w:type="spellStart"/>
      <w:r>
        <w:rPr>
          <w:i/>
          <w:iCs/>
        </w:rPr>
        <w:t>quater</w:t>
      </w:r>
      <w:proofErr w:type="spellEnd"/>
      <w:r>
        <w:t>:</w:t>
      </w:r>
    </w:p>
    <w:p w14:paraId="7A4C74EB" w14:textId="77777777" w:rsidR="008443A6" w:rsidRPr="00701B1F" w:rsidRDefault="008443A6" w:rsidP="00701B1F">
      <w:pPr>
        <w:pStyle w:val="LITlitera"/>
      </w:pPr>
      <w:r>
        <w:t>a)</w:t>
      </w:r>
      <w:r>
        <w:tab/>
        <w:t>en el apartado 1, la introducción a la enumeración se reformula como sigue:</w:t>
      </w:r>
    </w:p>
    <w:p w14:paraId="622E6191" w14:textId="77777777" w:rsidR="008443A6" w:rsidRPr="00701B1F" w:rsidRDefault="008443A6" w:rsidP="00701B1F">
      <w:pPr>
        <w:pStyle w:val="ZLITFRAGzmlitfragmentunpzdanialiter"/>
      </w:pPr>
      <w:r>
        <w:t>«Las tasas mencionadas en el artículo 9 </w:t>
      </w:r>
      <w:r>
        <w:rPr>
          <w:i/>
          <w:iCs/>
        </w:rPr>
        <w:t>ter</w:t>
      </w:r>
      <w:r>
        <w:t>, apartado 1, excepto las tasas mencionadas en el artículo 9 </w:t>
      </w:r>
      <w:r>
        <w:rPr>
          <w:i/>
          <w:iCs/>
        </w:rPr>
        <w:t>ter</w:t>
      </w:r>
      <w:r>
        <w:t xml:space="preserve">, apartados 11 y 19, podrán ser utilizadas por las administraciones de los </w:t>
      </w:r>
      <w:proofErr w:type="spellStart"/>
      <w:r>
        <w:t>voivodatos</w:t>
      </w:r>
      <w:proofErr w:type="spellEnd"/>
      <w:r>
        <w:t xml:space="preserve"> únicamente para financiar lo siguiente:»;</w:t>
      </w:r>
    </w:p>
    <w:p w14:paraId="2861DDCE" w14:textId="77777777" w:rsidR="008443A6" w:rsidRPr="00701B1F" w:rsidRDefault="00494853" w:rsidP="00701B1F">
      <w:pPr>
        <w:pStyle w:val="LITlitera"/>
      </w:pPr>
      <w:r>
        <w:t>b)</w:t>
      </w:r>
      <w:r>
        <w:tab/>
        <w:t>se añaden los apartados 3 a 6 siguientes con la siguiente redacción:</w:t>
      </w:r>
    </w:p>
    <w:p w14:paraId="4D86F16A" w14:textId="77777777" w:rsidR="008443A6" w:rsidRPr="00701B1F" w:rsidRDefault="008443A6" w:rsidP="00701B1F">
      <w:pPr>
        <w:pStyle w:val="ZLITUSTzmustliter"/>
      </w:pPr>
      <w:r>
        <w:t>«3. La tasa parcial, mencionada en el artículo 9 </w:t>
      </w:r>
      <w:r>
        <w:rPr>
          <w:i/>
          <w:iCs/>
        </w:rPr>
        <w:t>ter</w:t>
      </w:r>
      <w:r>
        <w:t>, apartado 11, así como la tasa adicional mencionada en el artículo 9 </w:t>
      </w:r>
      <w:r>
        <w:rPr>
          <w:i/>
          <w:iCs/>
        </w:rPr>
        <w:t>ter</w:t>
      </w:r>
      <w:r>
        <w:t>, apartado 19, constituirán:</w:t>
      </w:r>
    </w:p>
    <w:p w14:paraId="4CE85795" w14:textId="77777777" w:rsidR="008443A6" w:rsidRPr="00701B1F" w:rsidRDefault="008443A6" w:rsidP="00701B1F">
      <w:pPr>
        <w:pStyle w:val="ZLITPKTzmpktliter"/>
      </w:pPr>
      <w:r>
        <w:t>1)</w:t>
      </w:r>
      <w:r>
        <w:tab/>
        <w:t>un 50 % de los ingresos de los municipios en cuyo territorio se realiza la venta de bebidas alcohólicas;</w:t>
      </w:r>
    </w:p>
    <w:p w14:paraId="0874D470" w14:textId="77777777" w:rsidR="008443A6" w:rsidRPr="00701B1F" w:rsidRDefault="008443A6" w:rsidP="00701B1F">
      <w:pPr>
        <w:pStyle w:val="ZLITPKTzmpktliter"/>
      </w:pPr>
      <w:r>
        <w:t>2)</w:t>
      </w:r>
      <w:r>
        <w:tab/>
        <w:t>un 50 % de los ingresos del Fondo Nacional de la Salud.</w:t>
      </w:r>
    </w:p>
    <w:p w14:paraId="05066FFC" w14:textId="77777777" w:rsidR="008443A6" w:rsidRPr="00701B1F" w:rsidRDefault="008443A6" w:rsidP="00701B1F">
      <w:pPr>
        <w:pStyle w:val="ZLITUSTzmustliter"/>
      </w:pPr>
      <w:r>
        <w:t xml:space="preserve">4. El municipio destinará los fondos mencionados en el apartado 3, punto 1, a las acciones destinadas a la implementar una política local intersectorial contra los efectos negativos del consumo de alcohol. </w:t>
      </w:r>
    </w:p>
    <w:p w14:paraId="6302B8DD" w14:textId="77777777" w:rsidR="008443A6" w:rsidRPr="00487A2C" w:rsidRDefault="008443A6" w:rsidP="00701B1F">
      <w:pPr>
        <w:pStyle w:val="ZLITUSTzmustliter"/>
        <w:rPr>
          <w:spacing w:val="-2"/>
        </w:rPr>
      </w:pPr>
      <w:r w:rsidRPr="00487A2C">
        <w:rPr>
          <w:spacing w:val="-2"/>
        </w:rPr>
        <w:t>5. El Fondo Nacional de la Salud destinará los fondos mencionados en el apartado 3, punto 2, a las acciones de carácter educativo y preventivo, así como a las prestaciones de asistencia sanitaria en el ámbito de la atención psiquiátrica y tratamiento de adicciones, y a otras consecuencias del consumo de alcohol para la salud.</w:t>
      </w:r>
    </w:p>
    <w:p w14:paraId="7A7AD777" w14:textId="77777777" w:rsidR="008443A6" w:rsidRPr="00487A2C" w:rsidRDefault="008443A6" w:rsidP="00701B1F">
      <w:pPr>
        <w:pStyle w:val="ZLITUSTzmustliter"/>
        <w:rPr>
          <w:spacing w:val="-4"/>
        </w:rPr>
      </w:pPr>
      <w:r w:rsidRPr="00487A2C">
        <w:rPr>
          <w:spacing w:val="-4"/>
        </w:rPr>
        <w:lastRenderedPageBreak/>
        <w:t>6. El Presidente del Fondo Nacional de la Salud presentará al Ministro de Sanidad competente la información relativa al método de utilización de los fondos mencionados en el apartado 3, punto 2, a más tardar, el 15 de abril del año natural anterior.»;</w:t>
      </w:r>
    </w:p>
    <w:p w14:paraId="55A8E09F" w14:textId="77777777" w:rsidR="008443A6" w:rsidRPr="00701B1F" w:rsidRDefault="008443A6" w:rsidP="00701B1F">
      <w:pPr>
        <w:pStyle w:val="PKTpunkt"/>
      </w:pPr>
      <w:r>
        <w:t>4)</w:t>
      </w:r>
      <w:r>
        <w:tab/>
        <w:t>en el artículo 9 </w:t>
      </w:r>
      <w:proofErr w:type="spellStart"/>
      <w:r>
        <w:rPr>
          <w:i/>
          <w:iCs/>
        </w:rPr>
        <w:t>sexies</w:t>
      </w:r>
      <w:proofErr w:type="spellEnd"/>
      <w:r>
        <w:t>, en el apartado 1, el punto 4 se reformula como sigue:</w:t>
      </w:r>
    </w:p>
    <w:p w14:paraId="4ABE1F49" w14:textId="77777777" w:rsidR="008443A6" w:rsidRPr="00701B1F" w:rsidRDefault="008443A6" w:rsidP="00701B1F">
      <w:pPr>
        <w:pStyle w:val="ZPKTzmpktartykuempunktem"/>
      </w:pPr>
      <w:r>
        <w:t>«4)</w:t>
      </w:r>
      <w:r>
        <w:tab/>
      </w:r>
      <w:proofErr w:type="gramStart"/>
      <w:r>
        <w:t>la</w:t>
      </w:r>
      <w:proofErr w:type="gramEnd"/>
      <w:r>
        <w:t xml:space="preserve"> presentación de información falsa en la declaración mencionada en el artículo 9 </w:t>
      </w:r>
      <w:r>
        <w:rPr>
          <w:i/>
          <w:iCs/>
        </w:rPr>
        <w:t>ter</w:t>
      </w:r>
      <w:r>
        <w:t>, apartado 4;».</w:t>
      </w:r>
    </w:p>
    <w:p w14:paraId="7AC30018" w14:textId="77777777" w:rsidR="008443A6" w:rsidRPr="00701B1F" w:rsidRDefault="008443A6" w:rsidP="00D35C9B">
      <w:pPr>
        <w:pStyle w:val="ARTartustawynprozporzdzenia"/>
        <w:keepNext/>
        <w:keepLines/>
      </w:pPr>
      <w:r>
        <w:rPr>
          <w:rStyle w:val="Ppogrubienie"/>
        </w:rPr>
        <w:t>Artículo 3.</w:t>
      </w:r>
      <w:r>
        <w:t xml:space="preserve"> En la Ley, de 26 de julio de 1991, relativa al impuesto sobre la renta de las personas físicas (Boletín Oficial de la República de Polonia de 2019, punto 1387, en su versión modificada</w:t>
      </w:r>
      <w:r w:rsidR="00494853" w:rsidRPr="00701B1F">
        <w:rPr>
          <w:rStyle w:val="FootnoteReference"/>
        </w:rPr>
        <w:footnoteReference w:id="9"/>
      </w:r>
      <w:r>
        <w:rPr>
          <w:rStyle w:val="IGindeksgrny"/>
        </w:rPr>
        <w:t>)</w:t>
      </w:r>
      <w:r>
        <w:t>), en el artículo 23, apartado 1, después del punto 16 </w:t>
      </w:r>
      <w:proofErr w:type="spellStart"/>
      <w:r>
        <w:rPr>
          <w:i/>
          <w:iCs/>
        </w:rPr>
        <w:t>sexies</w:t>
      </w:r>
      <w:proofErr w:type="spellEnd"/>
      <w:r>
        <w:t>, se añaden los siguientes puntos 16 </w:t>
      </w:r>
      <w:proofErr w:type="spellStart"/>
      <w:r>
        <w:rPr>
          <w:i/>
          <w:iCs/>
        </w:rPr>
        <w:t>septies</w:t>
      </w:r>
      <w:proofErr w:type="spellEnd"/>
      <w:r>
        <w:t>: y 16 </w:t>
      </w:r>
      <w:proofErr w:type="spellStart"/>
      <w:r>
        <w:rPr>
          <w:i/>
          <w:iCs/>
        </w:rPr>
        <w:t>octies</w:t>
      </w:r>
      <w:proofErr w:type="spellEnd"/>
      <w:r>
        <w:t>:</w:t>
      </w:r>
    </w:p>
    <w:p w14:paraId="25E78AFC" w14:textId="77777777" w:rsidR="008443A6" w:rsidRPr="00701B1F" w:rsidRDefault="008443A6" w:rsidP="00701B1F">
      <w:pPr>
        <w:pStyle w:val="ZPKTzmpktartykuempunktem"/>
      </w:pPr>
      <w:r>
        <w:t>«16 </w:t>
      </w:r>
      <w:proofErr w:type="spellStart"/>
      <w:r>
        <w:rPr>
          <w:i/>
          <w:iCs/>
        </w:rPr>
        <w:t>septies</w:t>
      </w:r>
      <w:proofErr w:type="spellEnd"/>
      <w:r>
        <w:t>)</w:t>
      </w:r>
      <w:r>
        <w:tab/>
        <w:t>la tasa adicional mencionada en el artículo 12 </w:t>
      </w:r>
      <w:proofErr w:type="spellStart"/>
      <w:r>
        <w:rPr>
          <w:i/>
          <w:iCs/>
        </w:rPr>
        <w:t>decies</w:t>
      </w:r>
      <w:proofErr w:type="spellEnd"/>
      <w:r>
        <w:t xml:space="preserve">, apartado 1, de la Ley, de 11 de septiembre de 2015, sobre la salud pública (Boletín Oficial de la República de Polonia de 2019, punto 2365 y de 2020, </w:t>
      </w:r>
      <w:proofErr w:type="gramStart"/>
      <w:r>
        <w:t>punto ...</w:t>
      </w:r>
      <w:proofErr w:type="gramEnd"/>
      <w:r>
        <w:t>);</w:t>
      </w:r>
    </w:p>
    <w:p w14:paraId="3ECBBF89" w14:textId="77777777" w:rsidR="008443A6" w:rsidRPr="00701B1F" w:rsidRDefault="008443A6" w:rsidP="00701B1F">
      <w:pPr>
        <w:pStyle w:val="ZPKTzmpktartykuempunktem"/>
      </w:pPr>
      <w:r>
        <w:t>16 </w:t>
      </w:r>
      <w:proofErr w:type="spellStart"/>
      <w:r>
        <w:rPr>
          <w:i/>
          <w:iCs/>
        </w:rPr>
        <w:t>octies</w:t>
      </w:r>
      <w:proofErr w:type="spellEnd"/>
      <w:r>
        <w:t>)</w:t>
      </w:r>
      <w:r>
        <w:tab/>
        <w:t>la tasa adicional mencionada en el artículo 9 </w:t>
      </w:r>
      <w:r>
        <w:rPr>
          <w:i/>
          <w:iCs/>
        </w:rPr>
        <w:t>ter</w:t>
      </w:r>
      <w:r>
        <w:t xml:space="preserve">, apartado 19, de la Ley, de 26 de octubre de 1982, relativa a la educación en la sobriedad y la prevención del alcoholismo (Boletín Oficial de la República de Polonia de 2019, punto 2277 y de 2020, </w:t>
      </w:r>
      <w:proofErr w:type="gramStart"/>
      <w:r>
        <w:t>punto ...</w:t>
      </w:r>
      <w:proofErr w:type="gramEnd"/>
      <w:r>
        <w:t>);».</w:t>
      </w:r>
    </w:p>
    <w:p w14:paraId="297FCA61" w14:textId="77777777" w:rsidR="008443A6" w:rsidRPr="00701B1F" w:rsidRDefault="008443A6" w:rsidP="00D35C9B">
      <w:pPr>
        <w:pStyle w:val="ARTartustawynprozporzdzenia"/>
        <w:keepNext/>
        <w:keepLines/>
      </w:pPr>
      <w:r>
        <w:rPr>
          <w:rStyle w:val="Ppogrubienie"/>
        </w:rPr>
        <w:t>Artículo 4.</w:t>
      </w:r>
      <w:r>
        <w:t xml:space="preserve"> En la Ley, de 15 de febrero de 1992, relativa al impuesto sobre la renta de sociedades (Boletín Oficial de la República de Polonia de 2019, punto 865, en su versión modificada</w:t>
      </w:r>
      <w:r w:rsidR="00494853" w:rsidRPr="00701B1F">
        <w:rPr>
          <w:rStyle w:val="FootnoteReference"/>
        </w:rPr>
        <w:footnoteReference w:id="10"/>
      </w:r>
      <w:r>
        <w:rPr>
          <w:rStyle w:val="IGindeksgrny"/>
        </w:rPr>
        <w:t>)</w:t>
      </w:r>
      <w:r>
        <w:t>), en el artículo 16, apartado 1, después del punto 19 </w:t>
      </w:r>
      <w:proofErr w:type="spellStart"/>
      <w:r>
        <w:rPr>
          <w:i/>
          <w:iCs/>
        </w:rPr>
        <w:t>sexies</w:t>
      </w:r>
      <w:proofErr w:type="spellEnd"/>
      <w:r>
        <w:t>, se añaden los siguientes puntos 19 </w:t>
      </w:r>
      <w:proofErr w:type="spellStart"/>
      <w:r>
        <w:rPr>
          <w:i/>
          <w:iCs/>
        </w:rPr>
        <w:t>septies</w:t>
      </w:r>
      <w:proofErr w:type="spellEnd"/>
      <w:r>
        <w:t xml:space="preserve"> y 19 </w:t>
      </w:r>
      <w:proofErr w:type="spellStart"/>
      <w:r>
        <w:rPr>
          <w:i/>
          <w:iCs/>
        </w:rPr>
        <w:t>octies</w:t>
      </w:r>
      <w:proofErr w:type="spellEnd"/>
      <w:r>
        <w:t>:</w:t>
      </w:r>
    </w:p>
    <w:p w14:paraId="2683BC63" w14:textId="77777777" w:rsidR="008443A6" w:rsidRPr="00701B1F" w:rsidRDefault="008443A6" w:rsidP="00701B1F">
      <w:pPr>
        <w:pStyle w:val="ZPKTzmpktartykuempunktem"/>
      </w:pPr>
      <w:r>
        <w:t>«19 </w:t>
      </w:r>
      <w:proofErr w:type="spellStart"/>
      <w:r>
        <w:rPr>
          <w:i/>
          <w:iCs/>
        </w:rPr>
        <w:t>septies</w:t>
      </w:r>
      <w:proofErr w:type="spellEnd"/>
      <w:r>
        <w:t>)</w:t>
      </w:r>
      <w:r>
        <w:tab/>
        <w:t>la tasa adicional mencionada en el artículo 12 </w:t>
      </w:r>
      <w:proofErr w:type="spellStart"/>
      <w:r>
        <w:rPr>
          <w:i/>
          <w:iCs/>
        </w:rPr>
        <w:t>decies</w:t>
      </w:r>
      <w:proofErr w:type="spellEnd"/>
      <w:r>
        <w:t xml:space="preserve">, apartado 1, de la Ley, de 11 de septiembre de 2015, sobre la salud pública (Boletín Oficial de la República de Polonia de 2019, punto 2365 y de 2020, </w:t>
      </w:r>
      <w:proofErr w:type="gramStart"/>
      <w:r>
        <w:t>punto ...</w:t>
      </w:r>
      <w:proofErr w:type="gramEnd"/>
      <w:r>
        <w:t>);</w:t>
      </w:r>
    </w:p>
    <w:p w14:paraId="26DEF0F1" w14:textId="77777777" w:rsidR="008443A6" w:rsidRPr="00701B1F" w:rsidRDefault="008443A6" w:rsidP="00701B1F">
      <w:pPr>
        <w:pStyle w:val="ZPKTzmpktartykuempunktem"/>
      </w:pPr>
      <w:r>
        <w:t>19 </w:t>
      </w:r>
      <w:proofErr w:type="spellStart"/>
      <w:r>
        <w:rPr>
          <w:i/>
          <w:iCs/>
        </w:rPr>
        <w:t>octies</w:t>
      </w:r>
      <w:proofErr w:type="spellEnd"/>
      <w:r>
        <w:t>)</w:t>
      </w:r>
      <w:r>
        <w:tab/>
        <w:t>la tasa adicional mencionada en el artículo 9 </w:t>
      </w:r>
      <w:r>
        <w:rPr>
          <w:i/>
          <w:iCs/>
        </w:rPr>
        <w:t>ter</w:t>
      </w:r>
      <w:r>
        <w:t xml:space="preserve">, apartado 19, de la Ley, de 26 de octubre de 1982, relativa a la educación en la sobriedad y la prevención del alcoholismo (Boletín Oficial de la República de Polonia de 2019, punto 2277 y de 2020, </w:t>
      </w:r>
      <w:proofErr w:type="gramStart"/>
      <w:r>
        <w:t>punto ...</w:t>
      </w:r>
      <w:proofErr w:type="gramEnd"/>
      <w:r>
        <w:t xml:space="preserve">);». </w:t>
      </w:r>
    </w:p>
    <w:p w14:paraId="51CE1242" w14:textId="77777777" w:rsidR="008443A6" w:rsidRPr="00701B1F" w:rsidRDefault="008443A6" w:rsidP="00D35C9B">
      <w:pPr>
        <w:pStyle w:val="ARTartustawynprozporzdzenia"/>
        <w:keepNext/>
        <w:keepLines/>
      </w:pPr>
      <w:r>
        <w:rPr>
          <w:rStyle w:val="Ppogrubienie"/>
        </w:rPr>
        <w:lastRenderedPageBreak/>
        <w:t>Artículo 5.</w:t>
      </w:r>
      <w:r>
        <w:t xml:space="preserve"> En la Ley, de 27 de agosto de 2004, relativa a las prestaciones de asistencia médica financiadas con fondos públicos (Boletín Oficial de la República de Polonia de 2019, punto 1373, en su versión modificada</w:t>
      </w:r>
      <w:r w:rsidR="00AE0E60" w:rsidRPr="00701B1F">
        <w:rPr>
          <w:rStyle w:val="FootnoteReference"/>
        </w:rPr>
        <w:footnoteReference w:id="11"/>
      </w:r>
      <w:r>
        <w:rPr>
          <w:rStyle w:val="IGindeksgrny"/>
        </w:rPr>
        <w:t>)</w:t>
      </w:r>
      <w:r>
        <w:t>) se introducen las modificaciones siguientes:</w:t>
      </w:r>
    </w:p>
    <w:p w14:paraId="699F5D78" w14:textId="77777777" w:rsidR="008443A6" w:rsidRPr="00701B1F" w:rsidRDefault="008443A6" w:rsidP="00701B1F">
      <w:pPr>
        <w:pStyle w:val="PKTpunkt"/>
      </w:pPr>
      <w:r>
        <w:t>1)</w:t>
      </w:r>
      <w:r>
        <w:tab/>
        <w:t>en el artículo 97:</w:t>
      </w:r>
    </w:p>
    <w:p w14:paraId="21D1A93A" w14:textId="77777777" w:rsidR="008443A6" w:rsidRPr="00701B1F" w:rsidRDefault="008443A6" w:rsidP="00701B1F">
      <w:pPr>
        <w:pStyle w:val="LITlitera"/>
      </w:pPr>
      <w:r>
        <w:t>a)</w:t>
      </w:r>
      <w:r>
        <w:tab/>
        <w:t>en el apartado 3, punto 15, se sustituye el punto por un punto y coma y se añade el siguiente punto 16:</w:t>
      </w:r>
    </w:p>
    <w:p w14:paraId="0355C761" w14:textId="77777777" w:rsidR="008443A6" w:rsidRPr="00701B1F" w:rsidRDefault="008443A6" w:rsidP="00701B1F">
      <w:pPr>
        <w:pStyle w:val="ZLITPKTzmpktliter"/>
      </w:pPr>
      <w:r>
        <w:t>«16)</w:t>
      </w:r>
      <w:r>
        <w:tab/>
        <w:t>apoyar las tareas financieras en el marco del Fondo de Desarrollo de la Educación Física, mencionado en el artículo 86, de la Ley, de 19 de noviembre de 2009, sobre juegos de azar (Boletín Oficial de la República de Polonia de 2019, puntos 847 y 1495).»;</w:t>
      </w:r>
    </w:p>
    <w:p w14:paraId="0CCE7549" w14:textId="77777777" w:rsidR="008443A6" w:rsidRPr="00701B1F" w:rsidRDefault="008443A6" w:rsidP="00701B1F">
      <w:pPr>
        <w:pStyle w:val="LITlitera"/>
      </w:pPr>
      <w:r>
        <w:t>b)</w:t>
      </w:r>
      <w:r>
        <w:tab/>
        <w:t>después del apartado 3 </w:t>
      </w:r>
      <w:proofErr w:type="spellStart"/>
      <w:r>
        <w:rPr>
          <w:i/>
          <w:iCs/>
        </w:rPr>
        <w:t>septies</w:t>
      </w:r>
      <w:proofErr w:type="spellEnd"/>
      <w:r>
        <w:t>, se añade el siguiente apartado 3</w:t>
      </w:r>
      <w:r>
        <w:rPr>
          <w:i/>
          <w:iCs/>
        </w:rPr>
        <w:t> </w:t>
      </w:r>
      <w:proofErr w:type="spellStart"/>
      <w:r>
        <w:rPr>
          <w:i/>
          <w:iCs/>
        </w:rPr>
        <w:t>octies</w:t>
      </w:r>
      <w:proofErr w:type="spellEnd"/>
      <w:r>
        <w:t>:</w:t>
      </w:r>
    </w:p>
    <w:p w14:paraId="677628F7" w14:textId="77777777" w:rsidR="008443A6" w:rsidRPr="00487A2C" w:rsidRDefault="008443A6" w:rsidP="00701B1F">
      <w:pPr>
        <w:pStyle w:val="ZLITUSTzmustliter"/>
        <w:rPr>
          <w:spacing w:val="-2"/>
        </w:rPr>
      </w:pPr>
      <w:r w:rsidRPr="00487A2C">
        <w:rPr>
          <w:spacing w:val="-2"/>
        </w:rPr>
        <w:t>«3 </w:t>
      </w:r>
      <w:proofErr w:type="spellStart"/>
      <w:r w:rsidRPr="00487A2C">
        <w:rPr>
          <w:i/>
          <w:iCs/>
          <w:spacing w:val="-2"/>
        </w:rPr>
        <w:t>octies</w:t>
      </w:r>
      <w:proofErr w:type="spellEnd"/>
      <w:r w:rsidRPr="00487A2C">
        <w:rPr>
          <w:spacing w:val="-2"/>
        </w:rPr>
        <w:t>. Con el fin de realizar la tarea mencionada en el apartado 3, punto 16, el Fondo transferirá, en dos tandas iguales, a la cuenta del Fondo de Desarrollo de la Educación Física, los fondos equivalentes a un total de 117 millones de PLN, incluidos en el plan financiero del Fondo, aprobado por la vía mencionada en el artículo 121, apartado 4, artículo 121, apartado 5, o artículo 123, apartado 3, a más tardar entre el 31 de enero y el 31 de julio del año natural. Los intereses por la demora en el pago de la cantidad no transferida al Fondo se adeudan de conformidad con las normas y en la cantidad especificada para los impuestos atrasados.»;</w:t>
      </w:r>
    </w:p>
    <w:p w14:paraId="3B0E7574" w14:textId="77777777" w:rsidR="008443A6" w:rsidRPr="00701B1F" w:rsidRDefault="008443A6" w:rsidP="00701B1F">
      <w:pPr>
        <w:pStyle w:val="PKTpunkt"/>
      </w:pPr>
      <w:r>
        <w:t>2)</w:t>
      </w:r>
      <w:r>
        <w:tab/>
        <w:t>en el artículo 116, apartado 1, después del punto 7 </w:t>
      </w:r>
      <w:proofErr w:type="spellStart"/>
      <w:r>
        <w:rPr>
          <w:i/>
          <w:iCs/>
        </w:rPr>
        <w:t>septies</w:t>
      </w:r>
      <w:proofErr w:type="spellEnd"/>
      <w:r>
        <w:t>, se añaden los siguientes puntos 7 </w:t>
      </w:r>
      <w:proofErr w:type="spellStart"/>
      <w:r>
        <w:rPr>
          <w:i/>
          <w:iCs/>
        </w:rPr>
        <w:t>octies</w:t>
      </w:r>
      <w:proofErr w:type="spellEnd"/>
      <w:r>
        <w:t xml:space="preserve"> y 7 </w:t>
      </w:r>
      <w:proofErr w:type="spellStart"/>
      <w:r>
        <w:rPr>
          <w:i/>
          <w:iCs/>
        </w:rPr>
        <w:t>nonies</w:t>
      </w:r>
      <w:proofErr w:type="spellEnd"/>
      <w:r>
        <w:t>:</w:t>
      </w:r>
    </w:p>
    <w:p w14:paraId="34BCC84B" w14:textId="77777777" w:rsidR="008443A6" w:rsidRPr="00701B1F" w:rsidRDefault="008443A6" w:rsidP="00701B1F">
      <w:pPr>
        <w:pStyle w:val="ZPKTzmpktartykuempunktem"/>
      </w:pPr>
      <w:r>
        <w:t>«7 </w:t>
      </w:r>
      <w:proofErr w:type="spellStart"/>
      <w:r>
        <w:rPr>
          <w:i/>
          <w:iCs/>
        </w:rPr>
        <w:t>octies</w:t>
      </w:r>
      <w:proofErr w:type="spellEnd"/>
      <w:r>
        <w:t>)</w:t>
      </w:r>
      <w:r>
        <w:tab/>
        <w:t>los fondos recibidos en concepto de las tasas mencionadas en el artículo 12 </w:t>
      </w:r>
      <w:r>
        <w:rPr>
          <w:i/>
          <w:iCs/>
        </w:rPr>
        <w:t>bis</w:t>
      </w:r>
      <w:r>
        <w:t>, apartado 1, y en el artículo 12 </w:t>
      </w:r>
      <w:proofErr w:type="spellStart"/>
      <w:r>
        <w:rPr>
          <w:i/>
          <w:iCs/>
        </w:rPr>
        <w:t>decies</w:t>
      </w:r>
      <w:proofErr w:type="spellEnd"/>
      <w:r>
        <w:t>, apartado 1, de la Ley, de 11 de septiembre de 2015, sobre la salud pública;</w:t>
      </w:r>
    </w:p>
    <w:p w14:paraId="495CC754" w14:textId="77777777" w:rsidR="008443A6" w:rsidRPr="00701B1F" w:rsidRDefault="008443A6" w:rsidP="00701B1F">
      <w:pPr>
        <w:pStyle w:val="ZPKTzmpktartykuempunktem"/>
      </w:pPr>
      <w:r>
        <w:t>7 </w:t>
      </w:r>
      <w:proofErr w:type="spellStart"/>
      <w:r>
        <w:rPr>
          <w:i/>
          <w:iCs/>
        </w:rPr>
        <w:t>nonies</w:t>
      </w:r>
      <w:proofErr w:type="spellEnd"/>
      <w:r>
        <w:t>)</w:t>
      </w:r>
      <w:r>
        <w:tab/>
        <w:t>los fondos recibidos en concepto de las tasas mencionadas en el artículo 9 </w:t>
      </w:r>
      <w:r>
        <w:rPr>
          <w:i/>
          <w:iCs/>
        </w:rPr>
        <w:t>ter</w:t>
      </w:r>
      <w:r>
        <w:t>, apartados 11 y 19, de la Ley, de 26 de octubre de 1982, relativa a la educación en la sobriedad y la prevención del alcoholismo;»;</w:t>
      </w:r>
    </w:p>
    <w:p w14:paraId="0757B271" w14:textId="77777777" w:rsidR="008443A6" w:rsidRPr="00701B1F" w:rsidRDefault="008443A6" w:rsidP="00701B1F">
      <w:pPr>
        <w:pStyle w:val="PKTpunkt"/>
      </w:pPr>
      <w:r>
        <w:t>3)</w:t>
      </w:r>
      <w:r>
        <w:tab/>
        <w:t>en el artículo 117, apartado 1, después del punto 4 </w:t>
      </w:r>
      <w:proofErr w:type="gramStart"/>
      <w:r>
        <w:rPr>
          <w:i/>
          <w:iCs/>
        </w:rPr>
        <w:t>bis</w:t>
      </w:r>
      <w:proofErr w:type="gramEnd"/>
      <w:r>
        <w:t>, se añade el siguiente punto 4 </w:t>
      </w:r>
      <w:r>
        <w:rPr>
          <w:i/>
          <w:iCs/>
        </w:rPr>
        <w:t>ter</w:t>
      </w:r>
      <w:r>
        <w:t>:</w:t>
      </w:r>
    </w:p>
    <w:p w14:paraId="4A65531F" w14:textId="77777777" w:rsidR="008443A6" w:rsidRPr="00701B1F" w:rsidRDefault="008443A6" w:rsidP="00701B1F">
      <w:pPr>
        <w:pStyle w:val="ZPKTzmpktartykuempunktem"/>
      </w:pPr>
      <w:r>
        <w:t>«4 </w:t>
      </w:r>
      <w:r>
        <w:rPr>
          <w:i/>
          <w:iCs/>
        </w:rPr>
        <w:t>ter</w:t>
      </w:r>
      <w:r>
        <w:t>)</w:t>
      </w:r>
      <w:r>
        <w:tab/>
        <w:t>los costes de la tarea mencionada en el artículo 97, apartado 3, punto 16;».</w:t>
      </w:r>
    </w:p>
    <w:p w14:paraId="2C329D56" w14:textId="77777777" w:rsidR="008443A6" w:rsidRPr="00701B1F" w:rsidRDefault="008443A6" w:rsidP="00D35C9B">
      <w:pPr>
        <w:pStyle w:val="ARTartustawynprozporzdzenia"/>
        <w:keepNext/>
        <w:keepLines/>
        <w:rPr>
          <w:rStyle w:val="Ppogrubienie"/>
        </w:rPr>
      </w:pPr>
      <w:r>
        <w:rPr>
          <w:rStyle w:val="Ppogrubienie"/>
        </w:rPr>
        <w:lastRenderedPageBreak/>
        <w:t xml:space="preserve">Artículo 6. </w:t>
      </w:r>
      <w:r>
        <w:rPr>
          <w:rStyle w:val="Ppogrubienie"/>
          <w:b w:val="0"/>
        </w:rPr>
        <w:t xml:space="preserve">En la Ley, de 19 de noviembre de 2009, sobre juegos de azar (Boletín </w:t>
      </w:r>
      <w:r>
        <w:t xml:space="preserve">Oficial de la República de Polonia de 2019, puntos 847 y 1495), </w:t>
      </w:r>
      <w:r>
        <w:rPr>
          <w:rStyle w:val="Ppogrubienie"/>
          <w:b w:val="0"/>
        </w:rPr>
        <w:t>en el artículo 86, el apartado 3 se reformula como sigue:</w:t>
      </w:r>
    </w:p>
    <w:p w14:paraId="2CCAB440" w14:textId="77777777" w:rsidR="008443A6" w:rsidRPr="00701B1F" w:rsidRDefault="008443A6" w:rsidP="00701B1F">
      <w:pPr>
        <w:pStyle w:val="ZUSTzmustartykuempunktem"/>
      </w:pPr>
      <w:r>
        <w:t>«3. Los ingresos del Fondo de Desarrollo de la Educación Física serán:</w:t>
      </w:r>
    </w:p>
    <w:p w14:paraId="7771C414" w14:textId="77777777" w:rsidR="008443A6" w:rsidRPr="00701B1F" w:rsidRDefault="00AE0E60" w:rsidP="00701B1F">
      <w:pPr>
        <w:pStyle w:val="ZPKTzmpktartykuempunktem"/>
      </w:pPr>
      <w:r>
        <w:t>1)</w:t>
      </w:r>
      <w:r>
        <w:tab/>
        <w:t xml:space="preserve">el 75 % de los ingresos mencionados en el artículo 80, apartado 1; </w:t>
      </w:r>
    </w:p>
    <w:p w14:paraId="627C2262" w14:textId="77777777" w:rsidR="008443A6" w:rsidRPr="00701B1F" w:rsidRDefault="00AE0E60" w:rsidP="00701B1F">
      <w:pPr>
        <w:pStyle w:val="ZPKTzmpktartykuempunktem"/>
        <w:rPr>
          <w:rStyle w:val="Ppogrubienie"/>
        </w:rPr>
      </w:pPr>
      <w:r>
        <w:t>2)</w:t>
      </w:r>
      <w:r>
        <w:tab/>
      </w:r>
      <w:proofErr w:type="gramStart"/>
      <w:r>
        <w:t>los</w:t>
      </w:r>
      <w:proofErr w:type="gramEnd"/>
      <w:r>
        <w:t xml:space="preserve"> fondos mencionados en el artículo 117, apartado 1, punto 4 </w:t>
      </w:r>
      <w:r>
        <w:rPr>
          <w:i/>
          <w:iCs/>
        </w:rPr>
        <w:t>ter</w:t>
      </w:r>
      <w:r>
        <w:t>, de la Ley, de 27 de agosto de 2004, relativa a las prestaciones de asistencia médica financiadas con fondos públicos (Boletín Oficial de la República de Polonia de 2019, punto 1373, en su versión modificada</w:t>
      </w:r>
      <w:r w:rsidRPr="00701B1F">
        <w:rPr>
          <w:rStyle w:val="FootnoteReference"/>
        </w:rPr>
        <w:footnoteReference w:id="12"/>
      </w:r>
      <w:r>
        <w:rPr>
          <w:rStyle w:val="IGindeksgrny"/>
        </w:rPr>
        <w:t>)</w:t>
      </w:r>
      <w:r>
        <w:t>).».</w:t>
      </w:r>
      <w:r>
        <w:rPr>
          <w:rStyle w:val="Ppogrubienie"/>
        </w:rPr>
        <w:t xml:space="preserve"> </w:t>
      </w:r>
    </w:p>
    <w:p w14:paraId="4F3FF1D4" w14:textId="77777777" w:rsidR="008443A6" w:rsidRPr="00701B1F" w:rsidRDefault="008443A6" w:rsidP="00D35C9B">
      <w:pPr>
        <w:pStyle w:val="ARTartustawynprozporzdzenia"/>
        <w:keepNext/>
        <w:keepLines/>
      </w:pPr>
      <w:r>
        <w:rPr>
          <w:rStyle w:val="Ppogrubienie"/>
        </w:rPr>
        <w:t>Artículo 7.</w:t>
      </w:r>
      <w:r>
        <w:t xml:space="preserve"> En la Ley, de 11 de septiembre de 2015, sobre la salud pública (Boletín Oficial de la República de Polonia de 201</w:t>
      </w:r>
      <w:r>
        <w:rPr>
          <w:rStyle w:val="Ppogrubienie"/>
          <w:b w:val="0"/>
        </w:rPr>
        <w:t>9, punto 2365</w:t>
      </w:r>
      <w:r>
        <w:t>) se modifica como sigue:</w:t>
      </w:r>
    </w:p>
    <w:p w14:paraId="632D1EE4" w14:textId="77777777" w:rsidR="008443A6" w:rsidRPr="00701B1F" w:rsidRDefault="008443A6" w:rsidP="00701B1F">
      <w:pPr>
        <w:pStyle w:val="PKTpunkt"/>
      </w:pPr>
      <w:r>
        <w:t>1)</w:t>
      </w:r>
      <w:r>
        <w:tab/>
        <w:t>en el artículo 1, después del apartado 1, se añade el siguiente apartado 1 </w:t>
      </w:r>
      <w:r>
        <w:rPr>
          <w:i/>
          <w:iCs/>
        </w:rPr>
        <w:t>bis</w:t>
      </w:r>
      <w:r>
        <w:t>:</w:t>
      </w:r>
    </w:p>
    <w:p w14:paraId="5506F89A" w14:textId="77777777" w:rsidR="008443A6" w:rsidRPr="00701B1F" w:rsidRDefault="008443A6" w:rsidP="00701B1F">
      <w:pPr>
        <w:pStyle w:val="ZUSTzmustartykuempunktem"/>
      </w:pPr>
      <w:r>
        <w:t>«1 </w:t>
      </w:r>
      <w:r>
        <w:rPr>
          <w:i/>
          <w:iCs/>
        </w:rPr>
        <w:t>bis</w:t>
      </w:r>
      <w:r>
        <w:t>. La Ley establece, asimismo, las normas de fijación y recaudación de la tasa de las bebidas con contenido de sustancias de propiedades edulcorantes, mencionadas en el artículo 12 </w:t>
      </w:r>
      <w:r>
        <w:rPr>
          <w:i/>
          <w:iCs/>
        </w:rPr>
        <w:t>bis</w:t>
      </w:r>
      <w:r>
        <w:t>, apartado 1, punto 1, así como de cafeína o taurina en el producto listo para el consumo.»;</w:t>
      </w:r>
    </w:p>
    <w:p w14:paraId="077C1BBE" w14:textId="77777777" w:rsidR="008443A6" w:rsidRPr="00701B1F" w:rsidRDefault="008443A6" w:rsidP="00701B1F">
      <w:pPr>
        <w:pStyle w:val="PKTpunkt"/>
      </w:pPr>
      <w:r>
        <w:t>2)</w:t>
      </w:r>
      <w:r>
        <w:tab/>
        <w:t>después del capítulo 3, se añade el capítulo 3 </w:t>
      </w:r>
      <w:r>
        <w:rPr>
          <w:i/>
          <w:iCs/>
        </w:rPr>
        <w:t>bis</w:t>
      </w:r>
      <w:r>
        <w:t xml:space="preserve"> siguiente: </w:t>
      </w:r>
    </w:p>
    <w:p w14:paraId="3F40FBCD" w14:textId="77777777" w:rsidR="008443A6" w:rsidRPr="00701B1F" w:rsidRDefault="008443A6" w:rsidP="00D35C9B">
      <w:pPr>
        <w:pStyle w:val="ZROZDZODDZOZNzmoznrozdzoddzartykuempunktem"/>
        <w:keepLines/>
      </w:pPr>
      <w:r>
        <w:t xml:space="preserve">«Capítulo 3 </w:t>
      </w:r>
      <w:r>
        <w:rPr>
          <w:i/>
          <w:iCs/>
        </w:rPr>
        <w:t>bis</w:t>
      </w:r>
    </w:p>
    <w:p w14:paraId="3B08AEA8" w14:textId="77777777" w:rsidR="008443A6" w:rsidRPr="00701B1F" w:rsidRDefault="008443A6" w:rsidP="00D35C9B">
      <w:pPr>
        <w:pStyle w:val="ZROZDZODDZPRZEDMzmprzedmrozdzoddzartykuempunktem"/>
        <w:keepLines/>
        <w:rPr>
          <w:rStyle w:val="Ppogrubienie"/>
          <w:b w:val="0"/>
        </w:rPr>
      </w:pPr>
      <w:r>
        <w:rPr>
          <w:rStyle w:val="Ppogrubienie"/>
          <w:b w:val="0"/>
        </w:rPr>
        <w:t>Tasa de los productos alimenticios</w:t>
      </w:r>
    </w:p>
    <w:p w14:paraId="57212BEF" w14:textId="77777777" w:rsidR="008443A6" w:rsidRPr="00701B1F" w:rsidRDefault="008443A6" w:rsidP="00D35C9B">
      <w:pPr>
        <w:pStyle w:val="ZARTzmartartykuempunktem"/>
        <w:keepNext/>
        <w:keepLines/>
      </w:pPr>
      <w:r>
        <w:t>Artículo 12 </w:t>
      </w:r>
      <w:r>
        <w:rPr>
          <w:i/>
          <w:iCs/>
        </w:rPr>
        <w:t>bis.</w:t>
      </w:r>
      <w:r>
        <w:t xml:space="preserve"> 1. La comercialización en el mercado nacional de bebidas con contenido de:</w:t>
      </w:r>
    </w:p>
    <w:p w14:paraId="2E9F65EA" w14:textId="77777777" w:rsidR="008443A6" w:rsidRPr="00701B1F" w:rsidRDefault="008443A6" w:rsidP="00701B1F">
      <w:pPr>
        <w:pStyle w:val="ZPKTzmpktartykuempunktem"/>
      </w:pPr>
      <w:r>
        <w:t>1)</w:t>
      </w:r>
      <w:r>
        <w:tab/>
        <w:t>azúcares que sean monosacáridos o disacáridos, así como productos alimenticios que contengan esas sustancias, y los edulcorantes indicados en el Reglamento (CE) n</w:t>
      </w:r>
      <w:proofErr w:type="gramStart"/>
      <w:r>
        <w:t>.º</w:t>
      </w:r>
      <w:proofErr w:type="gramEnd"/>
      <w:r>
        <w:t> 1333/2008 del Parlamento Europeo y del Consejo, de 16 de diciembre de 2008, sobre aditivos alimentarios (DO L 354 de 31.12.2008, p. 16, en su versión modificada</w:t>
      </w:r>
      <w:r w:rsidR="00AE0E60" w:rsidRPr="00701B1F">
        <w:rPr>
          <w:rStyle w:val="FootnoteReference"/>
        </w:rPr>
        <w:footnoteReference w:id="13"/>
      </w:r>
      <w:r>
        <w:rPr>
          <w:rStyle w:val="IGindeksgrny"/>
        </w:rPr>
        <w:t>)</w:t>
      </w:r>
      <w:r>
        <w:t>), en adelante, el «Reglamento n.º 1333/2008»; y</w:t>
      </w:r>
    </w:p>
    <w:p w14:paraId="34157FAD" w14:textId="77777777" w:rsidR="008443A6" w:rsidRPr="00701B1F" w:rsidRDefault="008443A6" w:rsidP="00701B1F">
      <w:pPr>
        <w:pStyle w:val="ZPKTzmpktartykuempunktem"/>
      </w:pPr>
      <w:r>
        <w:lastRenderedPageBreak/>
        <w:t>2)</w:t>
      </w:r>
      <w:r>
        <w:tab/>
        <w:t xml:space="preserve">cafeína o taurina </w:t>
      </w:r>
    </w:p>
    <w:p w14:paraId="37CFD622" w14:textId="77777777" w:rsidR="008443A6" w:rsidRPr="00701B1F" w:rsidRDefault="008443A6" w:rsidP="00701B1F">
      <w:pPr>
        <w:pStyle w:val="ZCZWSPPKTzmczciwsppktartykuempunktem"/>
      </w:pPr>
      <w:r>
        <w:t>– está sujeta a una tasa, en adelante, la «tasa».</w:t>
      </w:r>
    </w:p>
    <w:p w14:paraId="3B56985D" w14:textId="77777777" w:rsidR="008443A6" w:rsidRPr="00487A2C" w:rsidRDefault="008443A6" w:rsidP="00701B1F">
      <w:pPr>
        <w:pStyle w:val="ZUSTzmustartykuempunktem"/>
        <w:rPr>
          <w:spacing w:val="-4"/>
        </w:rPr>
      </w:pPr>
      <w:r w:rsidRPr="00487A2C">
        <w:rPr>
          <w:spacing w:val="-4"/>
        </w:rPr>
        <w:t>2. La comercialización en el mercado nacional de las bebidas mencionadas en el apartado 1 se entenderá como la venta de bebidas por parte de las entidades obligadas al pago de la tasa mencionada en el artículo12 </w:t>
      </w:r>
      <w:proofErr w:type="spellStart"/>
      <w:r w:rsidRPr="00487A2C">
        <w:rPr>
          <w:i/>
          <w:iCs/>
          <w:spacing w:val="-4"/>
        </w:rPr>
        <w:t>quinquies</w:t>
      </w:r>
      <w:proofErr w:type="spellEnd"/>
      <w:r w:rsidRPr="00487A2C">
        <w:rPr>
          <w:spacing w:val="-4"/>
        </w:rPr>
        <w:t>, apartado 1, hasta el primer punto en el que se realiza la venta al por menor, así como la venta al por menor de bebidas por parte del fabricante, o bien a la venta en el caso mencionado en el artículo 12 </w:t>
      </w:r>
      <w:proofErr w:type="spellStart"/>
      <w:r w:rsidRPr="00487A2C">
        <w:rPr>
          <w:i/>
          <w:iCs/>
          <w:spacing w:val="-4"/>
        </w:rPr>
        <w:t>sexies</w:t>
      </w:r>
      <w:proofErr w:type="spellEnd"/>
      <w:r w:rsidRPr="00487A2C">
        <w:rPr>
          <w:spacing w:val="-4"/>
        </w:rPr>
        <w:t>, apartado 3.</w:t>
      </w:r>
    </w:p>
    <w:p w14:paraId="0420029A" w14:textId="77777777" w:rsidR="008443A6" w:rsidRPr="00701B1F" w:rsidRDefault="008443A6" w:rsidP="00701B1F">
      <w:pPr>
        <w:pStyle w:val="ZUSTzmustartykuempunktem"/>
      </w:pPr>
      <w:r>
        <w:t xml:space="preserve">3. La venta al por menor mencionada en el apartado 2 se entenderá como la venta de mercancías a consumidores en el territorio de la República de Polonia, en el marco de la actividad económica del vendedor, sobre la base de un contrato celebrado: </w:t>
      </w:r>
    </w:p>
    <w:p w14:paraId="5B10871D" w14:textId="77777777" w:rsidR="008443A6" w:rsidRPr="00701B1F" w:rsidRDefault="008443A6" w:rsidP="00701B1F">
      <w:pPr>
        <w:pStyle w:val="ZPKTzmpktartykuempunktem"/>
      </w:pPr>
      <w:r>
        <w:t>1)</w:t>
      </w:r>
      <w:r>
        <w:tab/>
      </w:r>
      <w:proofErr w:type="gramStart"/>
      <w:r>
        <w:t>en</w:t>
      </w:r>
      <w:proofErr w:type="gramEnd"/>
      <w:r>
        <w:t xml:space="preserve"> el local de la empresa, en el sentido del artículo 2, punto 3, de la Ley, de 30 de mayo de 2014, relativa a los derechos del consumidor (Boletín Oficial de la República de Polonia de 2019, puntos 134, 730 y 1495);</w:t>
      </w:r>
    </w:p>
    <w:p w14:paraId="241C5414" w14:textId="77777777" w:rsidR="008443A6" w:rsidRPr="00701B1F" w:rsidRDefault="008443A6" w:rsidP="00701B1F">
      <w:pPr>
        <w:pStyle w:val="ZPKTzmpktartykuempunktem"/>
      </w:pPr>
      <w:r>
        <w:t>2)</w:t>
      </w:r>
      <w:r>
        <w:tab/>
        <w:t xml:space="preserve">fuera del local de la empresa, en el sentido del artículo 2, punto 2, de la Ley, de 30 de mayo de 2014, relativa a los derechos del consumidor; </w:t>
      </w:r>
    </w:p>
    <w:p w14:paraId="6DD2565C" w14:textId="77777777" w:rsidR="008443A6" w:rsidRPr="00701B1F" w:rsidRDefault="008443A6" w:rsidP="00701B1F">
      <w:pPr>
        <w:pStyle w:val="ZCZWSPPKTzmczciwsppktartykuempunktem"/>
      </w:pPr>
      <w:r>
        <w:t>– También si la venta se realiza junto con la prestación de un servicio no registrado de forma independiente.</w:t>
      </w:r>
    </w:p>
    <w:p w14:paraId="3947F21F" w14:textId="77777777" w:rsidR="008443A6" w:rsidRPr="00701B1F" w:rsidRDefault="008443A6" w:rsidP="00701B1F">
      <w:pPr>
        <w:pStyle w:val="ZARTzmartartykuempunktem"/>
      </w:pPr>
      <w:r>
        <w:t>Artículo 12 </w:t>
      </w:r>
      <w:r>
        <w:rPr>
          <w:i/>
          <w:iCs/>
        </w:rPr>
        <w:t>ter</w:t>
      </w:r>
      <w:r>
        <w:t>. 1. La bebida mencionada en el artículo 12 </w:t>
      </w:r>
      <w:r>
        <w:rPr>
          <w:i/>
          <w:iCs/>
        </w:rPr>
        <w:t>bis</w:t>
      </w:r>
      <w:r>
        <w:t xml:space="preserve">, apartado 1, se entenderá como un producto en forma de bebida, así como un sirope que sea producto alimenticio, incluido en la Clasificación Polaca de Productos y Servicios en las clases 10.32 y 10.89, así como en la sección 11, cuyos ingredientes incluyen como mínimo una de las sustancias mencionadas en el artículo 12 </w:t>
      </w:r>
      <w:r>
        <w:rPr>
          <w:i/>
          <w:iCs/>
        </w:rPr>
        <w:t>bis</w:t>
      </w:r>
      <w:r>
        <w:t>, apartado 1, excepto las sustancias naturalmente presentes.</w:t>
      </w:r>
    </w:p>
    <w:p w14:paraId="18205BEB" w14:textId="77777777" w:rsidR="008443A6" w:rsidRPr="00701B1F" w:rsidRDefault="008443A6" w:rsidP="00701B1F">
      <w:pPr>
        <w:pStyle w:val="ZUSTzmustartykuempunktem"/>
      </w:pPr>
      <w:r>
        <w:lastRenderedPageBreak/>
        <w:t xml:space="preserve">2. La comercialización en el mercado nacional de las siguientes bebidas no estará sujeta a la tasa: </w:t>
      </w:r>
    </w:p>
    <w:p w14:paraId="2C72F2E1" w14:textId="77777777" w:rsidR="008443A6" w:rsidRPr="00701B1F" w:rsidRDefault="008443A6" w:rsidP="00701B1F">
      <w:pPr>
        <w:pStyle w:val="ZPKTzmpktartykuempunktem"/>
      </w:pPr>
      <w:r>
        <w:t>1)</w:t>
      </w:r>
      <w:r>
        <w:tab/>
        <w:t>que sean productos sanitarios, en el sentido del artículo 2, apartado 1, punto 38, de la Ley, de 20 de mayo de 2010, relativa a los productos sanitarios (Boletín Oficial de la República de Polonia de 2019, puntos 175, 447 y 534);</w:t>
      </w:r>
    </w:p>
    <w:p w14:paraId="50DC7788" w14:textId="77777777" w:rsidR="008443A6" w:rsidRPr="00701B1F" w:rsidRDefault="00AE0E60" w:rsidP="00701B1F">
      <w:pPr>
        <w:pStyle w:val="ZPKTzmpktartykuempunktem"/>
      </w:pPr>
      <w:r>
        <w:t>2)</w:t>
      </w:r>
      <w:r>
        <w:tab/>
        <w:t xml:space="preserve">que sean </w:t>
      </w:r>
      <w:proofErr w:type="gramStart"/>
      <w:r>
        <w:t>complementos alimenticios, en el sentido del artículo 3, apartado 3, punto 39, de la Ley, de 26 de agosto de 2006, relativa</w:t>
      </w:r>
      <w:proofErr w:type="gramEnd"/>
      <w:r>
        <w:t xml:space="preserve"> a la seguridad alimentaria y nutricional (Boletín Oficial de la República de Polonia de 2019, punto 1252);</w:t>
      </w:r>
    </w:p>
    <w:p w14:paraId="34E2756C" w14:textId="77777777" w:rsidR="008443A6" w:rsidRPr="00701B1F" w:rsidRDefault="00AE0E60" w:rsidP="00701B1F">
      <w:pPr>
        <w:pStyle w:val="ZPKTzmpktartykuempunktem"/>
      </w:pPr>
      <w:r>
        <w:t>3)</w:t>
      </w:r>
      <w:r>
        <w:tab/>
        <w:t>que sean alimentos para usos médicos especiales, los preparados para lactantes y los preparados de continuación, mencionados en el Reglamento (UE) n.º 609/2013 del Parlamento Europeo y del Consejo, de 12 de junio de 2013, relativo a los alimentos destinados a los lactantes y niños de corta edad, los alimentos para usos médicos especiales y los sustitutivos de la dieta completa para el control de peso y por el que se derogan la Directiva 92/52/CEE del Consejo, las Directivas 96/8/CE, 1999/21/CE, 2006/125/CE y 2006/141/CE de la Comisión, la Directiva 2009/39/CE del Parlamento Europeo y del Consejo y los Reglamentos (CE) n ° 41/2009 y (CE) n ° 953/2009 de la Comisión (DO L 181 de 29.6.2013, p. 35, en su versión modificada</w:t>
      </w:r>
      <w:r w:rsidRPr="00701B1F">
        <w:rPr>
          <w:rStyle w:val="FootnoteReference"/>
        </w:rPr>
        <w:footnoteReference w:id="14"/>
      </w:r>
      <w:r>
        <w:rPr>
          <w:rStyle w:val="IGindeksgrny"/>
        </w:rPr>
        <w:t>)</w:t>
      </w:r>
      <w:r>
        <w:t>);</w:t>
      </w:r>
    </w:p>
    <w:p w14:paraId="6EBF81FB" w14:textId="77777777" w:rsidR="008443A6" w:rsidRPr="00701B1F" w:rsidRDefault="008443A6" w:rsidP="00701B1F">
      <w:pPr>
        <w:pStyle w:val="ZPKTzmpktartykuempunktem"/>
      </w:pPr>
      <w:r>
        <w:t>4)</w:t>
      </w:r>
      <w:r>
        <w:tab/>
        <w:t>que sean productos sujetos a impuestos especiales, en el sentido del artículo 2, apartado 1, punto 1, de la Ley, de 6 de diciembre de 2008, relativa a los impuestos especiales (Boletín Oficial de la República de Polonia de 2019, punto 864, en su versión modificada</w:t>
      </w:r>
      <w:r w:rsidR="00AE0E60" w:rsidRPr="00701B1F">
        <w:rPr>
          <w:rStyle w:val="FootnoteReference"/>
        </w:rPr>
        <w:footnoteReference w:id="15"/>
      </w:r>
      <w:r>
        <w:rPr>
          <w:rStyle w:val="IGindeksgrny"/>
        </w:rPr>
        <w:t>)</w:t>
      </w:r>
      <w:r>
        <w:t>];</w:t>
      </w:r>
    </w:p>
    <w:p w14:paraId="43EA5A8B" w14:textId="77777777" w:rsidR="008443A6" w:rsidRPr="00701B1F" w:rsidRDefault="008443A6" w:rsidP="00701B1F">
      <w:pPr>
        <w:pStyle w:val="ZPKTzmpktartykuempunktem"/>
      </w:pPr>
      <w:r>
        <w:t>5)</w:t>
      </w:r>
      <w:r>
        <w:tab/>
        <w:t>cuya fracción de masa del zumo de fruta, verdura o fruta y verdura sea, como mínimo, de un 20 % de la composición, y cuyo contenido de azúcares sea inferior o igual a 5 g por 100 ml de la bebida;</w:t>
      </w:r>
    </w:p>
    <w:p w14:paraId="10A050C1" w14:textId="77777777" w:rsidR="008443A6" w:rsidRPr="00701B1F" w:rsidRDefault="008443A6" w:rsidP="00701B1F">
      <w:pPr>
        <w:pStyle w:val="ZPKTzmpktartykuempunktem"/>
      </w:pPr>
      <w:r>
        <w:t>6)</w:t>
      </w:r>
      <w:r>
        <w:tab/>
        <w:t xml:space="preserve">que sean proteínas mencionadas en el Reglamento (UE) n.º 432/2012 de la Comisión, de 16 de mayo de 2012, por el que se establece una lista de declaraciones autorizadas de propiedades saludables de los alimentos distintas de las relativas a la reducción del riesgo de enfermedad y al desarrollo y la salud de </w:t>
      </w:r>
      <w:r>
        <w:lastRenderedPageBreak/>
        <w:t>los niños (DO L 136 de 25.5.2012, p. 1, en su versión modificada</w:t>
      </w:r>
      <w:r w:rsidR="00AE0E60" w:rsidRPr="00701B1F">
        <w:rPr>
          <w:rStyle w:val="FootnoteReference"/>
        </w:rPr>
        <w:footnoteReference w:id="16"/>
      </w:r>
      <w:r>
        <w:rPr>
          <w:rStyle w:val="IGindeksgrny"/>
        </w:rPr>
        <w:t>)</w:t>
      </w:r>
      <w:r>
        <w:t>), en adelante, el «Reglamento n.º 432/2012», en las que el contenido de azúcares sea inferior o igual a 5 g por 100 ml de la bebida.</w:t>
      </w:r>
    </w:p>
    <w:p w14:paraId="7146AFD0" w14:textId="77777777" w:rsidR="008443A6" w:rsidRPr="00701B1F" w:rsidRDefault="008443A6" w:rsidP="00701B1F">
      <w:pPr>
        <w:pStyle w:val="ZARTzmartartykuempunktem"/>
      </w:pPr>
      <w:r>
        <w:t>Artículo 12 </w:t>
      </w:r>
      <w:proofErr w:type="spellStart"/>
      <w:r>
        <w:rPr>
          <w:i/>
          <w:iCs/>
        </w:rPr>
        <w:t>quater</w:t>
      </w:r>
      <w:proofErr w:type="spellEnd"/>
      <w:r>
        <w:t>. 1. La tasa y la tasa adicional mencionada en el artículo 12 </w:t>
      </w:r>
      <w:proofErr w:type="spellStart"/>
      <w:r>
        <w:rPr>
          <w:i/>
          <w:iCs/>
        </w:rPr>
        <w:t>decies</w:t>
      </w:r>
      <w:proofErr w:type="spellEnd"/>
      <w:r>
        <w:t>, apartado 1, constituirá en:</w:t>
      </w:r>
    </w:p>
    <w:p w14:paraId="3FD3A524" w14:textId="77777777" w:rsidR="008443A6" w:rsidRPr="00701B1F" w:rsidRDefault="00AE0E60" w:rsidP="00701B1F">
      <w:pPr>
        <w:pStyle w:val="ZPKTzmpktartykuempunktem"/>
      </w:pPr>
      <w:r>
        <w:t>1)</w:t>
      </w:r>
      <w:r>
        <w:tab/>
        <w:t>un 96,5 % los ingresos del Fondo Nacional de la Salud; y</w:t>
      </w:r>
    </w:p>
    <w:p w14:paraId="3573232E" w14:textId="77777777" w:rsidR="008443A6" w:rsidRPr="00701B1F" w:rsidRDefault="00AE0E60" w:rsidP="00701B1F">
      <w:pPr>
        <w:pStyle w:val="ZPKTzmpktartykuempunktem"/>
      </w:pPr>
      <w:r>
        <w:t>2)</w:t>
      </w:r>
      <w:r>
        <w:tab/>
        <w:t>un 3,5 % el rendimiento de la Tesorería del Estado en la parte cuyo poseedor es el Ministro de Finanzas Públicas competente.</w:t>
      </w:r>
    </w:p>
    <w:p w14:paraId="1D197208" w14:textId="77777777" w:rsidR="008443A6" w:rsidRPr="00701B1F" w:rsidRDefault="008443A6" w:rsidP="00701B1F">
      <w:pPr>
        <w:pStyle w:val="ZUSTzmustartykuempunktem"/>
      </w:pPr>
      <w:r>
        <w:t>2. El Fondo Nacional de la Salud destinará los fondos mencionados en el apartado 1, punto 1, a las iniciativas de carácter educativo y preventivo, así como a las prestaciones de asistencia sanitaria relacionadas con el mantenimiento y la mejora del estado de salud de los beneficiarios que padezcan enfermedades desarrolladas a causa de decisiones y hábitos de salud inadecuados, sobre todo el sobrepeso y la obesidad.</w:t>
      </w:r>
    </w:p>
    <w:p w14:paraId="743859F8" w14:textId="77777777" w:rsidR="008443A6" w:rsidRPr="00701B1F" w:rsidRDefault="008443A6" w:rsidP="00D35C9B">
      <w:pPr>
        <w:pStyle w:val="ZARTzmartartykuempunktem"/>
        <w:keepNext/>
        <w:keepLines/>
      </w:pPr>
      <w:r>
        <w:t>Artículo 12 </w:t>
      </w:r>
      <w:proofErr w:type="spellStart"/>
      <w:r>
        <w:rPr>
          <w:i/>
          <w:iCs/>
        </w:rPr>
        <w:t>quinquies</w:t>
      </w:r>
      <w:proofErr w:type="spellEnd"/>
      <w:r>
        <w:t>. 1. La obligación de pago de la tasa recae sobre una persona física, una persona jurídica y una entidad sin personalidad jurídica, que:</w:t>
      </w:r>
    </w:p>
    <w:p w14:paraId="30E080B9" w14:textId="77777777" w:rsidR="008443A6" w:rsidRPr="00701B1F" w:rsidRDefault="008443A6" w:rsidP="00701B1F">
      <w:pPr>
        <w:pStyle w:val="ZPKTzmpktartykuempunktem"/>
      </w:pPr>
      <w:r>
        <w:t>1)</w:t>
      </w:r>
      <w:r>
        <w:tab/>
        <w:t>sea una entidad que venda bebidas a los puntos de venta al por menor o que realice la venta al por menor de bebidas en el caso del fabricante;</w:t>
      </w:r>
    </w:p>
    <w:p w14:paraId="2FB6F5FA" w14:textId="77777777" w:rsidR="008443A6" w:rsidRPr="00701B1F" w:rsidRDefault="008443A6" w:rsidP="00701B1F">
      <w:pPr>
        <w:pStyle w:val="ZPKTzmpktartykuempunktem"/>
      </w:pPr>
      <w:r>
        <w:t>2)</w:t>
      </w:r>
      <w:r>
        <w:tab/>
        <w:t xml:space="preserve">sea comprador, en el caso de que los ingredientes de la bebida sujeta a la tasa constituya un elemento del contrato firmado por el fabricante y relativo a la fabricación de esa bebida para el comprador. </w:t>
      </w:r>
    </w:p>
    <w:p w14:paraId="19073736" w14:textId="77777777" w:rsidR="008443A6" w:rsidRPr="00701B1F" w:rsidRDefault="008443A6" w:rsidP="00701B1F">
      <w:pPr>
        <w:pStyle w:val="ZUSTzmustartykuempunktem"/>
      </w:pPr>
      <w:r>
        <w:t xml:space="preserve">2. En el caso de que se produzca la obligación de pago de la tasa, de acuerdo con el apartado 1, punto 2, dicha obligación recaerá únicamente sobre el comprador mencionado en el apartado 1, punto 2. </w:t>
      </w:r>
    </w:p>
    <w:p w14:paraId="44DDDFB8" w14:textId="77777777" w:rsidR="008443A6" w:rsidRPr="00701B1F" w:rsidRDefault="008443A6" w:rsidP="00701B1F">
      <w:pPr>
        <w:pStyle w:val="ZUSTzmustartykuempunktem"/>
      </w:pPr>
      <w:r>
        <w:t xml:space="preserve">3. El fabricante notificará por escrito la celebración del contrato mencionado en el apartado 1, punto 2, al órgano competente en el ámbito de la tasa, como máximo el mismo día en el que se produzca la obligación de pago de la tasa. </w:t>
      </w:r>
    </w:p>
    <w:p w14:paraId="0EDC6C2A" w14:textId="77777777" w:rsidR="008443A6" w:rsidRPr="00701B1F" w:rsidRDefault="008443A6" w:rsidP="00701B1F">
      <w:pPr>
        <w:pStyle w:val="ZUSTzmustartykuempunktem"/>
      </w:pPr>
      <w:r>
        <w:t>4. La información de la celebración del contrato incluirá los datos siguientes:</w:t>
      </w:r>
    </w:p>
    <w:p w14:paraId="392E4453" w14:textId="77777777" w:rsidR="008443A6" w:rsidRPr="00701B1F" w:rsidRDefault="008443A6" w:rsidP="00701B1F">
      <w:pPr>
        <w:pStyle w:val="ZPKTzmpktartykuempunktem"/>
      </w:pPr>
      <w:r>
        <w:t>1)</w:t>
      </w:r>
      <w:r>
        <w:tab/>
        <w:t>los datos del fabricante y de la entidad obligada al pago de la tasa:</w:t>
      </w:r>
    </w:p>
    <w:p w14:paraId="3EFFFF6A" w14:textId="77777777" w:rsidR="008443A6" w:rsidRPr="00701B1F" w:rsidRDefault="00AE0E60" w:rsidP="00701B1F">
      <w:pPr>
        <w:pStyle w:val="ZLITwPKTzmlitwpktartykuempunktem"/>
      </w:pPr>
      <w:r>
        <w:t>a)</w:t>
      </w:r>
      <w:r>
        <w:tab/>
        <w:t>la razón social (empresa) o el nombre y apellido;</w:t>
      </w:r>
    </w:p>
    <w:p w14:paraId="7DF6687C" w14:textId="77777777" w:rsidR="008443A6" w:rsidRPr="00701B1F" w:rsidRDefault="00AE0E60" w:rsidP="00701B1F">
      <w:pPr>
        <w:pStyle w:val="ZLITwPKTzmlitwpktartykuempunktem"/>
      </w:pPr>
      <w:r>
        <w:t>b)</w:t>
      </w:r>
      <w:r>
        <w:tab/>
        <w:t>la dirección de la sede o el domicilio;</w:t>
      </w:r>
    </w:p>
    <w:p w14:paraId="71135B39" w14:textId="77777777" w:rsidR="008443A6" w:rsidRPr="00701B1F" w:rsidRDefault="008443A6" w:rsidP="00701B1F">
      <w:pPr>
        <w:pStyle w:val="ZLITwPKTzmlitwpktartykuempunktem"/>
      </w:pPr>
      <w:r>
        <w:lastRenderedPageBreak/>
        <w:t>c)</w:t>
      </w:r>
      <w:r>
        <w:tab/>
        <w:t>NIF;</w:t>
      </w:r>
    </w:p>
    <w:p w14:paraId="0E9F956B" w14:textId="77777777" w:rsidR="008443A6" w:rsidRPr="00701B1F" w:rsidRDefault="008443A6" w:rsidP="00701B1F">
      <w:pPr>
        <w:pStyle w:val="ZLITwPKTzmlitwpktartykuempunktem"/>
      </w:pPr>
      <w:r>
        <w:t>d)</w:t>
      </w:r>
      <w:r>
        <w:tab/>
        <w:t>el nombre y apellido, el número de teléfono o la dirección de correo electrónico de la persona indicada para el contacto;</w:t>
      </w:r>
    </w:p>
    <w:p w14:paraId="1B33D927" w14:textId="77777777" w:rsidR="008443A6" w:rsidRPr="00701B1F" w:rsidRDefault="008443A6" w:rsidP="00701B1F">
      <w:pPr>
        <w:pStyle w:val="ZPKTzmpktartykuempunktem"/>
      </w:pPr>
      <w:r>
        <w:t>2)</w:t>
      </w:r>
      <w:r>
        <w:tab/>
        <w:t>la información sobre los ingredientes de las bebidas que sean objeto del contrato, incluida las que contienen cafeína o taurina añadidas, los edulcorantes mencionados en el artículo 12 </w:t>
      </w:r>
      <w:r>
        <w:rPr>
          <w:i/>
          <w:iCs/>
        </w:rPr>
        <w:t>bis</w:t>
      </w:r>
      <w:r>
        <w:t>, apartado 1, punto 1, y con el contenido de azúcares por volumen de bebidas, en el ámbito que sea imprescindible para calcular la tasa, de acuerdo con la etiqueta de estas;</w:t>
      </w:r>
    </w:p>
    <w:p w14:paraId="2F1E783F" w14:textId="77777777" w:rsidR="008443A6" w:rsidRPr="00701B1F" w:rsidRDefault="008443A6" w:rsidP="00701B1F">
      <w:pPr>
        <w:pStyle w:val="ZPKTzmpktartykuempunktem"/>
      </w:pPr>
      <w:r>
        <w:t>3)</w:t>
      </w:r>
      <w:r>
        <w:tab/>
        <w:t>la fecha y la firma del fabricante o de la persona autorizada por el mismo.</w:t>
      </w:r>
    </w:p>
    <w:p w14:paraId="3EF7E2E0" w14:textId="77777777" w:rsidR="008443A6" w:rsidRPr="00701B1F" w:rsidRDefault="008443A6" w:rsidP="00701B1F">
      <w:pPr>
        <w:pStyle w:val="ZARTzmartartykuempunktem"/>
      </w:pPr>
      <w:r>
        <w:t>Artículo 12 </w:t>
      </w:r>
      <w:proofErr w:type="spellStart"/>
      <w:r>
        <w:rPr>
          <w:i/>
          <w:iCs/>
        </w:rPr>
        <w:t>sexies</w:t>
      </w:r>
      <w:proofErr w:type="spellEnd"/>
      <w:r>
        <w:t>. 1. La obligación del pago de la tasa surge el día de comercialización en el mercado nacional de la bebida mencionada en el artículo 12 </w:t>
      </w:r>
      <w:r>
        <w:rPr>
          <w:i/>
          <w:iCs/>
        </w:rPr>
        <w:t>bis</w:t>
      </w:r>
      <w:r>
        <w:t xml:space="preserve">, apartado 1. </w:t>
      </w:r>
    </w:p>
    <w:p w14:paraId="46C78AFC" w14:textId="77777777" w:rsidR="008443A6" w:rsidRPr="00701B1F" w:rsidRDefault="008443A6" w:rsidP="00701B1F">
      <w:pPr>
        <w:pStyle w:val="ZUSTzmustartykuempunktem"/>
      </w:pPr>
      <w:r>
        <w:t>2. El fabricante mencionado en el artículo 12 </w:t>
      </w:r>
      <w:proofErr w:type="spellStart"/>
      <w:r>
        <w:rPr>
          <w:i/>
          <w:iCs/>
        </w:rPr>
        <w:t>quinquies</w:t>
      </w:r>
      <w:proofErr w:type="spellEnd"/>
      <w:r>
        <w:t>, apartado 1, punto 2, tendrá la obligación de transmitir a la entidad obligada al pago de la tasa la información mencionada en el artículo 12 </w:t>
      </w:r>
      <w:proofErr w:type="spellStart"/>
      <w:r>
        <w:rPr>
          <w:i/>
          <w:iCs/>
        </w:rPr>
        <w:t>quinquies</w:t>
      </w:r>
      <w:proofErr w:type="spellEnd"/>
      <w:r>
        <w:t>, apartado 4, en un plazo que permita cumplir las obligaciones mencionadas en el artículo 12 </w:t>
      </w:r>
      <w:proofErr w:type="spellStart"/>
      <w:r>
        <w:rPr>
          <w:i/>
          <w:iCs/>
        </w:rPr>
        <w:t>octies</w:t>
      </w:r>
      <w:proofErr w:type="spellEnd"/>
      <w:r>
        <w:t>, apartado 1.</w:t>
      </w:r>
    </w:p>
    <w:p w14:paraId="702BB6B1" w14:textId="77777777" w:rsidR="008443A6" w:rsidRPr="00701B1F" w:rsidRDefault="008443A6" w:rsidP="00701B1F">
      <w:pPr>
        <w:pStyle w:val="ZUSTzmustartykuempunktem"/>
      </w:pPr>
      <w:r>
        <w:t>3. La obligación de pago de la tasa recaerá sobre la entidad que vende las bebidas mencionadas en el artículo 12 </w:t>
      </w:r>
      <w:r>
        <w:rPr>
          <w:i/>
          <w:iCs/>
        </w:rPr>
        <w:t>bis</w:t>
      </w:r>
      <w:r>
        <w:t xml:space="preserve">, apartado 1, a la entidad que realiza al mismo tiempo la venta al por menor y al por mayor. En este caso, la tasa deberá pagarse sobre todas las bebidas sujetas a la tasa vendidas a esa entidad. </w:t>
      </w:r>
    </w:p>
    <w:p w14:paraId="580C99A3" w14:textId="77777777" w:rsidR="008443A6" w:rsidRPr="00701B1F" w:rsidRDefault="008443A6" w:rsidP="00701B1F">
      <w:pPr>
        <w:pStyle w:val="ZUSTzmustartykuempunktem"/>
      </w:pPr>
      <w:r>
        <w:t>4. En el caso mencionado en el apartado 3, las demás entidades que comercialicen las bebidas mencionadas en el artículo 12 </w:t>
      </w:r>
      <w:r>
        <w:rPr>
          <w:i/>
          <w:iCs/>
        </w:rPr>
        <w:t>bis</w:t>
      </w:r>
      <w:r>
        <w:t>, apartado 1, por cuya comercialización se ha pagado la tasa, no incluirán esas bebidas en la información mencionada en el artículo 12 </w:t>
      </w:r>
      <w:proofErr w:type="spellStart"/>
      <w:r>
        <w:rPr>
          <w:i/>
          <w:iCs/>
        </w:rPr>
        <w:t>octies</w:t>
      </w:r>
      <w:proofErr w:type="spellEnd"/>
      <w:r>
        <w:t>, apartado 1, punto 1.</w:t>
      </w:r>
    </w:p>
    <w:p w14:paraId="766EED6F" w14:textId="77777777" w:rsidR="008443A6" w:rsidRPr="00701B1F" w:rsidRDefault="008443A6" w:rsidP="00701B1F">
      <w:pPr>
        <w:pStyle w:val="ZUSTzmustartykuempunktem"/>
      </w:pPr>
      <w:r>
        <w:t>5. El órgano competente en el ámbito de la tasa será el director de la administración tributaria correspondiente al domicilio o a la dirección de la sede de la entidad obligada al pago de la tasa, mencionada en el artículo 12 </w:t>
      </w:r>
      <w:proofErr w:type="spellStart"/>
      <w:r>
        <w:rPr>
          <w:i/>
          <w:iCs/>
        </w:rPr>
        <w:t>quinquies</w:t>
      </w:r>
      <w:proofErr w:type="spellEnd"/>
      <w:r>
        <w:t>, apartado 1.</w:t>
      </w:r>
    </w:p>
    <w:p w14:paraId="1897B8C2" w14:textId="77777777" w:rsidR="008443A6" w:rsidRPr="00701B1F" w:rsidRDefault="008443A6" w:rsidP="00701B1F">
      <w:pPr>
        <w:pStyle w:val="ZARTzmartartykuempunktem"/>
      </w:pPr>
      <w:r>
        <w:t>Artículo 12 </w:t>
      </w:r>
      <w:proofErr w:type="spellStart"/>
      <w:r>
        <w:rPr>
          <w:i/>
          <w:iCs/>
        </w:rPr>
        <w:t>septies</w:t>
      </w:r>
      <w:proofErr w:type="spellEnd"/>
      <w:r>
        <w:t xml:space="preserve">. 1. El importe de la tasa se compone de las partes siguientes: </w:t>
      </w:r>
    </w:p>
    <w:p w14:paraId="0F97A0A7" w14:textId="77777777" w:rsidR="008443A6" w:rsidRPr="00701B1F" w:rsidRDefault="008443A6" w:rsidP="00701B1F">
      <w:pPr>
        <w:pStyle w:val="ZPKTzmpktartykuempunktem"/>
      </w:pPr>
      <w:r>
        <w:t>1)</w:t>
      </w:r>
      <w:r>
        <w:tab/>
        <w:t>0,50 PLN por el contenido de azúcares en una cantidad igual o inferior a 5 g en 100 ml de la bebida, o bien por el contenido en cualquier cantidad de al menos uno de los edulcorantes mencionados en el Reglamento n</w:t>
      </w:r>
      <w:proofErr w:type="gramStart"/>
      <w:r>
        <w:t>.º</w:t>
      </w:r>
      <w:proofErr w:type="gramEnd"/>
      <w:r>
        <w:t> 1333/2008; y</w:t>
      </w:r>
    </w:p>
    <w:p w14:paraId="46FAE6A8" w14:textId="77777777" w:rsidR="008443A6" w:rsidRPr="00701B1F" w:rsidRDefault="008443A6" w:rsidP="00701B1F">
      <w:pPr>
        <w:pStyle w:val="ZPKTzmpktartykuempunktem"/>
      </w:pPr>
      <w:r>
        <w:t>2)</w:t>
      </w:r>
      <w:r>
        <w:tab/>
        <w:t>0,05 PLN por cada gramo de azúcares por encima de 5 g en 100 ml de la bebida;</w:t>
      </w:r>
    </w:p>
    <w:p w14:paraId="226F9985" w14:textId="77777777" w:rsidR="008443A6" w:rsidRPr="00701B1F" w:rsidRDefault="008443A6" w:rsidP="00701B1F">
      <w:pPr>
        <w:pStyle w:val="ZCZWSPPKTzmczciwsppktartykuempunktem"/>
      </w:pPr>
      <w:r>
        <w:t>– por cada litro de la bebida.</w:t>
      </w:r>
    </w:p>
    <w:p w14:paraId="2E6138AB" w14:textId="77777777" w:rsidR="008443A6" w:rsidRPr="00701B1F" w:rsidRDefault="008443A6" w:rsidP="00701B1F">
      <w:pPr>
        <w:pStyle w:val="ZUSTzmustartykuempunktem"/>
      </w:pPr>
      <w:r>
        <w:lastRenderedPageBreak/>
        <w:t>2. El importe de la tasa de las bebidas con un contenido superior a 5 g de azúcares en 100 ml de bebida representará la suma de las partes mencionadas en el apartado 1, puntos 1 y 2, excepto el apartado 7.</w:t>
      </w:r>
    </w:p>
    <w:p w14:paraId="62C7B82F" w14:textId="77777777" w:rsidR="008443A6" w:rsidRPr="00701B1F" w:rsidRDefault="008443A6" w:rsidP="00701B1F">
      <w:pPr>
        <w:pStyle w:val="ZUSTzmustartykuempunktem"/>
      </w:pPr>
      <w:r>
        <w:t>3. Las bebidas con cafeína o taurina añadida están sujetas a una tasa de 0,10 PLN por litro de bebida.</w:t>
      </w:r>
    </w:p>
    <w:p w14:paraId="22F1C887" w14:textId="77777777" w:rsidR="008443A6" w:rsidRPr="00701B1F" w:rsidRDefault="008443A6" w:rsidP="00701B1F">
      <w:pPr>
        <w:pStyle w:val="ZUSTzmustartykuempunktem"/>
      </w:pPr>
      <w:r>
        <w:t>4. El importe de la tasa de las bebidas con contenido de las sustancias mencionadas en el apartado 1, puntos 1 o 2, así como de cafeína o taurina, representará, respectivamente, la suma de las partes mencionadas en el apartado 1, puntos 1 o 2, y de la tasa mencionada en el apartado 3.</w:t>
      </w:r>
    </w:p>
    <w:p w14:paraId="30A6BAA3" w14:textId="77777777" w:rsidR="008443A6" w:rsidRPr="00701B1F" w:rsidRDefault="008443A6" w:rsidP="00701B1F">
      <w:pPr>
        <w:pStyle w:val="ZUSTzmustartykuempunktem"/>
      </w:pPr>
      <w:r>
        <w:t>5. Para calcular la tasa el contenido de azúcares en 100 ml de bebida se redondeará al gramo entero superior más próximo.</w:t>
      </w:r>
    </w:p>
    <w:p w14:paraId="0752BFA8" w14:textId="77777777" w:rsidR="008443A6" w:rsidRPr="00701B1F" w:rsidRDefault="008443A6" w:rsidP="00701B1F">
      <w:pPr>
        <w:pStyle w:val="ZUSTzmustartykuempunktem"/>
      </w:pPr>
      <w:r>
        <w:t>6. El importe máximo de la tasa será de 1,2 PLN por 1 litro de bebida.</w:t>
      </w:r>
    </w:p>
    <w:p w14:paraId="0C8F4B9A" w14:textId="77777777" w:rsidR="008443A6" w:rsidRPr="00701B1F" w:rsidRDefault="008443A6" w:rsidP="00701B1F">
      <w:pPr>
        <w:pStyle w:val="ZUSTzmustartykuempunktem"/>
      </w:pPr>
      <w:r>
        <w:t xml:space="preserve">7. Las bebidas: </w:t>
      </w:r>
    </w:p>
    <w:p w14:paraId="705415EE" w14:textId="77777777" w:rsidR="008443A6" w:rsidRPr="00701B1F" w:rsidRDefault="00AE0E60" w:rsidP="00701B1F">
      <w:pPr>
        <w:pStyle w:val="ZPKTzmpktartykuempunktem"/>
      </w:pPr>
      <w:r>
        <w:t>1)</w:t>
      </w:r>
      <w:r>
        <w:tab/>
        <w:t>cuya fracción de masa del zumo de fruta, verdura o fruta y verdura sea de como mínimo un 20 % de la composición; y</w:t>
      </w:r>
    </w:p>
    <w:p w14:paraId="64DA3422" w14:textId="77777777" w:rsidR="008443A6" w:rsidRPr="00701B1F" w:rsidRDefault="008443A6" w:rsidP="00701B1F">
      <w:pPr>
        <w:pStyle w:val="ZPKTzmpktartykuempunktem"/>
      </w:pPr>
      <w:r>
        <w:t>2)</w:t>
      </w:r>
      <w:r>
        <w:tab/>
        <w:t>que sean soluciones electrolíticas a base de hidratos de carbono mencionadas en el Reglamento n</w:t>
      </w:r>
      <w:proofErr w:type="gramStart"/>
      <w:r>
        <w:t>.º</w:t>
      </w:r>
      <w:proofErr w:type="gramEnd"/>
      <w:r>
        <w:t> 432/2012;</w:t>
      </w:r>
    </w:p>
    <w:p w14:paraId="220EF31D" w14:textId="77777777" w:rsidR="008443A6" w:rsidRPr="00701B1F" w:rsidRDefault="008443A6" w:rsidP="00701B1F">
      <w:pPr>
        <w:pStyle w:val="ZCZWSPPKTzmczciwsppktartykuempunktem"/>
      </w:pPr>
      <w:r>
        <w:t xml:space="preserve">– con un contenido superior a 5 g de azúcares en 100 ml de bebida estarán sujetas únicamente a la parte de la tasa mencionada en el apartado 1, punto 2. </w:t>
      </w:r>
    </w:p>
    <w:p w14:paraId="3291758E" w14:textId="77777777" w:rsidR="008443A6" w:rsidRPr="00701B1F" w:rsidRDefault="008443A6" w:rsidP="00701B1F">
      <w:pPr>
        <w:pStyle w:val="ZARTzmartartykuempunktem"/>
      </w:pPr>
      <w:r>
        <w:t>Artículo 12 </w:t>
      </w:r>
      <w:proofErr w:type="spellStart"/>
      <w:r>
        <w:rPr>
          <w:i/>
          <w:iCs/>
        </w:rPr>
        <w:t>octies</w:t>
      </w:r>
      <w:proofErr w:type="spellEnd"/>
      <w:r>
        <w:t>. 1. Las entidades obligadas al pago de la tasa, mencionadas en el artículo 12 </w:t>
      </w:r>
      <w:proofErr w:type="spellStart"/>
      <w:r>
        <w:rPr>
          <w:i/>
          <w:iCs/>
        </w:rPr>
        <w:t>quinquies</w:t>
      </w:r>
      <w:proofErr w:type="spellEnd"/>
      <w:r>
        <w:t>, apartado 1, tendrán la obligación de:</w:t>
      </w:r>
    </w:p>
    <w:p w14:paraId="11579025" w14:textId="77777777" w:rsidR="008443A6" w:rsidRPr="00701B1F" w:rsidRDefault="008443A6" w:rsidP="00701B1F">
      <w:pPr>
        <w:pStyle w:val="ZPKTzmpktartykuempunktem"/>
      </w:pPr>
      <w:r>
        <w:t>1)</w:t>
      </w:r>
      <w:r>
        <w:tab/>
        <w:t xml:space="preserve">presentar de forma electrónica la información firmada mediante firma cualificada, de acuerdo con el modelo mencionado en el apartado 3, en el órgano competente en el ámbito de la tasa, a través del sistema informático del Ministro de Finanzas Públicas competente; </w:t>
      </w:r>
    </w:p>
    <w:p w14:paraId="6741A0D3" w14:textId="77777777" w:rsidR="008443A6" w:rsidRPr="00701B1F" w:rsidRDefault="00AE0E60" w:rsidP="00701B1F">
      <w:pPr>
        <w:pStyle w:val="ZPKTzmpktartykuempunktem"/>
      </w:pPr>
      <w:r>
        <w:t>2)</w:t>
      </w:r>
      <w:r>
        <w:tab/>
        <w:t xml:space="preserve">calcular e ingresar la tasa </w:t>
      </w:r>
    </w:p>
    <w:p w14:paraId="5BC3A022" w14:textId="77777777" w:rsidR="008443A6" w:rsidRPr="00701B1F" w:rsidRDefault="008443A6" w:rsidP="00701B1F">
      <w:pPr>
        <w:pStyle w:val="ZCZWSPPKTzmczciwsppktartykuempunktem"/>
      </w:pPr>
      <w:r>
        <w:t>– a más tardar, el día 25 del mes siguiente al que se refiere la información, en la cuenta del órgano competente en el ámbito de la tasa.</w:t>
      </w:r>
    </w:p>
    <w:p w14:paraId="7AE31E40" w14:textId="77777777" w:rsidR="008443A6" w:rsidRPr="00F90E8C" w:rsidRDefault="008443A6" w:rsidP="00701B1F">
      <w:pPr>
        <w:pStyle w:val="ZUSTzmustartykuempunktem"/>
        <w:rPr>
          <w:spacing w:val="-4"/>
        </w:rPr>
      </w:pPr>
      <w:r w:rsidRPr="00F90E8C">
        <w:rPr>
          <w:spacing w:val="-4"/>
        </w:rPr>
        <w:t>2. La información mencionada en el apartado 1, punto 1, incluirá los datos siguientes:</w:t>
      </w:r>
    </w:p>
    <w:p w14:paraId="760C7EA6" w14:textId="77777777" w:rsidR="008443A6" w:rsidRPr="00701B1F" w:rsidRDefault="008443A6" w:rsidP="00701B1F">
      <w:pPr>
        <w:pStyle w:val="ZPKTzmpktartykuempunktem"/>
      </w:pPr>
      <w:r>
        <w:t>1)</w:t>
      </w:r>
      <w:r>
        <w:tab/>
        <w:t xml:space="preserve">el período al que corresponde; </w:t>
      </w:r>
    </w:p>
    <w:p w14:paraId="58639AD1" w14:textId="77777777" w:rsidR="008443A6" w:rsidRPr="00701B1F" w:rsidRDefault="008443A6" w:rsidP="00701B1F">
      <w:pPr>
        <w:pStyle w:val="ZPKTzmpktartykuempunktem"/>
      </w:pPr>
      <w:r>
        <w:t>2)</w:t>
      </w:r>
      <w:r>
        <w:tab/>
        <w:t>el lugar de presentación de la información: el nombre de la administración tributaria competente;</w:t>
      </w:r>
    </w:p>
    <w:p w14:paraId="00372F27" w14:textId="77777777" w:rsidR="008443A6" w:rsidRPr="00701B1F" w:rsidRDefault="008443A6" w:rsidP="00701B1F">
      <w:pPr>
        <w:pStyle w:val="ZPKTzmpktartykuempunktem"/>
      </w:pPr>
      <w:r>
        <w:t>3)</w:t>
      </w:r>
      <w:r>
        <w:tab/>
        <w:t>el objetivo de presentación de la información:</w:t>
      </w:r>
    </w:p>
    <w:p w14:paraId="60189BDF" w14:textId="77777777" w:rsidR="008443A6" w:rsidRPr="00701B1F" w:rsidRDefault="008443A6" w:rsidP="00701B1F">
      <w:pPr>
        <w:pStyle w:val="ZLITwPKTzmlitwpktartykuempunktem"/>
      </w:pPr>
      <w:r>
        <w:lastRenderedPageBreak/>
        <w:t>a)</w:t>
      </w:r>
      <w:r>
        <w:tab/>
        <w:t>presentación de la información;</w:t>
      </w:r>
    </w:p>
    <w:p w14:paraId="2B209667" w14:textId="77777777" w:rsidR="008443A6" w:rsidRPr="00701B1F" w:rsidRDefault="00AE0E60" w:rsidP="00701B1F">
      <w:pPr>
        <w:pStyle w:val="ZLITwPKTzmlitwpktartykuempunktem"/>
      </w:pPr>
      <w:r>
        <w:t>b)</w:t>
      </w:r>
      <w:r>
        <w:tab/>
        <w:t>corrección de la información;</w:t>
      </w:r>
    </w:p>
    <w:p w14:paraId="1C36ADDC" w14:textId="77777777" w:rsidR="008443A6" w:rsidRPr="00701B1F" w:rsidRDefault="008443A6" w:rsidP="00701B1F">
      <w:pPr>
        <w:pStyle w:val="ZPKTzmpktartykuempunktem"/>
      </w:pPr>
      <w:r>
        <w:t>4)</w:t>
      </w:r>
      <w:r>
        <w:tab/>
        <w:t>los datos de la entidad obligada al pago de la tasa:</w:t>
      </w:r>
    </w:p>
    <w:p w14:paraId="78B88C7D" w14:textId="77777777" w:rsidR="008443A6" w:rsidRPr="00701B1F" w:rsidRDefault="008443A6" w:rsidP="00701B1F">
      <w:pPr>
        <w:pStyle w:val="ZLITwPKTzmlitwpktartykuempunktem"/>
      </w:pPr>
      <w:r>
        <w:t>a)</w:t>
      </w:r>
      <w:r>
        <w:tab/>
        <w:t>la razón social (empresa) o el nombre y apellido;</w:t>
      </w:r>
    </w:p>
    <w:p w14:paraId="5AF280C2" w14:textId="77777777" w:rsidR="008443A6" w:rsidRPr="00701B1F" w:rsidRDefault="008443A6" w:rsidP="00701B1F">
      <w:pPr>
        <w:pStyle w:val="ZLITwPKTzmlitwpktartykuempunktem"/>
      </w:pPr>
      <w:r>
        <w:t>b)</w:t>
      </w:r>
      <w:r>
        <w:tab/>
        <w:t>NIF;</w:t>
      </w:r>
    </w:p>
    <w:p w14:paraId="24427B4E" w14:textId="77777777" w:rsidR="008443A6" w:rsidRPr="00701B1F" w:rsidRDefault="008443A6" w:rsidP="00701B1F">
      <w:pPr>
        <w:pStyle w:val="ZLITwPKTzmlitwpktartykuempunktem"/>
      </w:pPr>
      <w:r>
        <w:t>c)</w:t>
      </w:r>
      <w:r>
        <w:tab/>
        <w:t>el nombre y apellido, el número de teléfono o la dirección de correo electrónico de la persona indicada para el contacto;</w:t>
      </w:r>
    </w:p>
    <w:p w14:paraId="2581173C" w14:textId="77777777" w:rsidR="008443A6" w:rsidRPr="00701B1F" w:rsidRDefault="008443A6" w:rsidP="00701B1F">
      <w:pPr>
        <w:pStyle w:val="ZUSTzmustartykuempunktem"/>
      </w:pPr>
      <w:r>
        <w:t>5)</w:t>
      </w:r>
      <w:r>
        <w:tab/>
        <w:t>el importe de la tasa fijado de acuerdo con el apartado 12 </w:t>
      </w:r>
      <w:proofErr w:type="spellStart"/>
      <w:r>
        <w:rPr>
          <w:i/>
          <w:iCs/>
        </w:rPr>
        <w:t>septies</w:t>
      </w:r>
      <w:proofErr w:type="spellEnd"/>
      <w:r>
        <w:t>;</w:t>
      </w:r>
    </w:p>
    <w:p w14:paraId="64651F9A" w14:textId="77777777" w:rsidR="008443A6" w:rsidRPr="00701B1F" w:rsidRDefault="008443A6" w:rsidP="00701B1F">
      <w:pPr>
        <w:pStyle w:val="ZUSTzmustartykuempunktem"/>
      </w:pPr>
      <w:r>
        <w:t>6)</w:t>
      </w:r>
      <w:r>
        <w:tab/>
        <w:t>el importe de la tasa que debe pagarse;</w:t>
      </w:r>
    </w:p>
    <w:p w14:paraId="167A49BD" w14:textId="77777777" w:rsidR="008443A6" w:rsidRPr="00701B1F" w:rsidRDefault="008443A6" w:rsidP="00701B1F">
      <w:pPr>
        <w:pStyle w:val="ZUSTzmustartykuempunktem"/>
      </w:pPr>
      <w:r>
        <w:t>7)</w:t>
      </w:r>
      <w:r>
        <w:tab/>
        <w:t>la información de la tasa:</w:t>
      </w:r>
    </w:p>
    <w:p w14:paraId="6C6B95A0" w14:textId="77777777" w:rsidR="008443A6" w:rsidRPr="00701B1F" w:rsidRDefault="008443A6" w:rsidP="00701B1F">
      <w:pPr>
        <w:pStyle w:val="ZLITwPKTzmlitwpktartykuempunktem"/>
      </w:pPr>
      <w:r>
        <w:t>a)</w:t>
      </w:r>
      <w:r>
        <w:tab/>
        <w:t>el importe total de la tasa;</w:t>
      </w:r>
    </w:p>
    <w:p w14:paraId="7657FD47" w14:textId="77777777" w:rsidR="008443A6" w:rsidRPr="00701B1F" w:rsidRDefault="00407243" w:rsidP="00701B1F">
      <w:pPr>
        <w:pStyle w:val="ZLITwPKTzmlitwpktartykuempunktem"/>
      </w:pPr>
      <w:r>
        <w:t>b)</w:t>
      </w:r>
      <w:r>
        <w:tab/>
        <w:t>el importe de la tasa de cada una de las bebidas indicadas en el artículo 12 </w:t>
      </w:r>
      <w:proofErr w:type="spellStart"/>
      <w:r>
        <w:rPr>
          <w:i/>
          <w:iCs/>
        </w:rPr>
        <w:t>septies</w:t>
      </w:r>
      <w:proofErr w:type="spellEnd"/>
      <w:r>
        <w:t>, apartados 1 y 3;</w:t>
      </w:r>
    </w:p>
    <w:p w14:paraId="289C8B33" w14:textId="77777777" w:rsidR="008443A6" w:rsidRPr="00701B1F" w:rsidRDefault="00407243" w:rsidP="00701B1F">
      <w:pPr>
        <w:pStyle w:val="ZLITwPKTzmlitwpktartykuempunktem"/>
      </w:pPr>
      <w:r>
        <w:t>c)</w:t>
      </w:r>
      <w:r>
        <w:tab/>
        <w:t xml:space="preserve">la cantidad de litros de las bebidas mencionadas en el artículo 12 </w:t>
      </w:r>
      <w:r>
        <w:rPr>
          <w:i/>
          <w:iCs/>
        </w:rPr>
        <w:t>bis</w:t>
      </w:r>
      <w:r>
        <w:t>, apartado 1, vendida en un determinado período – desglosada por cada una de las bebidas indicadas en el artículo 12 </w:t>
      </w:r>
      <w:proofErr w:type="spellStart"/>
      <w:r>
        <w:rPr>
          <w:i/>
          <w:iCs/>
        </w:rPr>
        <w:t>septies</w:t>
      </w:r>
      <w:proofErr w:type="spellEnd"/>
      <w:r>
        <w:t xml:space="preserve">, apartados 1 y 3, junto con la información de la cantidad en la composición de cafeína o taurina o edulcorantes mencionados en el artículo 12 </w:t>
      </w:r>
      <w:r>
        <w:rPr>
          <w:i/>
          <w:iCs/>
        </w:rPr>
        <w:t>bis</w:t>
      </w:r>
      <w:r>
        <w:t>, apartado 1, punto 1, así como sobre el contenido de azúcares en 100 ml de bebida;</w:t>
      </w:r>
    </w:p>
    <w:p w14:paraId="1894E77D" w14:textId="77777777" w:rsidR="008443A6" w:rsidRPr="00701B1F" w:rsidRDefault="00407243" w:rsidP="00701B1F">
      <w:pPr>
        <w:pStyle w:val="ZLITwPKTzmlitwpktartykuempunktem"/>
      </w:pPr>
      <w:r>
        <w:t>d)</w:t>
      </w:r>
      <w:r>
        <w:tab/>
        <w:t>los números de las facturas y las fechas de su emisión, el NIF del proveedor o comprador respectivamente, así como los números de lote de la mercancía, si no se incluyen en la factura;</w:t>
      </w:r>
    </w:p>
    <w:p w14:paraId="23817696" w14:textId="77777777" w:rsidR="008443A6" w:rsidRPr="00701B1F" w:rsidRDefault="00407243" w:rsidP="00701B1F">
      <w:pPr>
        <w:pStyle w:val="ZPKTzmpktartykuempunktem"/>
      </w:pPr>
      <w:r>
        <w:t>8)</w:t>
      </w:r>
      <w:r>
        <w:tab/>
        <w:t>la fecha y la firma de la entidad obligada al pago de la tasa o de la persona autorizada por la misma;</w:t>
      </w:r>
    </w:p>
    <w:p w14:paraId="38AF199B" w14:textId="77777777" w:rsidR="008443A6" w:rsidRPr="00701B1F" w:rsidRDefault="008443A6" w:rsidP="00701B1F">
      <w:pPr>
        <w:pStyle w:val="ZPKTzmpktartykuempunktem"/>
      </w:pPr>
      <w:r>
        <w:t>9)</w:t>
      </w:r>
      <w:r>
        <w:tab/>
        <w:t>la instrucción que la información constituye una base para emitir el título ejecutivo, de acuerdo con la Ley de 17 de junio de 1966, sobre el procedimiento administrativo de ejecución forzosa (Boletín Oficial de la República de Polonia de 2019, punto 1438, en su versión modificada</w:t>
      </w:r>
      <w:r w:rsidR="00407243" w:rsidRPr="00701B1F">
        <w:rPr>
          <w:rStyle w:val="FootnoteReference"/>
        </w:rPr>
        <w:footnoteReference w:id="17"/>
      </w:r>
      <w:r>
        <w:rPr>
          <w:rStyle w:val="IGindeksgrny"/>
        </w:rPr>
        <w:t>)</w:t>
      </w:r>
      <w:r>
        <w:t>).</w:t>
      </w:r>
    </w:p>
    <w:p w14:paraId="3076233B" w14:textId="77777777" w:rsidR="008443A6" w:rsidRPr="00701B1F" w:rsidRDefault="008443A6" w:rsidP="00701B1F">
      <w:pPr>
        <w:pStyle w:val="ZUSTzmustartykuempunktem"/>
      </w:pPr>
      <w:r>
        <w:t>3. El Ministro de Finanzas Públicas competente establecerá y publicará en la plataforma electrónica de los servicios de la administración pública el modelo de documento electrónico de la información mencionada en el apartado 1, punto 1.</w:t>
      </w:r>
    </w:p>
    <w:p w14:paraId="3F3252B2" w14:textId="77777777" w:rsidR="008443A6" w:rsidRPr="00701B1F" w:rsidRDefault="008443A6" w:rsidP="00701B1F">
      <w:pPr>
        <w:pStyle w:val="ZARTzmartartykuempunktem"/>
      </w:pPr>
      <w:r>
        <w:lastRenderedPageBreak/>
        <w:t xml:space="preserve">Artículo 12 </w:t>
      </w:r>
      <w:proofErr w:type="spellStart"/>
      <w:r>
        <w:rPr>
          <w:i/>
          <w:iCs/>
        </w:rPr>
        <w:t>nonies</w:t>
      </w:r>
      <w:proofErr w:type="spellEnd"/>
      <w:r>
        <w:t>. 1. El órgano competente en el ámbito de la tasa transferirá el 96,5 % del importe de la tasa cobrada y de la tasa adicional mencionada en el artículo 12 </w:t>
      </w:r>
      <w:proofErr w:type="spellStart"/>
      <w:r>
        <w:rPr>
          <w:i/>
          <w:iCs/>
        </w:rPr>
        <w:t>decies</w:t>
      </w:r>
      <w:proofErr w:type="spellEnd"/>
      <w:r>
        <w:t>, apartado 1, en la cuenta bancaria del Fondo Nacional de la Salud, en el plazo de 30 días a partir de la fecha de entrada de los fondos en la cuenta del órgano competente en el ámbito de la tasa o de la fecha de la transferencia de la tasa en esa cuenta por el órgano ejecutivo.</w:t>
      </w:r>
    </w:p>
    <w:p w14:paraId="089B3C5A" w14:textId="77777777" w:rsidR="008443A6" w:rsidRPr="00701B1F" w:rsidRDefault="008443A6" w:rsidP="00701B1F">
      <w:pPr>
        <w:pStyle w:val="ZUSTzmustartykuempunktem"/>
      </w:pPr>
      <w:r>
        <w:t>2. En caso de pago en exceso de la tasa, el órgano competente en el ámbito de la tasa realizará la devolución del pago en exceso a partir de los fondos debidos al Fondo Nacional de la Salud.</w:t>
      </w:r>
    </w:p>
    <w:p w14:paraId="4666F953" w14:textId="77777777" w:rsidR="008443A6" w:rsidRPr="00F90E8C" w:rsidRDefault="008443A6" w:rsidP="00701B1F">
      <w:pPr>
        <w:pStyle w:val="ZARTzmartartykuempunktem"/>
        <w:rPr>
          <w:spacing w:val="-4"/>
        </w:rPr>
      </w:pPr>
      <w:r w:rsidRPr="00F90E8C">
        <w:rPr>
          <w:spacing w:val="-4"/>
        </w:rPr>
        <w:t xml:space="preserve">Artículo 12 </w:t>
      </w:r>
      <w:proofErr w:type="spellStart"/>
      <w:r w:rsidRPr="00F90E8C">
        <w:rPr>
          <w:i/>
          <w:iCs/>
          <w:spacing w:val="-4"/>
        </w:rPr>
        <w:t>decies</w:t>
      </w:r>
      <w:proofErr w:type="spellEnd"/>
      <w:r w:rsidRPr="00F90E8C">
        <w:rPr>
          <w:spacing w:val="-4"/>
        </w:rPr>
        <w:t>. 1. En el caso de falta de pago de la tasa en el plazo mencionado en el artículo 12 </w:t>
      </w:r>
      <w:proofErr w:type="spellStart"/>
      <w:r w:rsidRPr="00F90E8C">
        <w:rPr>
          <w:i/>
          <w:iCs/>
          <w:spacing w:val="-4"/>
        </w:rPr>
        <w:t>octies</w:t>
      </w:r>
      <w:proofErr w:type="spellEnd"/>
      <w:r w:rsidRPr="00F90E8C">
        <w:rPr>
          <w:spacing w:val="-4"/>
        </w:rPr>
        <w:t>, apartado 1, el órgano competente en el ámbito de la tasa establecerá mediante resolución una tasa adicional equivalente al 50 % del importe de la tasa debida.</w:t>
      </w:r>
    </w:p>
    <w:p w14:paraId="7777BA91" w14:textId="77777777" w:rsidR="008443A6" w:rsidRPr="00701B1F" w:rsidRDefault="008443A6" w:rsidP="00701B1F">
      <w:pPr>
        <w:pStyle w:val="ZUSTzmustartykuempunktem"/>
      </w:pPr>
      <w:r>
        <w:t>2. La tasa adicional se ingresará en la cuenta del órgano competente en el ámbito de la tasa.</w:t>
      </w:r>
    </w:p>
    <w:p w14:paraId="473D4F93" w14:textId="77777777" w:rsidR="008443A6" w:rsidRPr="00701B1F" w:rsidRDefault="008443A6" w:rsidP="00701B1F">
      <w:pPr>
        <w:pStyle w:val="ZUSTzmustartykuempunktem"/>
      </w:pPr>
      <w:r>
        <w:t>3. A la tasa adicional lo dispuesto en el artículo 12 </w:t>
      </w:r>
      <w:proofErr w:type="spellStart"/>
      <w:r>
        <w:rPr>
          <w:i/>
          <w:iCs/>
        </w:rPr>
        <w:t>quater</w:t>
      </w:r>
      <w:proofErr w:type="spellEnd"/>
      <w:r>
        <w:t xml:space="preserve"> y en el artículo 12 </w:t>
      </w:r>
      <w:proofErr w:type="spellStart"/>
      <w:r>
        <w:rPr>
          <w:i/>
          <w:iCs/>
        </w:rPr>
        <w:t>nonies</w:t>
      </w:r>
      <w:proofErr w:type="spellEnd"/>
      <w:r>
        <w:t xml:space="preserve">, apartado 2, se aplicará </w:t>
      </w:r>
      <w:r>
        <w:rPr>
          <w:i/>
          <w:iCs/>
        </w:rPr>
        <w:t>mutatis mutandis</w:t>
      </w:r>
      <w:r>
        <w:t>.</w:t>
      </w:r>
    </w:p>
    <w:p w14:paraId="1622A0D5" w14:textId="77777777" w:rsidR="008443A6" w:rsidRPr="00701B1F" w:rsidRDefault="008443A6" w:rsidP="00701B1F">
      <w:pPr>
        <w:pStyle w:val="ZARTzmartartykuempunktem"/>
      </w:pPr>
      <w:r>
        <w:t xml:space="preserve">Artículo 12 </w:t>
      </w:r>
      <w:proofErr w:type="spellStart"/>
      <w:r>
        <w:rPr>
          <w:i/>
          <w:iCs/>
        </w:rPr>
        <w:t>undecies</w:t>
      </w:r>
      <w:proofErr w:type="spellEnd"/>
      <w:r>
        <w:t>. A la tasa y a la tasa adicional mencionada en el artículo 12 </w:t>
      </w:r>
      <w:proofErr w:type="spellStart"/>
      <w:r>
        <w:rPr>
          <w:i/>
          <w:iCs/>
        </w:rPr>
        <w:t>decies</w:t>
      </w:r>
      <w:proofErr w:type="spellEnd"/>
      <w:r>
        <w:t xml:space="preserve">, apartado 1, se aplicará </w:t>
      </w:r>
      <w:r>
        <w:rPr>
          <w:i/>
          <w:iCs/>
        </w:rPr>
        <w:t>mutatis mutandis</w:t>
      </w:r>
      <w:r>
        <w:t>, lo dispuesto en la Ley General Tributaria, de 29 de agosto de 1997 (Boletín Oficial de la República de Polonia de 2019, punto 900, en su versión modificada</w:t>
      </w:r>
      <w:r w:rsidR="00407243" w:rsidRPr="00701B1F">
        <w:rPr>
          <w:rStyle w:val="FootnoteReference"/>
        </w:rPr>
        <w:footnoteReference w:id="18"/>
      </w:r>
      <w:r>
        <w:rPr>
          <w:rStyle w:val="IGindeksgrny"/>
        </w:rPr>
        <w:t>)</w:t>
      </w:r>
      <w:r>
        <w:t>).</w:t>
      </w:r>
    </w:p>
    <w:p w14:paraId="4980CA78" w14:textId="77777777" w:rsidR="008443A6" w:rsidRPr="00701B1F" w:rsidRDefault="008443A6" w:rsidP="00701B1F">
      <w:pPr>
        <w:pStyle w:val="ZARTzmartartykuempunktem"/>
      </w:pPr>
      <w:r>
        <w:t xml:space="preserve">Artículo 12 </w:t>
      </w:r>
      <w:proofErr w:type="spellStart"/>
      <w:r>
        <w:rPr>
          <w:i/>
          <w:iCs/>
        </w:rPr>
        <w:t>duodecies</w:t>
      </w:r>
      <w:proofErr w:type="spellEnd"/>
      <w:r>
        <w:t>. El Presidente del Fondo Nacional de la Salud presentará al Ministro de Sanidad competente la información relativa al método de utilización de los fondos mencionados en el artículo 12 </w:t>
      </w:r>
      <w:proofErr w:type="spellStart"/>
      <w:r>
        <w:rPr>
          <w:i/>
          <w:iCs/>
        </w:rPr>
        <w:t>quater</w:t>
      </w:r>
      <w:proofErr w:type="spellEnd"/>
      <w:r>
        <w:t>, apartado 1, punto 1, a más tardar, el 15 de abril del año natural anterior.»;</w:t>
      </w:r>
    </w:p>
    <w:p w14:paraId="6CE4352F" w14:textId="77777777" w:rsidR="008443A6" w:rsidRPr="00701B1F" w:rsidRDefault="00407243" w:rsidP="00701B1F">
      <w:pPr>
        <w:pStyle w:val="PKTpunkt"/>
      </w:pPr>
      <w:r>
        <w:t>3)</w:t>
      </w:r>
      <w:r>
        <w:tab/>
        <w:t>en el artículo 29, apartado 2, los puntos 5 a 10, se reformulan como sigue:</w:t>
      </w:r>
    </w:p>
    <w:p w14:paraId="09D932E1" w14:textId="77777777" w:rsidR="008443A6" w:rsidRPr="00701B1F" w:rsidRDefault="008443A6" w:rsidP="00701B1F">
      <w:pPr>
        <w:pStyle w:val="ZPKTzmpktartykuempunktem"/>
      </w:pPr>
      <w:r>
        <w:t>5)</w:t>
      </w:r>
      <w:r>
        <w:tab/>
        <w:t>2020: a 147,75 millones de PLN;</w:t>
      </w:r>
    </w:p>
    <w:p w14:paraId="6C819D4E" w14:textId="77777777" w:rsidR="008443A6" w:rsidRPr="00701B1F" w:rsidRDefault="00407243" w:rsidP="00701B1F">
      <w:pPr>
        <w:pStyle w:val="ZPKTzmpktartykuempunktem"/>
      </w:pPr>
      <w:r>
        <w:t>6)</w:t>
      </w:r>
      <w:r>
        <w:tab/>
        <w:t>2021: a 177 millones de PLN;</w:t>
      </w:r>
    </w:p>
    <w:p w14:paraId="437CA2AF" w14:textId="77777777" w:rsidR="008443A6" w:rsidRPr="00701B1F" w:rsidRDefault="00407243" w:rsidP="00701B1F">
      <w:pPr>
        <w:pStyle w:val="ZPKTzmpktartykuempunktem"/>
      </w:pPr>
      <w:r>
        <w:t>7)</w:t>
      </w:r>
      <w:r>
        <w:tab/>
        <w:t>2022: a 177 millones de PLN;</w:t>
      </w:r>
    </w:p>
    <w:p w14:paraId="1F79FC67" w14:textId="77777777" w:rsidR="008443A6" w:rsidRPr="00701B1F" w:rsidRDefault="008443A6" w:rsidP="00701B1F">
      <w:pPr>
        <w:pStyle w:val="ZPKTzmpktartykuempunktem"/>
      </w:pPr>
      <w:r>
        <w:t>8)</w:t>
      </w:r>
      <w:r>
        <w:tab/>
        <w:t>2023: a 177 millones de PLN;</w:t>
      </w:r>
    </w:p>
    <w:p w14:paraId="25D4B351" w14:textId="77777777" w:rsidR="008443A6" w:rsidRPr="00701B1F" w:rsidRDefault="00407243" w:rsidP="00701B1F">
      <w:pPr>
        <w:pStyle w:val="ZPKTzmpktartykuempunktem"/>
      </w:pPr>
      <w:r>
        <w:t>9)</w:t>
      </w:r>
      <w:r>
        <w:tab/>
        <w:t>2024: a 177 millones de PLN;</w:t>
      </w:r>
    </w:p>
    <w:p w14:paraId="6BEFF13B" w14:textId="77777777" w:rsidR="008443A6" w:rsidRPr="00701B1F" w:rsidRDefault="008443A6" w:rsidP="00701B1F">
      <w:pPr>
        <w:pStyle w:val="ZPKTzmpktartykuempunktem"/>
      </w:pPr>
      <w:r>
        <w:t>10)</w:t>
      </w:r>
      <w:r>
        <w:tab/>
        <w:t xml:space="preserve">2025: </w:t>
      </w:r>
      <w:proofErr w:type="gramStart"/>
      <w:r>
        <w:t>a</w:t>
      </w:r>
      <w:proofErr w:type="gramEnd"/>
      <w:r>
        <w:t xml:space="preserve"> 177 millones de PLN.».</w:t>
      </w:r>
    </w:p>
    <w:p w14:paraId="6F065739" w14:textId="4FE63328" w:rsidR="008443A6" w:rsidRPr="00701B1F" w:rsidRDefault="008443A6" w:rsidP="00D35C9B">
      <w:pPr>
        <w:pStyle w:val="ARTartustawynprozporzdzenia"/>
        <w:keepNext/>
        <w:keepLines/>
      </w:pPr>
      <w:r>
        <w:rPr>
          <w:rStyle w:val="Ppogrubienie"/>
        </w:rPr>
        <w:lastRenderedPageBreak/>
        <w:t>Artículo 8.</w:t>
      </w:r>
      <w:r>
        <w:t xml:space="preserve"> En la Ley, de 11 de septiembre de 2019, sobre contratación pública</w:t>
      </w:r>
      <w:r w:rsidR="00690A09">
        <w:t xml:space="preserve"> </w:t>
      </w:r>
      <w:r>
        <w:t>(Boletín Oficial de la República de Polonia de 2019), en el artículo 21, apartado 1, punto 5, después de la palabra «sociales» se añaden las palabras «y de enfermedad».</w:t>
      </w:r>
    </w:p>
    <w:p w14:paraId="614D0A09" w14:textId="77777777" w:rsidR="008443A6" w:rsidRPr="00701B1F" w:rsidRDefault="008443A6" w:rsidP="00D35C9B">
      <w:pPr>
        <w:pStyle w:val="ARTartustawynprozporzdzenia"/>
        <w:keepNext/>
        <w:keepLines/>
      </w:pPr>
      <w:r>
        <w:rPr>
          <w:rStyle w:val="Ppogrubienie"/>
        </w:rPr>
        <w:t>Artículo 9.</w:t>
      </w:r>
      <w:r>
        <w:t xml:space="preserve"> 1. La tasa, en la parte mencionada en el artículo 9 </w:t>
      </w:r>
      <w:r>
        <w:rPr>
          <w:i/>
          <w:iCs/>
        </w:rPr>
        <w:t>ter</w:t>
      </w:r>
      <w:r>
        <w:t>, apartado 11, de la Ley modificada en el artículo 2, en la versión de la presente Ley se pagará como máximo hasta:</w:t>
      </w:r>
    </w:p>
    <w:p w14:paraId="6386DD80" w14:textId="77777777" w:rsidR="008443A6" w:rsidRPr="00701B1F" w:rsidRDefault="00407243" w:rsidP="00701B1F">
      <w:pPr>
        <w:pStyle w:val="PKTpunkt"/>
      </w:pPr>
      <w:r>
        <w:t>1)</w:t>
      </w:r>
      <w:r>
        <w:tab/>
        <w:t>el 30 de noviembre de 2020, por el período de 1 de abril de 2020 a 31 de octubre de 2020, basándose en la información correspondiente a dicho período, redactada de acuerdo con el modelo indicado en las disposiciones publicadas con base en el apartado 8, punto 1, presentada, a más tardar, el 15 de noviembre de 2020;</w:t>
      </w:r>
    </w:p>
    <w:p w14:paraId="47EC565C" w14:textId="77777777" w:rsidR="008443A6" w:rsidRPr="00701B1F" w:rsidRDefault="00407243" w:rsidP="00701B1F">
      <w:pPr>
        <w:pStyle w:val="PKTpunkt"/>
      </w:pPr>
      <w:r>
        <w:t>2)</w:t>
      </w:r>
      <w:r>
        <w:tab/>
        <w:t>el 31 de julio de 2021, por el período de 1 de noviembre de 2020 a 30 de junio de 2021, basándose en la información correspondiente a dicho período, redactada de acuerdo con el modelo indicado en las disposiciones publicadas con base en el apartado 8, punto 1, presentada, a más tardar, el 15 de julio de 2021.</w:t>
      </w:r>
    </w:p>
    <w:p w14:paraId="50B9DF9D" w14:textId="77777777" w:rsidR="008443A6" w:rsidRPr="00701B1F" w:rsidRDefault="008443A6" w:rsidP="00701B1F">
      <w:pPr>
        <w:pStyle w:val="USTustnpkodeksu"/>
      </w:pPr>
      <w:r>
        <w:t>2. El director de la primera administración tributaria de Bydgoszcz, en el plazo de:</w:t>
      </w:r>
    </w:p>
    <w:p w14:paraId="05C45BDC" w14:textId="77777777" w:rsidR="008443A6" w:rsidRPr="00F90E8C" w:rsidRDefault="00407243" w:rsidP="00701B1F">
      <w:pPr>
        <w:pStyle w:val="PKTpunkt"/>
        <w:rPr>
          <w:spacing w:val="-2"/>
        </w:rPr>
      </w:pPr>
      <w:r w:rsidRPr="00F90E8C">
        <w:rPr>
          <w:spacing w:val="-2"/>
        </w:rPr>
        <w:t>1)</w:t>
      </w:r>
      <w:r w:rsidRPr="00F90E8C">
        <w:rPr>
          <w:spacing w:val="-2"/>
        </w:rPr>
        <w:tab/>
        <w:t>hasta el 15 de diciembre de 2020, en el caso mencionado en el apartado 1, punto 1, realizará el reparto del total de ingresos de la tasa mencionada en el apartado 1, en proporción a los ingresos obtenidos por los municipios en concepto de las tasas mencionadas en el artículo 11 </w:t>
      </w:r>
      <w:r w:rsidRPr="00F90E8C">
        <w:rPr>
          <w:i/>
          <w:iCs/>
          <w:spacing w:val="-2"/>
        </w:rPr>
        <w:t>bis</w:t>
      </w:r>
      <w:r w:rsidRPr="00F90E8C">
        <w:rPr>
          <w:spacing w:val="-2"/>
        </w:rPr>
        <w:t>, de la Ley modificada en el artículo 2, por el segundo y tercer trimestre de 2020, basándose en los datos publicados en el Boletín de Información Pública en la página de la administración del Ministro de Finanzas Públicas competente correspondientes a ese período, así como transferirá los fondos en las cuentas bancarias del Fondo Nacional de la Salud y de las autoridades de los municipios;</w:t>
      </w:r>
    </w:p>
    <w:p w14:paraId="5904C7E2" w14:textId="77777777" w:rsidR="008443A6" w:rsidRPr="00701B1F" w:rsidRDefault="008443A6" w:rsidP="00701B1F">
      <w:pPr>
        <w:pStyle w:val="PKTpunkt"/>
      </w:pPr>
      <w:r>
        <w:t>2)</w:t>
      </w:r>
      <w:r>
        <w:tab/>
        <w:t>hasta el 15 de agosto de 2021, en el caso mencionado en el apartado 1, punto 2, realizará el reparto del total de ingresos de la tasa mencionada en el apartado 1, en proporción a los ingresos obtenidos por los municipios en concepto de las tasas mencionadas en el artículo 11 </w:t>
      </w:r>
      <w:r>
        <w:rPr>
          <w:i/>
          <w:iCs/>
        </w:rPr>
        <w:t>bis</w:t>
      </w:r>
      <w:r>
        <w:t>, de la Ley modificada en el artículo 2, por el primer y segundo trimestre de 2021, basándose en los datos publicados en el Boletín de Información Pública en la página de la administración del Ministro de Finanzas Públicas competente correspondientes a ese período, así como transferirá los fondos en las cuentas bancarias del Fondo Nacional de la Salud y de las autoridades de los municipios.</w:t>
      </w:r>
    </w:p>
    <w:p w14:paraId="27751573" w14:textId="77777777" w:rsidR="008443A6" w:rsidRPr="00701B1F" w:rsidRDefault="008443A6" w:rsidP="00701B1F">
      <w:pPr>
        <w:pStyle w:val="USTustnpkodeksu"/>
      </w:pPr>
      <w:r>
        <w:t>3. La información mencionada en el artículo 9 </w:t>
      </w:r>
      <w:r>
        <w:rPr>
          <w:i/>
          <w:iCs/>
        </w:rPr>
        <w:t>ter</w:t>
      </w:r>
      <w:r>
        <w:t xml:space="preserve">, apartado 15, punto 1, de la Ley modificada en el artículo 2, en la versión de la presente Ley, se presentará en papel, de acuerdo con el modelo indicado en las disposiciones publicadas en base al apartado 8, </w:t>
      </w:r>
      <w:r>
        <w:lastRenderedPageBreak/>
        <w:t>punto 1, hasta el momento de activación de la funcionalidad de manejo de esa información en el sistema informático del Ministro de Finanzas Públicas competente.</w:t>
      </w:r>
    </w:p>
    <w:p w14:paraId="51C4A947" w14:textId="77777777" w:rsidR="008443A6" w:rsidRPr="00701B1F" w:rsidRDefault="008443A6" w:rsidP="00701B1F">
      <w:pPr>
        <w:pStyle w:val="USTustnpkodeksu"/>
      </w:pPr>
      <w:r>
        <w:t>4. La información presentada de acuerdo con el apartado 3, incluirá la información mencionada en el artículo 9 </w:t>
      </w:r>
      <w:r>
        <w:rPr>
          <w:i/>
          <w:iCs/>
        </w:rPr>
        <w:t>ter</w:t>
      </w:r>
      <w:r>
        <w:t>, apartado 16, de la Ley modificada en el artículo 2, en la versión de la presente Ley.</w:t>
      </w:r>
    </w:p>
    <w:p w14:paraId="009EF418" w14:textId="77777777" w:rsidR="008443A6" w:rsidRPr="00701B1F" w:rsidRDefault="008443A6" w:rsidP="00701B1F">
      <w:pPr>
        <w:pStyle w:val="USTustnpkodeksu"/>
      </w:pPr>
      <w:r>
        <w:t>5. La información mencionada en el artículo 12 </w:t>
      </w:r>
      <w:proofErr w:type="spellStart"/>
      <w:r>
        <w:rPr>
          <w:i/>
          <w:iCs/>
        </w:rPr>
        <w:t>octies</w:t>
      </w:r>
      <w:proofErr w:type="spellEnd"/>
      <w:r>
        <w:t>, apartado 1, punto 1, de la Ley modificada en el artículo 7, en la versión de la presente Ley, se presentará en papel, de acuerdo con el modelo indicado en las disposiciones publicadas en base al apartado 8, punto 2, hasta el momento de activación de la funcionalidad de manejo de esa información en el sistema informático del Ministro de Finanzas Públicas competente.</w:t>
      </w:r>
    </w:p>
    <w:p w14:paraId="6D06F463" w14:textId="77777777" w:rsidR="008443A6" w:rsidRPr="00701B1F" w:rsidRDefault="008443A6" w:rsidP="00701B1F">
      <w:pPr>
        <w:pStyle w:val="USTustnpkodeksu"/>
      </w:pPr>
      <w:r>
        <w:t>6. La información presentada de acuerdo con el apartado 5, incluirá la información mencionada en el artículo 12 </w:t>
      </w:r>
      <w:proofErr w:type="spellStart"/>
      <w:r>
        <w:rPr>
          <w:i/>
          <w:iCs/>
        </w:rPr>
        <w:t>octies</w:t>
      </w:r>
      <w:proofErr w:type="spellEnd"/>
      <w:r>
        <w:t>, apartado 2, de la Ley modificada en el artículo 7, en la versión de la presente Ley.</w:t>
      </w:r>
    </w:p>
    <w:p w14:paraId="3EDA7898" w14:textId="77777777" w:rsidR="008443A6" w:rsidRPr="00701B1F" w:rsidRDefault="008443A6" w:rsidP="00701B1F">
      <w:pPr>
        <w:pStyle w:val="USTustnpkodeksu"/>
      </w:pPr>
      <w:r>
        <w:t>7. El Ministro de Finanzas Públicas competente publicará mediante comunicación en el diario oficial de ese ministro, así como en el Boletín de Información Pública en la página de su oficina, en el plazo máximo de 12 meses a partir de la entrada en vigor de esta Ley, la información sobre la activación de la funcionalidad en el sistema informático del Ministro de Finanzas Públicas competente en el ámbito de la información presentada, mencionada en el artículo 9 </w:t>
      </w:r>
      <w:r>
        <w:rPr>
          <w:i/>
          <w:iCs/>
        </w:rPr>
        <w:t>ter</w:t>
      </w:r>
      <w:r>
        <w:t>, apartado 15, punto 1, de la Ley modificada en el artículo 2, en la versión de la presente Ley, así como en el artículo 12 </w:t>
      </w:r>
      <w:proofErr w:type="spellStart"/>
      <w:r>
        <w:t>octies</w:t>
      </w:r>
      <w:proofErr w:type="spellEnd"/>
      <w:r>
        <w:t>, apartado 1, punto 1, de la Ley modificada en el artículo 7, en la versión de la presente Ley.</w:t>
      </w:r>
    </w:p>
    <w:p w14:paraId="5E51438C" w14:textId="77777777" w:rsidR="008443A6" w:rsidRPr="00701B1F" w:rsidRDefault="008443A6" w:rsidP="00701B1F">
      <w:pPr>
        <w:pStyle w:val="USTustnpkodeksu"/>
      </w:pPr>
      <w:r>
        <w:t>8. El Ministro de Finanzas Públicas competente establecerá mediante reglamento los modelos de:</w:t>
      </w:r>
    </w:p>
    <w:p w14:paraId="6E993403" w14:textId="77777777" w:rsidR="008443A6" w:rsidRPr="00701B1F" w:rsidRDefault="008443A6" w:rsidP="00701B1F">
      <w:pPr>
        <w:pStyle w:val="PKTpunkt"/>
      </w:pPr>
      <w:r>
        <w:t>1)</w:t>
      </w:r>
      <w:r>
        <w:tab/>
        <w:t>la información mencionada en el artículo 9 </w:t>
      </w:r>
      <w:r>
        <w:rPr>
          <w:i/>
          <w:iCs/>
        </w:rPr>
        <w:t>ter</w:t>
      </w:r>
      <w:r>
        <w:t>, apartado 15, punto 1, de la Ley modificada en el artículo 2, en la versión de la presente Ley, presentada en papel,</w:t>
      </w:r>
    </w:p>
    <w:p w14:paraId="066D5559" w14:textId="77777777" w:rsidR="008443A6" w:rsidRPr="00701B1F" w:rsidRDefault="008443A6" w:rsidP="00701B1F">
      <w:pPr>
        <w:pStyle w:val="PKTpunkt"/>
      </w:pPr>
      <w:r>
        <w:t>2)</w:t>
      </w:r>
      <w:r>
        <w:tab/>
        <w:t>la información mencionada en el artículo 12 </w:t>
      </w:r>
      <w:proofErr w:type="spellStart"/>
      <w:r>
        <w:rPr>
          <w:i/>
          <w:iCs/>
        </w:rPr>
        <w:t>octies</w:t>
      </w:r>
      <w:proofErr w:type="spellEnd"/>
      <w:r>
        <w:t>, apartado 1, punto 1, de la Ley modificada en el artículo 7, en la versión de la presente Ley, presentada en papel</w:t>
      </w:r>
    </w:p>
    <w:p w14:paraId="2B6FED5B" w14:textId="77777777" w:rsidR="008443A6" w:rsidRPr="00701B1F" w:rsidRDefault="008443A6" w:rsidP="00701B1F">
      <w:pPr>
        <w:pStyle w:val="CZWSPPKTczwsplnapunktw"/>
      </w:pPr>
      <w:r>
        <w:t>– teniendo en cuenta la necesidad de garantizar el cálculo correcto del importe de las tasas a las que hace referencia esa información, una ágil recaudación de las mismas, así como la armonización de la información presentada.</w:t>
      </w:r>
    </w:p>
    <w:p w14:paraId="7FF19478" w14:textId="77777777" w:rsidR="008443A6" w:rsidRPr="00701B1F" w:rsidRDefault="008443A6" w:rsidP="00D35C9B">
      <w:pPr>
        <w:pStyle w:val="ARTartustawynprozporzdzenia"/>
        <w:keepNext/>
        <w:keepLines/>
      </w:pPr>
      <w:r>
        <w:rPr>
          <w:rStyle w:val="Ppogrubienie"/>
        </w:rPr>
        <w:lastRenderedPageBreak/>
        <w:t>Artículo 10.</w:t>
      </w:r>
      <w:r>
        <w:t xml:space="preserve"> 1. Los permisos mencionados en el artículo 9, apartados 1 y 2, de la Ley modificada en el artículo 2, emitidos antes de la entrada en vigor de esta Ley, conservarán su validez durante el período para el que se hayan emitido.</w:t>
      </w:r>
    </w:p>
    <w:p w14:paraId="71D9CCAE" w14:textId="77777777" w:rsidR="008443A6" w:rsidRPr="00701B1F" w:rsidRDefault="008443A6" w:rsidP="00701B1F">
      <w:pPr>
        <w:pStyle w:val="USTustnpkodeksu"/>
      </w:pPr>
      <w:r>
        <w:t xml:space="preserve">2. En los casos iniciados pero no concluidos antes de la fecha de entrada en vigor de esta Ley, relativos a los permisos mencionados en el artículo 9, apartados 1 y 2, de la Ley modificada en el artículo 2, se aplicarán las disposiciones vigentes hasta ahora. </w:t>
      </w:r>
    </w:p>
    <w:p w14:paraId="4B8E309D" w14:textId="77777777" w:rsidR="008443A6" w:rsidRPr="00701B1F" w:rsidRDefault="008443A6" w:rsidP="00701B1F">
      <w:pPr>
        <w:pStyle w:val="USTustnpkodeksu"/>
      </w:pPr>
      <w:r>
        <w:t>3. Lo dispuesto en el artículo 9 </w:t>
      </w:r>
      <w:r>
        <w:rPr>
          <w:i/>
          <w:iCs/>
        </w:rPr>
        <w:t>ter</w:t>
      </w:r>
      <w:r>
        <w:t xml:space="preserve">, apartados 11 a 22, de la Ley modificada en el artículo 2, en la versión de la presente Ley, se aplicará a las entidades que cuenten con el permiso mencionado en el artículo 9, apartados 1 o 2, de la Ley modificada en el artículo 2, al día de la entrada en vigor de esta Ley, así como a las entidades que obtengan ese permiso después de la entrada en vigor de la presente Ley. </w:t>
      </w:r>
    </w:p>
    <w:p w14:paraId="28EBC530" w14:textId="77777777" w:rsidR="008443A6" w:rsidRPr="00701B1F" w:rsidRDefault="008443A6" w:rsidP="00D35C9B">
      <w:pPr>
        <w:pStyle w:val="ARTartustawynprozporzdzenia"/>
        <w:keepNext/>
        <w:keepLines/>
      </w:pPr>
      <w:r>
        <w:rPr>
          <w:rStyle w:val="Ppogrubienie"/>
        </w:rPr>
        <w:t>Artículo 11.</w:t>
      </w:r>
      <w:r>
        <w:t xml:space="preserve"> 1. El Presidente del Fondo Nacional de la Salud preparará el proyecto de modificación del plan financiero del Fondo Nacional de la Salud, el cual tendrá en cuenta las modificaciones resultantes del artículo 116, apartado 1, punto 7 </w:t>
      </w:r>
      <w:proofErr w:type="spellStart"/>
      <w:r>
        <w:rPr>
          <w:i/>
          <w:iCs/>
        </w:rPr>
        <w:t>octies</w:t>
      </w:r>
      <w:proofErr w:type="spellEnd"/>
      <w:r>
        <w:t xml:space="preserve"> y 7 </w:t>
      </w:r>
      <w:proofErr w:type="spellStart"/>
      <w:r>
        <w:rPr>
          <w:i/>
          <w:iCs/>
        </w:rPr>
        <w:t>nonies</w:t>
      </w:r>
      <w:proofErr w:type="spellEnd"/>
      <w:r>
        <w:t xml:space="preserve">, de la Ley modificada en el artículo 5, en la versión de la presente Ley, en el plazo de 45 días a partir de la fecha de entrada en vigor de la presente Ley. </w:t>
      </w:r>
    </w:p>
    <w:p w14:paraId="77F88738" w14:textId="77777777" w:rsidR="008443A6" w:rsidRPr="00701B1F" w:rsidRDefault="008443A6" w:rsidP="00701B1F">
      <w:pPr>
        <w:pStyle w:val="USTustnpkodeksu"/>
      </w:pPr>
      <w:r>
        <w:t>2. El importe de los fondos mencionados en el artículo 117, apartado 1, punto 4 </w:t>
      </w:r>
      <w:r>
        <w:rPr>
          <w:i/>
          <w:iCs/>
        </w:rPr>
        <w:t>ter</w:t>
      </w:r>
      <w:r>
        <w:t>, de la Ley modificada en el artículo 5, en la versión de la presente Ley, es de 87,75 millones de PLN en 2020.</w:t>
      </w:r>
    </w:p>
    <w:p w14:paraId="146865CF" w14:textId="77777777" w:rsidR="008443A6" w:rsidRPr="00701B1F" w:rsidRDefault="008443A6" w:rsidP="00701B1F">
      <w:pPr>
        <w:pStyle w:val="USTustnpkodeksu"/>
      </w:pPr>
      <w:r>
        <w:t>3. Los fon</w:t>
      </w:r>
      <w:bookmarkStart w:id="2" w:name="_GoBack"/>
      <w:bookmarkEnd w:id="2"/>
      <w:r>
        <w:t xml:space="preserve">dos mencionados en el apartado 2, se transferirán como máximo hasta el 31 de julio de 2020. </w:t>
      </w:r>
    </w:p>
    <w:p w14:paraId="0416706C" w14:textId="77777777" w:rsidR="00261A16" w:rsidRPr="00701B1F" w:rsidRDefault="008443A6" w:rsidP="00D35C9B">
      <w:pPr>
        <w:pStyle w:val="ARTartustawynprozporzdzenia"/>
        <w:keepNext/>
        <w:keepLines/>
      </w:pPr>
      <w:r>
        <w:rPr>
          <w:rStyle w:val="Ppogrubienie"/>
        </w:rPr>
        <w:t xml:space="preserve">Artículo 12. </w:t>
      </w:r>
      <w:r>
        <w:t xml:space="preserve">La Ley entrará en vigor el 1 de abril de 2020, excepto el artículo 8, que entrará en vigor el 1 de enero de 2021. </w:t>
      </w:r>
    </w:p>
    <w:sectPr w:rsidR="00261A16" w:rsidRPr="00701B1F"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6C5A3" w14:textId="77777777" w:rsidR="008E4C59" w:rsidRDefault="008E4C59">
      <w:r>
        <w:separator/>
      </w:r>
    </w:p>
  </w:endnote>
  <w:endnote w:type="continuationSeparator" w:id="0">
    <w:p w14:paraId="1006DE0C" w14:textId="77777777" w:rsidR="008E4C59" w:rsidRDefault="008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397E1" w14:textId="77777777" w:rsidR="008E4C59" w:rsidRDefault="008E4C59">
      <w:r>
        <w:separator/>
      </w:r>
    </w:p>
  </w:footnote>
  <w:footnote w:type="continuationSeparator" w:id="0">
    <w:p w14:paraId="4B97A64D" w14:textId="77777777" w:rsidR="008E4C59" w:rsidRDefault="008E4C59">
      <w:r>
        <w:continuationSeparator/>
      </w:r>
    </w:p>
  </w:footnote>
  <w:footnote w:id="1">
    <w:p w14:paraId="627D8AE9" w14:textId="77777777" w:rsidR="00AE0E60" w:rsidRPr="008443A6" w:rsidRDefault="00AE0E60" w:rsidP="008443A6">
      <w:pPr>
        <w:pStyle w:val="ODNONIKtreodnonika"/>
      </w:pPr>
      <w:r>
        <w:rPr>
          <w:rStyle w:val="FootnoteReference"/>
        </w:rPr>
        <w:footnoteRef/>
      </w:r>
      <w:r>
        <w:rPr>
          <w:rStyle w:val="IGindeksgrny"/>
        </w:rPr>
        <w:t>)</w:t>
      </w:r>
      <w:r>
        <w:tab/>
        <w:t>La presente Ley se ha notificado a la Comisión Europea el día …, con el número …, de acuerdo con el artículo 4 del Reglamento del Consejo de Ministros de 23 de diciembre de 2002, relativo al método de funcionamiento del sistema nacional de notificación de normas y actos jurídicos (Boletín Oficial de la República de Polonia, punto 2039, así como de 2004, punto 597), que implementa las disposiciones de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footnote>
  <w:footnote w:id="2">
    <w:p w14:paraId="054701FD" w14:textId="77777777" w:rsidR="00AE0E60" w:rsidRPr="008443A6" w:rsidRDefault="00AE0E60" w:rsidP="008443A6">
      <w:pPr>
        <w:pStyle w:val="ODNONIKtreodnonika"/>
      </w:pPr>
      <w:r>
        <w:rPr>
          <w:rStyle w:val="FootnoteReference"/>
        </w:rPr>
        <w:footnoteRef/>
      </w:r>
      <w:r>
        <w:rPr>
          <w:rStyle w:val="IGindeksgrny"/>
        </w:rPr>
        <w:t>)</w:t>
      </w:r>
      <w:r>
        <w:tab/>
        <w:t>Por la presente Ley se modifican las Leyes siguientes: la Ley, de 17 de junio de 1966, sobre el procedimiento administrativo de ejecución; la Ley, de 26 de octubre de 1982, relativa a la educación en la sobriedad y la prevención del alcoholismo; la Ley, de 26 de julio de 1991, relativa al impuesto sobre la renta de las personas físicas; la Ley, de 15 de febrero de 1992, relativa al impuesto sobre la renta de sociedades; la Ley, de 27 de agosto de 2004, relativa a las prestaciones de asistencia médica financiadas con fondos públicos; la Ley, de 19 de noviembre de 2009, sobre juegos de azar; la Ley, de 11 de septiembre de 2015, sobre la salud pública; y la Ley, de 11 de septiembre de 2019, sobre contratación pública.</w:t>
      </w:r>
    </w:p>
  </w:footnote>
  <w:footnote w:id="3">
    <w:p w14:paraId="1023F0B9" w14:textId="77777777" w:rsidR="00AE0E60" w:rsidRPr="008443A6" w:rsidRDefault="00AE0E60" w:rsidP="008443A6">
      <w:pPr>
        <w:pStyle w:val="ODNONIKtreodnonika"/>
      </w:pPr>
      <w:r>
        <w:rPr>
          <w:rStyle w:val="FootnoteReference"/>
        </w:rPr>
        <w:footnoteRef/>
      </w:r>
      <w:r>
        <w:rPr>
          <w:rStyle w:val="IGindeksgrny"/>
        </w:rPr>
        <w:t>)</w:t>
      </w:r>
      <w:r>
        <w:tab/>
        <w:t>Las modificaciones del texto refundido de la mencionada Ley se publicaron en el Boletín Oficial de la República de Polonia de 2019, puntos 1495, 1501, 1553, 1579, 1655, 1798, 1901 y 2070.</w:t>
      </w:r>
    </w:p>
  </w:footnote>
  <w:footnote w:id="4">
    <w:p w14:paraId="4DD6AA52" w14:textId="77777777" w:rsidR="00AE0E60" w:rsidRPr="008443A6" w:rsidRDefault="00AE0E60" w:rsidP="008443A6">
      <w:pPr>
        <w:pStyle w:val="ODNONIKtreodnonika"/>
      </w:pPr>
      <w:r>
        <w:rPr>
          <w:rStyle w:val="FootnoteReference"/>
        </w:rPr>
        <w:footnoteRef/>
      </w:r>
      <w:r>
        <w:rPr>
          <w:rStyle w:val="IGindeksgrny"/>
        </w:rPr>
        <w:t>)</w:t>
      </w:r>
      <w:r>
        <w:tab/>
        <w:t>Las modificaciones del texto refundido de la mencionada Ley se publicaron en el Boletín Oficial de la República de Polonia de 2019, puntos 1403, 1495, 1501, 1527, 1579, 1680, 1712, 1815, 2087 y 2166.</w:t>
      </w:r>
    </w:p>
  </w:footnote>
  <w:footnote w:id="5">
    <w:p w14:paraId="3F50DFB6" w14:textId="77777777" w:rsidR="00AE0E60" w:rsidRPr="008443A6" w:rsidRDefault="00AE0E60" w:rsidP="008443A6">
      <w:pPr>
        <w:pStyle w:val="ODNONIKtreodnonika"/>
      </w:pPr>
      <w:r>
        <w:rPr>
          <w:rStyle w:val="FootnoteReference"/>
        </w:rPr>
        <w:footnoteRef/>
      </w:r>
      <w:r>
        <w:rPr>
          <w:rStyle w:val="IGindeksgrny"/>
        </w:rPr>
        <w:t>)</w:t>
      </w:r>
      <w:r>
        <w:tab/>
        <w:t>Las modificaciones del texto refundido de la mencionada Ley se publicaron en el Boletín Oficial de la República de Polonia de 2019, puntos 1358, 1394, 1495, 1622, 1649, 1655, 1726, 1751, 1798, 1818, 1834, 1835, 1978, 2020, 2166, 2200 y 2473.</w:t>
      </w:r>
    </w:p>
  </w:footnote>
  <w:footnote w:id="6">
    <w:p w14:paraId="1CA30D61" w14:textId="77777777" w:rsidR="00AE0E60" w:rsidRPr="0009374D" w:rsidRDefault="00AE0E60" w:rsidP="0009374D">
      <w:pPr>
        <w:pStyle w:val="ODNONIKtreodnonika"/>
      </w:pPr>
      <w:r>
        <w:rPr>
          <w:rStyle w:val="FootnoteReference"/>
        </w:rPr>
        <w:footnoteRef/>
      </w:r>
      <w:r>
        <w:rPr>
          <w:rStyle w:val="IGindeksgrny"/>
        </w:rPr>
        <w:t>)</w:t>
      </w:r>
      <w:r>
        <w:tab/>
      </w:r>
      <w:bookmarkStart w:id="0" w:name="_Hlk30761840"/>
      <w:r>
        <w:t>Las modificaciones del Reglamento mencionado se publicaron en el (DO L 69 de 15.3.2016, p. 1, (DO L 87 de 2.4.2016, p. 35, (DO L 101 de 16.4.2016, p. 33, (DO L 111 de 27.4.2016, p. 1, (DO L 121 de 11.5.2016, p. 1, (DO L 222 de 17.8.2016, p. 4, (DO L 101 de 13.4.2017, pp. 164 y 205, (DO L 146 de 9.6.2017, pp. 10 y 13, (DO L 281 de 31.10.2017, p. 34, (DO L 67 de 9.3.2018, p. 24, (DO L 192 de 30.7.2018, pp. 1 y 62, (DO L 204 de 13.8.2018, p. 11, (DO L 60 de 28.2.2019, p. 1, (DO L 96 de 5.4.2019, p. 55, (DO L 98 de 9.4.2019, p. 13, (DO L 108 de 23.4.2019, p. 1, (DO L 129 de 17.5.2019, p. 90, (DO L 138 de 24.5.2019, p. 76, así como en el (DO L 181 de 5.7.2019, p. 2.</w:t>
      </w:r>
      <w:bookmarkEnd w:id="0"/>
    </w:p>
  </w:footnote>
  <w:footnote w:id="7">
    <w:p w14:paraId="364507EC" w14:textId="77777777" w:rsidR="00AE0E60" w:rsidRPr="0009374D" w:rsidRDefault="00AE0E60" w:rsidP="0009374D">
      <w:pPr>
        <w:pStyle w:val="ODNONIKtreodnonika"/>
      </w:pPr>
      <w:r>
        <w:rPr>
          <w:rStyle w:val="FootnoteReference"/>
        </w:rPr>
        <w:footnoteRef/>
      </w:r>
      <w:r>
        <w:rPr>
          <w:rStyle w:val="IGindeksgrny"/>
        </w:rPr>
        <w:t>)</w:t>
      </w:r>
      <w:r>
        <w:tab/>
        <w:t>Las modificaciones del texto refundido de la mencionada Ley se publicaron en el Boletín Oficial de la República de Polonia de 2019, puntos 1495, 1501, 1553, 1579, 1655, 1798, 1901 y 2070.</w:t>
      </w:r>
    </w:p>
  </w:footnote>
  <w:footnote w:id="8">
    <w:p w14:paraId="114DBFBB" w14:textId="77777777" w:rsidR="00AE0E60" w:rsidRPr="00494853" w:rsidRDefault="00AE0E60" w:rsidP="00494853">
      <w:pPr>
        <w:pStyle w:val="ODNONIKtreodnonika"/>
      </w:pPr>
      <w:r>
        <w:rPr>
          <w:rStyle w:val="FootnoteReference"/>
        </w:rPr>
        <w:footnoteRef/>
      </w:r>
      <w:r>
        <w:rPr>
          <w:rStyle w:val="IGindeksgrny"/>
        </w:rPr>
        <w:t>)</w:t>
      </w:r>
      <w:r>
        <w:tab/>
        <w:t>Las modificaciones del texto refundido de la mencionada Ley se publicaron en el Boletín Oficial de la República de Polonia de 2019, puntos 924, 1018, 1495, 1520, 1553, 1556, 1649, 1655, 1667, 1751, 1818, 1978, 2020 y 2200.</w:t>
      </w:r>
    </w:p>
  </w:footnote>
  <w:footnote w:id="9">
    <w:p w14:paraId="6EC117FC" w14:textId="77777777" w:rsidR="00AE0E60" w:rsidRPr="00494853" w:rsidRDefault="00AE0E60" w:rsidP="00494853">
      <w:pPr>
        <w:pStyle w:val="ODNONIKtreodnonika"/>
      </w:pPr>
      <w:r>
        <w:rPr>
          <w:rStyle w:val="FootnoteReference"/>
        </w:rPr>
        <w:footnoteRef/>
      </w:r>
      <w:r>
        <w:rPr>
          <w:rStyle w:val="IGindeksgrny"/>
        </w:rPr>
        <w:t>)</w:t>
      </w:r>
      <w:r>
        <w:tab/>
        <w:t>Las modificaciones del texto refundido de la mencionada Ley se publicaron en el Boletín Oficial de la República de Polonia de 2019, puntos 1358, 1394, 1495, 1622, 1649, 1655, 1726, 1751, 1798, 1818, 1834, 1835, 1978, 2020, 2166, 2200 y 2473.</w:t>
      </w:r>
    </w:p>
  </w:footnote>
  <w:footnote w:id="10">
    <w:p w14:paraId="00C22173" w14:textId="77777777" w:rsidR="00AE0E60" w:rsidRPr="00494853" w:rsidRDefault="00AE0E60" w:rsidP="00494853">
      <w:pPr>
        <w:pStyle w:val="ODNONIKtreodnonika"/>
      </w:pPr>
      <w:r>
        <w:rPr>
          <w:rStyle w:val="FootnoteReference"/>
        </w:rPr>
        <w:footnoteRef/>
      </w:r>
      <w:r>
        <w:rPr>
          <w:rStyle w:val="IGindeksgrny"/>
        </w:rPr>
        <w:t>)</w:t>
      </w:r>
      <w:r>
        <w:tab/>
        <w:t>Las modificaciones del texto refundido de la mencionada Ley se publicaron en el Boletín Oficial de la República de Polonia de 2019, puntos 1018, 1309, 1358, 1495, 1571, 1572, 1649, 1655, 1751, 1798, 1978, 2020, 2200, 2217 y 2473.</w:t>
      </w:r>
    </w:p>
  </w:footnote>
  <w:footnote w:id="11">
    <w:p w14:paraId="3289F8D8" w14:textId="77777777" w:rsidR="00AE0E60" w:rsidRPr="00AE0E60" w:rsidRDefault="00AE0E60" w:rsidP="00AE0E60">
      <w:pPr>
        <w:pStyle w:val="ODNONIKtreodnonika"/>
      </w:pPr>
      <w:r>
        <w:rPr>
          <w:rStyle w:val="FootnoteReference"/>
        </w:rPr>
        <w:footnoteRef/>
      </w:r>
      <w:r>
        <w:rPr>
          <w:rStyle w:val="IGindeksgrny"/>
        </w:rPr>
        <w:t>)</w:t>
      </w:r>
      <w:r>
        <w:tab/>
        <w:t>Las modificaciones del texto refundido de la mencionada Ley se publicaron en el Boletín Oficial de la República de Polonia de 2019, puntos 1394, 1590, 1694, 1726, 1818, 1905, 2020 y 2473.</w:t>
      </w:r>
    </w:p>
  </w:footnote>
  <w:footnote w:id="12">
    <w:p w14:paraId="721C358F" w14:textId="77777777" w:rsidR="00AE0E60" w:rsidRPr="00AE0E60" w:rsidRDefault="00AE0E60" w:rsidP="00AE0E60">
      <w:pPr>
        <w:pStyle w:val="ODNONIKtreodnonika"/>
      </w:pPr>
      <w:r>
        <w:rPr>
          <w:rStyle w:val="FootnoteReference"/>
        </w:rPr>
        <w:footnoteRef/>
      </w:r>
      <w:r>
        <w:rPr>
          <w:rStyle w:val="IGindeksgrny"/>
        </w:rPr>
        <w:t>)</w:t>
      </w:r>
      <w:r>
        <w:tab/>
        <w:t>Las modificaciones del texto refundido de la mencionada Ley se publicaron en el Boletín Oficial de la República de Polonia de 2019, puntos 1394, 1590, 1694, 1726, 1818, 1905, 2020 y 2473.</w:t>
      </w:r>
    </w:p>
  </w:footnote>
  <w:footnote w:id="13">
    <w:p w14:paraId="3F3F920B" w14:textId="77777777" w:rsidR="00AE0E60" w:rsidRPr="00AE0E60" w:rsidRDefault="00AE0E60" w:rsidP="00AE0E60">
      <w:pPr>
        <w:pStyle w:val="ODNONIKtreodnonika"/>
      </w:pPr>
      <w:r>
        <w:rPr>
          <w:rStyle w:val="FootnoteReference"/>
        </w:rPr>
        <w:footnoteRef/>
      </w:r>
      <w:r>
        <w:rPr>
          <w:rStyle w:val="IGindeksgrny"/>
        </w:rPr>
        <w:t>)</w:t>
      </w:r>
      <w:r>
        <w:tab/>
        <w:t>Las modificaciones del Reglamento mencionado se publicaron en el</w:t>
      </w:r>
      <w:bookmarkStart w:id="1" w:name="_Hlk30763275"/>
      <w:r>
        <w:t xml:space="preserve"> (DO L 75 de 23.3.2010, p. 17</w:t>
      </w:r>
      <w:bookmarkEnd w:id="1"/>
      <w:r>
        <w:t>, (DO L 295 de 12.11.2011, p. 1, (DO L 311 de 20.11.2013, p. 17, (DO L 295 de 12.11.2011, pp. 178 y 205, (DO L 78 de 17.3.2012, p. 1, (DO L 119 de 4.5.2012, p. 14, (DO L 144 de 5.6.2012, pp. 16, 19 y 22, (DO L 169 de 29.6.2012, p. 43, (DO L 173, de 3.7.2012, p. 8, (DO L 196 de 24.7.2012, p. 52, (DO L 310 de 9.11.2012, p. 41, (DO L 313 de 13.11.2012, p. 11, (DO L 333 de 5.12.2012, pp. 34, 37 y 40, (DO L 336 de 8.12.2012, p. 75, (DO L 13 de 17.1.2013, p. 1, (DO L 77 de 20.3.2013, p. 3, (DO L 79 de 21.3.2013, p. 24, (DO L 129 de 14.5.2013, p. 28, (DO L 150 de 4.6.2013, pp. 13 y 17, (DO L 202 de 27.7.2013, p. 8, (DO L 204 de 31.7.2013, pp. 32 y 35, (DO L 230 de 29.8.2013, pp. 1, 7 y 12, (DO L 252 de 24.9.2013, p. 11, (DO L 289 de 31.10.2013, pp. 58 y 61, (DO L 328 de 7.12.2013, p. 79, (DO L 21 de 24.1.2014, p. 9, (DO L 76 de 15.3.2014, p. 22, (DO L 89 de 25.3.2014, p. 36, (DO L 143 de 15.5.2014, p. 6, (DO L 145 de 16.5.2014, pp. 32 y 35, (DO L 151 de 21.5.2014, p. 26, (DO L 166 de 5.6.2014, p. 11, (DO L 182 de 21.6.2014, p. 23, (DO L 252 de 26.8.2014, p. 11, (DO L 270 de 11.9.2014, p. 1, (DO L 272 de 13.9.2014, p. 8, (DO L 298 de 16.10.2014, p. 9, (DO L 299 de 17.10.2014, pp. 19 y 22, (DO L 88 de 1.4.2015, pp. 1 y 4, (DO L 106, de 24.4.2015, p. 16, (DO L 107 de 25.4.2015, pp. 1 y 17, (DO L 210, de 7.8.2015, p. 22, (DO L 213 de 12.8.2015, p. 22, (DO L 213 de 12.8.2015, p. 1, (DO L 253, de 30.9.2015, p. 3, (DO L 266, de 13.10.2015, p. 27, (DO L 13, de 20.1.2016, p. 46, (DO L 50, de 26.2.2016, p. 25, (DO L 61, de 8.3.2016, p. 1, (DO L 78, de 24.3.2016, p. 47, (DO L 87, de 2.4.2016, p. 1, (DO L 117, de 3.5.2016, p. 28, (DO L 120, de 5.5.2016, p. 4, (DO L 272, de 7.10.2016, p. 2, (DO L 50, de 28.2.2017, p. 15, (DO L 125, de 18.5.2017, p. 7, (DO L 134 de 23.5.2017, pp. 3 y 18, (DO L 184 de 15.7.2017, pp. 3 y 8, (DO L 199, de 29.7.2017, p. 8, (DO L 13, de 18.1.2018, p. 21, (DO L 17 de 23.1.2018, pp. 11 y 14, (DO L 104, de 24.4.2018, p. 57, (DO L 114 de 7.5.2018, p. 10, (DO L 116 de 7.5.2018, p. 5, (DO L 245 de 1.10.2018, p. 1, (DO L 247, de 3.10.2018, p. 1, (DO L 251 de 5.10.2018, p. 13, (DO L 253 de 9.10.2018, p. 36, (DO L 60 de 28.2.2019, p. 35, (DO L 132 de 20.5.2019, pp. 15 y 18, (DO L 132 de 29.5.2019, p. 54, así como en el (DO L 257 de 8.10.2019, p. 11.</w:t>
      </w:r>
    </w:p>
  </w:footnote>
  <w:footnote w:id="14">
    <w:p w14:paraId="04D27F33" w14:textId="4D457134" w:rsidR="00AE0E60" w:rsidRPr="00AE0E60" w:rsidRDefault="00AE0E60" w:rsidP="00AE0E60">
      <w:pPr>
        <w:pStyle w:val="ODNONIKtreodnonika"/>
      </w:pPr>
      <w:r>
        <w:rPr>
          <w:rStyle w:val="FootnoteReference"/>
        </w:rPr>
        <w:footnoteRef/>
      </w:r>
      <w:r>
        <w:rPr>
          <w:rStyle w:val="IGindeksgrny"/>
        </w:rPr>
        <w:t>)</w:t>
      </w:r>
      <w:r>
        <w:tab/>
        <w:t>Las modificaciones del Reglamento mencionado se publicaron en el (DO L 349 de 5.12.2014, p. 67, (DO L 25 de 2.2.2016, p. 1, (DO L 158 de 21.6.2017, p. 5, (DO L 230 de 6.9.2017, p. 1, (DO L 234 de 12.9.2017, p. 7, (DO L 259 de 7.10.2017, p. 2, así como en el (DO L 94,</w:t>
      </w:r>
      <w:r w:rsidR="00690A09">
        <w:t xml:space="preserve"> </w:t>
      </w:r>
      <w:r>
        <w:t>de 12.4.2018, p. 1.</w:t>
      </w:r>
    </w:p>
  </w:footnote>
  <w:footnote w:id="15">
    <w:p w14:paraId="1A667AC8" w14:textId="77777777" w:rsidR="00AE0E60" w:rsidRPr="00AE0E60" w:rsidRDefault="00AE0E60" w:rsidP="00AE0E60">
      <w:pPr>
        <w:pStyle w:val="ODNONIKtreodnonika"/>
      </w:pPr>
      <w:r>
        <w:rPr>
          <w:rStyle w:val="FootnoteReference"/>
        </w:rPr>
        <w:footnoteRef/>
      </w:r>
      <w:r>
        <w:rPr>
          <w:rStyle w:val="IGindeksgrny"/>
        </w:rPr>
        <w:t>)</w:t>
      </w:r>
      <w:r>
        <w:tab/>
        <w:t>Las modificaciones del texto refundido de la mencionada Ley se publicaron en el Boletín Oficial de la República de Polonia de 2019, puntos 1123, 1495, 1501, 1520, 1556, 2116 y 2523.</w:t>
      </w:r>
    </w:p>
  </w:footnote>
  <w:footnote w:id="16">
    <w:p w14:paraId="6881076C" w14:textId="77777777" w:rsidR="00AE0E60" w:rsidRPr="00AE0E60" w:rsidRDefault="00AE0E60" w:rsidP="00AE0E60">
      <w:pPr>
        <w:pStyle w:val="ODNONIKtreodnonika"/>
      </w:pPr>
      <w:r>
        <w:rPr>
          <w:rStyle w:val="FootnoteReference"/>
        </w:rPr>
        <w:footnoteRef/>
      </w:r>
      <w:r>
        <w:rPr>
          <w:rStyle w:val="IGindeksgrny"/>
        </w:rPr>
        <w:t>)</w:t>
      </w:r>
      <w:r>
        <w:tab/>
        <w:t>Las modificaciones del Reglamento mencionado se publicaron en el (DO L 160, de 12.6.2013, p. 4, (DO L 235 de 4.9.2013, p. 3, (DO L 282 de 24.10.2013, p. 43, (DO L 14 de 18.1.2014, p. 8, (DO L 3 de 7.1.2015, p. 3, (DO L 88, de 1.4.2015, p. 7, (DO L 328 de 12.12.2015, p. 46, (DO L 142 de 31.5.2016, p. 5, (DO L 230 de 25.8.2016, p. 8, (DO L 97 de 28.4.2017, p. 24, así como en el (DO L 98 de 11.4.2017, p. 1.</w:t>
      </w:r>
    </w:p>
  </w:footnote>
  <w:footnote w:id="17">
    <w:p w14:paraId="39069FFD" w14:textId="77777777" w:rsidR="00407243" w:rsidRPr="00407243" w:rsidRDefault="00407243" w:rsidP="00407243">
      <w:pPr>
        <w:pStyle w:val="ODNONIKtreodnonika"/>
      </w:pPr>
      <w:r>
        <w:rPr>
          <w:rStyle w:val="FootnoteReference"/>
        </w:rPr>
        <w:footnoteRef/>
      </w:r>
      <w:r>
        <w:rPr>
          <w:rStyle w:val="IGindeksgrny"/>
        </w:rPr>
        <w:t>)</w:t>
      </w:r>
      <w:r>
        <w:tab/>
        <w:t>Las modificaciones del texto refundido de la mencionada Ley se publicaron en el Boletín Oficial de la República de Polonia de 2019, puntos 1495, 1501, 1553, 1579, 1655, 1798, 1901 y 2070.</w:t>
      </w:r>
    </w:p>
  </w:footnote>
  <w:footnote w:id="18">
    <w:p w14:paraId="4E347A03" w14:textId="77777777" w:rsidR="00407243" w:rsidRPr="00F90E8C" w:rsidRDefault="00407243" w:rsidP="00407243">
      <w:pPr>
        <w:pStyle w:val="ODNONIKtreodnonika"/>
        <w:rPr>
          <w:spacing w:val="-4"/>
        </w:rPr>
      </w:pPr>
      <w:r w:rsidRPr="00F90E8C">
        <w:rPr>
          <w:rStyle w:val="FootnoteReference"/>
          <w:spacing w:val="-4"/>
        </w:rPr>
        <w:footnoteRef/>
      </w:r>
      <w:r w:rsidRPr="00F90E8C">
        <w:rPr>
          <w:rStyle w:val="IGindeksgrny"/>
          <w:spacing w:val="-4"/>
        </w:rPr>
        <w:t>)</w:t>
      </w:r>
      <w:r w:rsidRPr="00F90E8C">
        <w:rPr>
          <w:spacing w:val="-4"/>
        </w:rPr>
        <w:tab/>
        <w:t>Las modificaciones del texto refundido de la mencionada Ley se publicaron en el Boletín Oficial de la República de Polonia de 2019, puntos 924, 1018, 1495, 1520, 1553, 1556, 1649, 1655, 1667, 1751, 1818, 1978, 2020 y 2200.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84917" w14:textId="77777777" w:rsidR="00AE0E60" w:rsidRPr="00B371CC" w:rsidRDefault="00AE0E60" w:rsidP="00B371CC">
    <w:pPr>
      <w:pStyle w:val="Header"/>
      <w:jc w:val="center"/>
    </w:pPr>
    <w:r>
      <w:t xml:space="preserve">– </w:t>
    </w:r>
    <w:r>
      <w:fldChar w:fldCharType="begin"/>
    </w:r>
    <w:r>
      <w:instrText xml:space="preserve"> PAGE  \* MERGEFORMAT </w:instrText>
    </w:r>
    <w:r>
      <w:fldChar w:fldCharType="separate"/>
    </w:r>
    <w:r w:rsidR="00F90E8C">
      <w:rPr>
        <w:noProof/>
      </w:rPr>
      <w:t>21</w:t>
    </w:r>
    <w: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3A6"/>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374D"/>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0F96"/>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4FB6"/>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243"/>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2688"/>
    <w:rsid w:val="00485FAD"/>
    <w:rsid w:val="00487A2C"/>
    <w:rsid w:val="00487AED"/>
    <w:rsid w:val="00491EDF"/>
    <w:rsid w:val="00492A3F"/>
    <w:rsid w:val="00494853"/>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0A09"/>
    <w:rsid w:val="006946BB"/>
    <w:rsid w:val="006969FA"/>
    <w:rsid w:val="006A35D5"/>
    <w:rsid w:val="006A748A"/>
    <w:rsid w:val="006B25B1"/>
    <w:rsid w:val="006C419E"/>
    <w:rsid w:val="006C4A31"/>
    <w:rsid w:val="006C5AC2"/>
    <w:rsid w:val="006C6AFB"/>
    <w:rsid w:val="006C7D2B"/>
    <w:rsid w:val="006D2735"/>
    <w:rsid w:val="006D45B2"/>
    <w:rsid w:val="006E0FCC"/>
    <w:rsid w:val="006E1E96"/>
    <w:rsid w:val="006E5E21"/>
    <w:rsid w:val="006F2648"/>
    <w:rsid w:val="006F2F10"/>
    <w:rsid w:val="006F482B"/>
    <w:rsid w:val="006F6311"/>
    <w:rsid w:val="00701952"/>
    <w:rsid w:val="00701B1F"/>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43A6"/>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4C59"/>
    <w:rsid w:val="008E78A3"/>
    <w:rsid w:val="008F0654"/>
    <w:rsid w:val="008F06CB"/>
    <w:rsid w:val="008F2E83"/>
    <w:rsid w:val="008F612A"/>
    <w:rsid w:val="008F75AD"/>
    <w:rsid w:val="0090293D"/>
    <w:rsid w:val="009034DE"/>
    <w:rsid w:val="00905396"/>
    <w:rsid w:val="0090605D"/>
    <w:rsid w:val="00906419"/>
    <w:rsid w:val="0091011B"/>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03A"/>
    <w:rsid w:val="009A7A53"/>
    <w:rsid w:val="009B0402"/>
    <w:rsid w:val="009B0B75"/>
    <w:rsid w:val="009B16DF"/>
    <w:rsid w:val="009B48E0"/>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41BB"/>
    <w:rsid w:val="00AA667C"/>
    <w:rsid w:val="00AA6E91"/>
    <w:rsid w:val="00AA7439"/>
    <w:rsid w:val="00AB047E"/>
    <w:rsid w:val="00AB0B0A"/>
    <w:rsid w:val="00AB0BB7"/>
    <w:rsid w:val="00AB22C6"/>
    <w:rsid w:val="00AB2AD0"/>
    <w:rsid w:val="00AB4454"/>
    <w:rsid w:val="00AB67FC"/>
    <w:rsid w:val="00AC00F2"/>
    <w:rsid w:val="00AC31B5"/>
    <w:rsid w:val="00AC4EA1"/>
    <w:rsid w:val="00AC5381"/>
    <w:rsid w:val="00AC5920"/>
    <w:rsid w:val="00AD0E65"/>
    <w:rsid w:val="00AD2BF2"/>
    <w:rsid w:val="00AD4E90"/>
    <w:rsid w:val="00AD5422"/>
    <w:rsid w:val="00AE0E60"/>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A2"/>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1EC6"/>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5206"/>
    <w:rsid w:val="00C667BE"/>
    <w:rsid w:val="00C6766B"/>
    <w:rsid w:val="00C72223"/>
    <w:rsid w:val="00C76417"/>
    <w:rsid w:val="00C7726F"/>
    <w:rsid w:val="00C823DA"/>
    <w:rsid w:val="00C8259F"/>
    <w:rsid w:val="00C82746"/>
    <w:rsid w:val="00C8312F"/>
    <w:rsid w:val="00C84C47"/>
    <w:rsid w:val="00C858A4"/>
    <w:rsid w:val="00C86AFA"/>
    <w:rsid w:val="00C90CE7"/>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35C9B"/>
    <w:rsid w:val="00D402FB"/>
    <w:rsid w:val="00D4052F"/>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29A"/>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0E8C"/>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C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es-ES"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uiPriority="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nhideWhenUsed="0"/>
    <w:lsdException w:name="Closing" w:locked="0"/>
    <w:lsdException w:name="Signature" w:locked="0"/>
    <w:lsdException w:name="Default Paragraph Font" w:locked="0" w:uiPriority="1"/>
    <w:lsdException w:name="Body Text" w:locked="0" w:uiPriority="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iPriority="32" w:unhideWhenUsed="0" w:qFormat="1"/>
    <w:lsdException w:name="Book Title" w:locked="0" w:semiHidden="0" w:unhideWhenUsed="0"/>
    <w:lsdException w:name="Bibliography" w:locked="0"/>
    <w:lsdException w:name="TOC Heading" w:locked="0" w:qFormat="1"/>
  </w:latentStyles>
  <w:style w:type="paragraph" w:default="1" w:styleId="Normal">
    <w:name w:val="Normal"/>
    <w:qFormat/>
    <w:rsid w:val="008443A6"/>
    <w:pPr>
      <w:widowControl w:val="0"/>
      <w:autoSpaceDE w:val="0"/>
      <w:autoSpaceDN w:val="0"/>
      <w:adjustRightInd w:val="0"/>
    </w:pPr>
    <w:rPr>
      <w:rFonts w:ascii="Times New Roman" w:eastAsiaTheme="minorEastAsia" w:hAnsi="Times New Roman" w:cs="Arial"/>
      <w:szCs w:val="20"/>
    </w:rPr>
  </w:style>
  <w:style w:type="paragraph" w:styleId="Heading1">
    <w:name w:val="heading 1"/>
    <w:basedOn w:val="Normal"/>
    <w:next w:val="Normal"/>
    <w:link w:val="Heading1Char"/>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HeaderChar">
    <w:name w:val="Header Char"/>
    <w:link w:val="Header"/>
    <w:uiPriority w:val="99"/>
    <w:semiHidden/>
    <w:rsid w:val="00060076"/>
    <w:rPr>
      <w:rFonts w:eastAsiaTheme="minorEastAsia"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99"/>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8443A6"/>
    <w:rPr>
      <w:color w:val="0000FF" w:themeColor="hyperlink"/>
      <w:u w:val="single"/>
    </w:rPr>
  </w:style>
  <w:style w:type="paragraph" w:styleId="ListParagraph">
    <w:name w:val="List Paragraph"/>
    <w:basedOn w:val="Normal"/>
    <w:uiPriority w:val="34"/>
    <w:qFormat/>
    <w:rsid w:val="008443A6"/>
    <w:pPr>
      <w:ind w:left="720"/>
      <w:contextualSpacing/>
    </w:pPr>
  </w:style>
  <w:style w:type="paragraph" w:styleId="Subtitle">
    <w:name w:val="Subtitle"/>
    <w:basedOn w:val="Normal"/>
    <w:next w:val="Normal"/>
    <w:link w:val="SubtitleChar"/>
    <w:uiPriority w:val="11"/>
    <w:qFormat/>
    <w:rsid w:val="008443A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43A6"/>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rsid w:val="008443A6"/>
    <w:pPr>
      <w:suppressAutoHyphens/>
      <w:spacing w:after="120" w:line="240" w:lineRule="auto"/>
    </w:pPr>
    <w:rPr>
      <w:rFonts w:eastAsia="Lucida Sans Unicode" w:cs="Times New Roman"/>
      <w:kern w:val="1"/>
      <w:szCs w:val="24"/>
    </w:rPr>
  </w:style>
  <w:style w:type="character" w:customStyle="1" w:styleId="BodyTextChar">
    <w:name w:val="Body Text Char"/>
    <w:basedOn w:val="DefaultParagraphFont"/>
    <w:link w:val="BodyText"/>
    <w:rsid w:val="008443A6"/>
    <w:rPr>
      <w:rFonts w:ascii="Times New Roman" w:eastAsia="Lucida Sans Unicode" w:hAnsi="Times New Roman"/>
      <w:kern w:val="1"/>
    </w:rPr>
  </w:style>
  <w:style w:type="paragraph" w:styleId="NormalWeb">
    <w:name w:val="Normal (Web)"/>
    <w:basedOn w:val="Normal"/>
    <w:uiPriority w:val="99"/>
    <w:semiHidden/>
    <w:unhideWhenUsed/>
    <w:rsid w:val="008443A6"/>
    <w:pPr>
      <w:widowControl/>
      <w:autoSpaceDE/>
      <w:autoSpaceDN/>
      <w:adjustRightInd/>
      <w:spacing w:before="100" w:beforeAutospacing="1" w:after="100" w:afterAutospacing="1" w:line="240" w:lineRule="auto"/>
    </w:pPr>
    <w:rPr>
      <w:rFonts w:cs="Times New Roman"/>
      <w:szCs w:val="24"/>
    </w:rPr>
  </w:style>
  <w:style w:type="character" w:styleId="Emphasis">
    <w:name w:val="Emphasis"/>
    <w:basedOn w:val="DefaultParagraphFont"/>
    <w:uiPriority w:val="20"/>
    <w:qFormat/>
    <w:rsid w:val="008443A6"/>
    <w:rPr>
      <w:i/>
      <w:iCs/>
    </w:rPr>
  </w:style>
  <w:style w:type="paragraph" w:styleId="HTMLPreformatted">
    <w:name w:val="HTML Preformatted"/>
    <w:basedOn w:val="Normal"/>
    <w:link w:val="HTMLPreformattedChar"/>
    <w:uiPriority w:val="99"/>
    <w:unhideWhenUsed/>
    <w:rsid w:val="008443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8443A6"/>
    <w:rPr>
      <w:rFonts w:ascii="Courier New" w:hAnsi="Courier New" w:cs="Courier New"/>
      <w:sz w:val="20"/>
      <w:szCs w:val="20"/>
    </w:rPr>
  </w:style>
  <w:style w:type="paragraph" w:styleId="Revision">
    <w:name w:val="Revision"/>
    <w:hidden/>
    <w:uiPriority w:val="99"/>
    <w:semiHidden/>
    <w:rsid w:val="008443A6"/>
    <w:pPr>
      <w:spacing w:line="240" w:lineRule="auto"/>
    </w:pPr>
    <w:rPr>
      <w:rFonts w:ascii="Times New Roman" w:eastAsiaTheme="minorEastAsia" w:hAnsi="Times New Roman" w:cs="Arial"/>
      <w:szCs w:val="20"/>
    </w:rPr>
  </w:style>
  <w:style w:type="paragraph" w:styleId="BodyTextIndent">
    <w:name w:val="Body Text Indent"/>
    <w:basedOn w:val="Normal"/>
    <w:link w:val="BodyTextIndentChar"/>
    <w:uiPriority w:val="99"/>
    <w:semiHidden/>
    <w:unhideWhenUsed/>
    <w:rsid w:val="008443A6"/>
    <w:pPr>
      <w:spacing w:after="120"/>
      <w:ind w:left="283"/>
    </w:pPr>
  </w:style>
  <w:style w:type="character" w:customStyle="1" w:styleId="BodyTextIndentChar">
    <w:name w:val="Body Text Indent Char"/>
    <w:basedOn w:val="DefaultParagraphFont"/>
    <w:link w:val="BodyTextIndent"/>
    <w:uiPriority w:val="99"/>
    <w:semiHidden/>
    <w:rsid w:val="008443A6"/>
    <w:rPr>
      <w:rFonts w:ascii="Times New Roman" w:eastAsiaTheme="minorEastAsia" w:hAnsi="Times New Roman" w:cs="Arial"/>
      <w:szCs w:val="20"/>
    </w:rPr>
  </w:style>
  <w:style w:type="table" w:styleId="MediumList2-Accent1">
    <w:name w:val="Medium List 2 Accent 1"/>
    <w:basedOn w:val="TableNormal"/>
    <w:uiPriority w:val="66"/>
    <w:semiHidden/>
    <w:unhideWhenUsed/>
    <w:locked/>
    <w:rsid w:val="008443A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eReference">
    <w:name w:val="Intense Reference"/>
    <w:basedOn w:val="DefaultParagraphFont"/>
    <w:uiPriority w:val="32"/>
    <w:qFormat/>
    <w:rsid w:val="008443A6"/>
    <w:rPr>
      <w:b/>
      <w:bCs/>
      <w:smallCaps/>
      <w:color w:val="4F81BD"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es-ES"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uiPriority="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nhideWhenUsed="0"/>
    <w:lsdException w:name="Closing" w:locked="0"/>
    <w:lsdException w:name="Signature" w:locked="0"/>
    <w:lsdException w:name="Default Paragraph Font" w:locked="0" w:uiPriority="1"/>
    <w:lsdException w:name="Body Text" w:locked="0" w:uiPriority="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iPriority="32" w:unhideWhenUsed="0" w:qFormat="1"/>
    <w:lsdException w:name="Book Title" w:locked="0" w:semiHidden="0" w:unhideWhenUsed="0"/>
    <w:lsdException w:name="Bibliography" w:locked="0"/>
    <w:lsdException w:name="TOC Heading" w:locked="0" w:qFormat="1"/>
  </w:latentStyles>
  <w:style w:type="paragraph" w:default="1" w:styleId="Normal">
    <w:name w:val="Normal"/>
    <w:qFormat/>
    <w:rsid w:val="008443A6"/>
    <w:pPr>
      <w:widowControl w:val="0"/>
      <w:autoSpaceDE w:val="0"/>
      <w:autoSpaceDN w:val="0"/>
      <w:adjustRightInd w:val="0"/>
    </w:pPr>
    <w:rPr>
      <w:rFonts w:ascii="Times New Roman" w:eastAsiaTheme="minorEastAsia" w:hAnsi="Times New Roman" w:cs="Arial"/>
      <w:szCs w:val="20"/>
    </w:rPr>
  </w:style>
  <w:style w:type="paragraph" w:styleId="Heading1">
    <w:name w:val="heading 1"/>
    <w:basedOn w:val="Normal"/>
    <w:next w:val="Normal"/>
    <w:link w:val="Heading1Char"/>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HeaderChar">
    <w:name w:val="Header Char"/>
    <w:link w:val="Header"/>
    <w:uiPriority w:val="99"/>
    <w:semiHidden/>
    <w:rsid w:val="00060076"/>
    <w:rPr>
      <w:rFonts w:eastAsiaTheme="minorEastAsia"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99"/>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8443A6"/>
    <w:rPr>
      <w:color w:val="0000FF" w:themeColor="hyperlink"/>
      <w:u w:val="single"/>
    </w:rPr>
  </w:style>
  <w:style w:type="paragraph" w:styleId="ListParagraph">
    <w:name w:val="List Paragraph"/>
    <w:basedOn w:val="Normal"/>
    <w:uiPriority w:val="34"/>
    <w:qFormat/>
    <w:rsid w:val="008443A6"/>
    <w:pPr>
      <w:ind w:left="720"/>
      <w:contextualSpacing/>
    </w:pPr>
  </w:style>
  <w:style w:type="paragraph" w:styleId="Subtitle">
    <w:name w:val="Subtitle"/>
    <w:basedOn w:val="Normal"/>
    <w:next w:val="Normal"/>
    <w:link w:val="SubtitleChar"/>
    <w:uiPriority w:val="11"/>
    <w:qFormat/>
    <w:rsid w:val="008443A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43A6"/>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rsid w:val="008443A6"/>
    <w:pPr>
      <w:suppressAutoHyphens/>
      <w:spacing w:after="120" w:line="240" w:lineRule="auto"/>
    </w:pPr>
    <w:rPr>
      <w:rFonts w:eastAsia="Lucida Sans Unicode" w:cs="Times New Roman"/>
      <w:kern w:val="1"/>
      <w:szCs w:val="24"/>
    </w:rPr>
  </w:style>
  <w:style w:type="character" w:customStyle="1" w:styleId="BodyTextChar">
    <w:name w:val="Body Text Char"/>
    <w:basedOn w:val="DefaultParagraphFont"/>
    <w:link w:val="BodyText"/>
    <w:rsid w:val="008443A6"/>
    <w:rPr>
      <w:rFonts w:ascii="Times New Roman" w:eastAsia="Lucida Sans Unicode" w:hAnsi="Times New Roman"/>
      <w:kern w:val="1"/>
    </w:rPr>
  </w:style>
  <w:style w:type="paragraph" w:styleId="NormalWeb">
    <w:name w:val="Normal (Web)"/>
    <w:basedOn w:val="Normal"/>
    <w:uiPriority w:val="99"/>
    <w:semiHidden/>
    <w:unhideWhenUsed/>
    <w:rsid w:val="008443A6"/>
    <w:pPr>
      <w:widowControl/>
      <w:autoSpaceDE/>
      <w:autoSpaceDN/>
      <w:adjustRightInd/>
      <w:spacing w:before="100" w:beforeAutospacing="1" w:after="100" w:afterAutospacing="1" w:line="240" w:lineRule="auto"/>
    </w:pPr>
    <w:rPr>
      <w:rFonts w:cs="Times New Roman"/>
      <w:szCs w:val="24"/>
    </w:rPr>
  </w:style>
  <w:style w:type="character" w:styleId="Emphasis">
    <w:name w:val="Emphasis"/>
    <w:basedOn w:val="DefaultParagraphFont"/>
    <w:uiPriority w:val="20"/>
    <w:qFormat/>
    <w:rsid w:val="008443A6"/>
    <w:rPr>
      <w:i/>
      <w:iCs/>
    </w:rPr>
  </w:style>
  <w:style w:type="paragraph" w:styleId="HTMLPreformatted">
    <w:name w:val="HTML Preformatted"/>
    <w:basedOn w:val="Normal"/>
    <w:link w:val="HTMLPreformattedChar"/>
    <w:uiPriority w:val="99"/>
    <w:unhideWhenUsed/>
    <w:rsid w:val="008443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8443A6"/>
    <w:rPr>
      <w:rFonts w:ascii="Courier New" w:hAnsi="Courier New" w:cs="Courier New"/>
      <w:sz w:val="20"/>
      <w:szCs w:val="20"/>
    </w:rPr>
  </w:style>
  <w:style w:type="paragraph" w:styleId="Revision">
    <w:name w:val="Revision"/>
    <w:hidden/>
    <w:uiPriority w:val="99"/>
    <w:semiHidden/>
    <w:rsid w:val="008443A6"/>
    <w:pPr>
      <w:spacing w:line="240" w:lineRule="auto"/>
    </w:pPr>
    <w:rPr>
      <w:rFonts w:ascii="Times New Roman" w:eastAsiaTheme="minorEastAsia" w:hAnsi="Times New Roman" w:cs="Arial"/>
      <w:szCs w:val="20"/>
    </w:rPr>
  </w:style>
  <w:style w:type="paragraph" w:styleId="BodyTextIndent">
    <w:name w:val="Body Text Indent"/>
    <w:basedOn w:val="Normal"/>
    <w:link w:val="BodyTextIndentChar"/>
    <w:uiPriority w:val="99"/>
    <w:semiHidden/>
    <w:unhideWhenUsed/>
    <w:rsid w:val="008443A6"/>
    <w:pPr>
      <w:spacing w:after="120"/>
      <w:ind w:left="283"/>
    </w:pPr>
  </w:style>
  <w:style w:type="character" w:customStyle="1" w:styleId="BodyTextIndentChar">
    <w:name w:val="Body Text Indent Char"/>
    <w:basedOn w:val="DefaultParagraphFont"/>
    <w:link w:val="BodyTextIndent"/>
    <w:uiPriority w:val="99"/>
    <w:semiHidden/>
    <w:rsid w:val="008443A6"/>
    <w:rPr>
      <w:rFonts w:ascii="Times New Roman" w:eastAsiaTheme="minorEastAsia" w:hAnsi="Times New Roman" w:cs="Arial"/>
      <w:szCs w:val="20"/>
    </w:rPr>
  </w:style>
  <w:style w:type="table" w:styleId="MediumList2-Accent1">
    <w:name w:val="Medium List 2 Accent 1"/>
    <w:basedOn w:val="TableNormal"/>
    <w:uiPriority w:val="66"/>
    <w:semiHidden/>
    <w:unhideWhenUsed/>
    <w:locked/>
    <w:rsid w:val="008443A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eReference">
    <w:name w:val="Intense Reference"/>
    <w:basedOn w:val="DefaultParagraphFont"/>
    <w:uiPriority w:val="32"/>
    <w:qFormat/>
    <w:rsid w:val="008443A6"/>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10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C9EC19-4912-49AE-AF00-5AE57A9F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44</TotalTime>
  <Pages>21</Pages>
  <Words>7851</Words>
  <Characters>36112</Characters>
  <Application>Microsoft Office Word</Application>
  <DocSecurity>0</DocSecurity>
  <Lines>300</Lines>
  <Paragraphs>87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43876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Binkowska Joanna</dc:creator>
  <cp:lastModifiedBy>Diana STOICA</cp:lastModifiedBy>
  <cp:revision>3</cp:revision>
  <cp:lastPrinted>2012-04-23T06:39:00Z</cp:lastPrinted>
  <dcterms:created xsi:type="dcterms:W3CDTF">2020-02-05T12:10:00Z</dcterms:created>
  <dcterms:modified xsi:type="dcterms:W3CDTF">2020-02-19T12:33:00Z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