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4A299" w14:textId="7D69A5E2" w:rsidR="00C72F15" w:rsidRDefault="00C72F15" w:rsidP="00C72F15">
      <w:pPr>
        <w:jc w:val="center"/>
        <w:rPr>
          <w:sz w:val="20"/>
          <w:rFonts w:ascii="Courier New" w:hAnsi="Courier New"/>
        </w:rPr>
      </w:pPr>
      <w:bookmarkStart w:id="0" w:name="_Hlk58612681"/>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------IND- 2021 0013 D-- PL- ------ 20210126 --- --- </w:t>
      </w:r>
      <w:bookmarkEnd w:id="0"/>
      <w:r>
        <w:rPr>
          <w:sz w:val="20"/>
          <w:rFonts w:ascii="Courier New" w:hAnsi="Courier New"/>
        </w:rPr>
        <w:t xml:space="preserve">PROJET</w:t>
      </w:r>
    </w:p>
    <w:p w14:paraId="61B72A04" w14:textId="77777777" w:rsidR="002B6ABF" w:rsidRPr="00774080" w:rsidRDefault="004B1EAC" w:rsidP="004E1D47">
      <w:pPr>
        <w:pStyle w:val="Heading1"/>
        <w:rPr>
          <w:sz w:val="30"/>
          <w:szCs w:val="30"/>
        </w:rPr>
      </w:pPr>
      <w:r>
        <w:rPr>
          <w:sz w:val="30"/>
        </w:rPr>
        <w:t xml:space="preserve">Projekt ustawy</w:t>
      </w:r>
    </w:p>
    <w:p w14:paraId="4AD3C5C7" w14:textId="77777777" w:rsidR="002B6ABF" w:rsidRPr="00774080" w:rsidRDefault="002B6ABF">
      <w:pPr>
        <w:pStyle w:val="Initiant"/>
        <w:rPr>
          <w:szCs w:val="26"/>
        </w:rPr>
      </w:pPr>
      <w:r>
        <w:t xml:space="preserve">rządu federalnego</w:t>
      </w:r>
    </w:p>
    <w:p w14:paraId="39573378" w14:textId="2AB76FB7" w:rsidR="002B6ABF" w:rsidRPr="00774080" w:rsidRDefault="00C80BD3" w:rsidP="007965D0">
      <w:pPr>
        <w:pStyle w:val="VorblattBezeichnung"/>
        <w:jc w:val="center"/>
      </w:pPr>
      <w:r>
        <w:t xml:space="preserve">Projekt ustawy o zmianie ustawy o ochronie zwierząt – Zakaz zabijania piskląt</w:t>
      </w:r>
    </w:p>
    <w:p w14:paraId="615E43B4" w14:textId="77777777" w:rsidR="004B1EAC" w:rsidRPr="00774080" w:rsidRDefault="00EF383E" w:rsidP="00EF383E">
      <w:pPr>
        <w:pStyle w:val="VorblattTitelProblemundZiel"/>
      </w:pPr>
      <w:r>
        <w:t xml:space="preserve">A. Problem i cel</w:t>
      </w:r>
    </w:p>
    <w:p w14:paraId="78584AAC" w14:textId="77777777" w:rsidR="003C6535" w:rsidRPr="00774080" w:rsidRDefault="003C6535" w:rsidP="003C6535">
      <w:pPr>
        <w:pStyle w:val="Text"/>
      </w:pPr>
      <w:r>
        <w:t xml:space="preserve">Na rok 2019 Federalny Urząd Statystyczny donosi o wylęgu około 45 milionów tak zwanych „piskląt użytkowych kur niosek”.</w:t>
      </w:r>
      <w:r>
        <w:t xml:space="preserve"> </w:t>
      </w:r>
      <w:r>
        <w:t xml:space="preserve">„Pisklęta użytkowe kur niosek” to pisklęta płci żeńskiej, które po odchowie są wykorzystywane jako nioski i dlatego pochodzą głównie z linii hodowlanych, które w przeciwieństwie do ras użytkowanych dwukierunkowo są specjalnie nastawione na wysoką nieśność.</w:t>
      </w:r>
    </w:p>
    <w:p w14:paraId="6E35931B" w14:textId="77777777" w:rsidR="003C6535" w:rsidRPr="00774080" w:rsidRDefault="003C6535" w:rsidP="003C6535">
      <w:pPr>
        <w:pStyle w:val="Text"/>
      </w:pPr>
      <w:r>
        <w:t xml:space="preserve">W takich liniach hodowlanych wykluwa się obok 45 milionów piskląt użytkowych kur niosek także około 45 milionów piskląt płci męskiej.</w:t>
      </w:r>
      <w:r>
        <w:t xml:space="preserve"> </w:t>
      </w:r>
      <w:r>
        <w:t xml:space="preserve">Te pisklęta płci męskiej są odrzucane u producentów z przyczyn ekonomicznych, ponieważ koguty nie składają jaj, a koguty z tych linii hodowlanych nie nadają się na brojlery ze względu na niską wydajność tuczu.</w:t>
      </w:r>
      <w:r>
        <w:t xml:space="preserve"> </w:t>
      </w:r>
      <w:r>
        <w:t xml:space="preserve">Z tego powodu zdecydowana większość piskląt płci męskiej jest obecnie zabijana w wylęgarniach tuż po wylęgu.</w:t>
      </w:r>
      <w:r>
        <w:t xml:space="preserve"> </w:t>
      </w:r>
      <w:r>
        <w:t xml:space="preserve">Zabijanie odbywa się zazwyczaj poprzez wpuszczanie dwutlenku węgla o wysokim stężeniu, rzadziej poprzez kruszenie.</w:t>
      </w:r>
    </w:p>
    <w:p w14:paraId="18595EEF" w14:textId="77777777" w:rsidR="003C6535" w:rsidRPr="00774080" w:rsidRDefault="003C6535" w:rsidP="003C6535">
      <w:pPr>
        <w:pStyle w:val="Text"/>
      </w:pPr>
      <w:r>
        <w:t xml:space="preserve">Ustawa o ochronie zwierząt stanowi w § 1 zdanie pierwsze, że zwierzęta mają być chronione:</w:t>
      </w:r>
      <w:r>
        <w:t xml:space="preserve"> </w:t>
      </w:r>
      <w:r>
        <w:t xml:space="preserve">„Celem tej ustawy jest ochrona życia i dobrostanu zwierząt wynikająca z odpowiedzialności człowieka za nie jako za inne stworzenia”. § 1 zdanie drugie ustawy o ochronie zwierząt brzmi:</w:t>
      </w:r>
      <w:r>
        <w:t xml:space="preserve"> </w:t>
      </w:r>
      <w:r>
        <w:t xml:space="preserve">„Żaden człowiek nie może zadawać zwierzęciu bólu, cierpienia ani krzywdy bez rozsądnego powodu”. Z wnioskowania z przeciwieństwa z § 1 zdanie drugie wynika, że zwierzętom można mimo to zadawać ból, cierpienie lub krzywdę tylko wtedy, gdy istnieje ku temu rozsądny powód.</w:t>
      </w:r>
      <w:r>
        <w:t xml:space="preserve"> </w:t>
      </w:r>
      <w:r>
        <w:t xml:space="preserve">Federalny Sąd Administracyjny w wyrokach z dnia 13 czerwca 2019 r. (BVerwG 3 C 28.16, BVerwG 3 C 29.16) zdecydował, że – w świetle włączonego do ustawy zasadniczej państwowego celu ochrony zwierząt (art. 20a ustawy zasadniczej) – interes ekonomiczny w odniesieniu do kur hodowanych specjalnie w celu uzyskania wysokiej nieśności nie stanowi rozsądnego powodu w rozumieniu § 1 zdanie drugie ustawy o ochronie zwierząt do zabijania piskląt płci męskiej z tych linii hodowlanych.</w:t>
      </w:r>
      <w:r>
        <w:t xml:space="preserve"> </w:t>
      </w:r>
      <w:r>
        <w:t xml:space="preserve">Według Federalnego Sądu Administracyjnego wciąż istnieje jednak rozsądny powód do kontynuowania obecnej praktyki uśmiercania piskląt płci męskiej w okresie przejściowym, jeżeli można przewidzieć, że wkrótce dostępne będą alternatywy dla uśmiercania piskląt, które stanowią znacznie mniejsze obciążenie dla wylęgarni niż chów zwierząt.</w:t>
      </w:r>
      <w:r>
        <w:t xml:space="preserve"> </w:t>
      </w:r>
    </w:p>
    <w:p w14:paraId="379BAE7F" w14:textId="77777777" w:rsidR="003C6535" w:rsidRPr="00774080" w:rsidRDefault="003C6535" w:rsidP="00796FE3">
      <w:pPr>
        <w:spacing w:before="0" w:after="0"/>
        <w:jc w:val="left"/>
      </w:pPr>
      <w:r>
        <w:t xml:space="preserve">Niezależnie od tych dwóch wyroków i konkretnych postępowań sądowych już od lat istnieje polityczne zapotrzebowanie, by branża drobiarska zrezygnowała z zabijania piskląt.</w:t>
      </w:r>
      <w:r>
        <w:t xml:space="preserve"> </w:t>
      </w:r>
      <w:r>
        <w:t xml:space="preserve">W odniesieniu do tego finansowano z jednej strony projekty badawcze w zakresie wykorzystania kurcząt użytkowanych dwukierunkowo.</w:t>
      </w:r>
      <w:r>
        <w:t xml:space="preserve"> </w:t>
      </w:r>
      <w:r>
        <w:t xml:space="preserve">W przypadku hodowli kurcząt użytkowanych dwukierunkowo samica powinna mieć odpowiednią nieśność, a samiec – akceptowalną wydajność tuczu i wydajność rzeźną, tak aby obie płcie uzyskały wartość ekonomiczną.</w:t>
      </w:r>
      <w:r>
        <w:t xml:space="preserve"> </w:t>
      </w:r>
      <w:r>
        <w:t xml:space="preserve">Z drugiej strony w ramach projektów badawczych, które były również wspierane ze środków publicznych, udało się obecnie opracować praktyczne metody określania płci piskląt jeszcze przed ich wykluciem.</w:t>
      </w:r>
      <w:r>
        <w:t xml:space="preserve"> </w:t>
      </w:r>
      <w:r>
        <w:t xml:space="preserve">Tak więc jaja, z których wyklułyby się pisklęta płci męskiej, mogą być oddzielane, tak aby nie następowało zabijanie tych piskląt.</w:t>
      </w:r>
      <w:r>
        <w:t xml:space="preserve"> </w:t>
      </w:r>
    </w:p>
    <w:p w14:paraId="6A821666" w14:textId="77777777" w:rsidR="003C6535" w:rsidRPr="00774080" w:rsidRDefault="003C6535" w:rsidP="003C6535">
      <w:pPr>
        <w:pStyle w:val="Text"/>
      </w:pPr>
      <w:r>
        <w:t xml:space="preserve">W tym kontekście, w szczególności w związku z wyrokami Federalnego Sądu Administracyjnego, a także w związku z docelowym porozumieniem koalicji rządowej w umowie koalicyjnej w sprawie zaprzestania zabijania piskląt, zabijanie piskląt kury ma być obecnie wyraźnie zabronione.</w:t>
      </w:r>
      <w:r>
        <w:t xml:space="preserve"> </w:t>
      </w:r>
      <w:r>
        <w:t xml:space="preserve">Zakaz obejmuje również zwierzęta hodowlane i reprodukcyjne.</w:t>
      </w:r>
      <w:r>
        <w:t xml:space="preserve"> </w:t>
      </w:r>
      <w:r>
        <w:t xml:space="preserve">Zwierzęta hodowlane są wykorzystywane do produkcji zwierząt reprodukcyjnych, zwierzęta reprodukcyjne służą do produkcji piskląt użytkowych.</w:t>
      </w:r>
      <w:r>
        <w:t xml:space="preserve"> </w:t>
      </w:r>
      <w:r>
        <w:t xml:space="preserve">Zgodnie z aktualną wiedzą naukową zarodek kury nie jest jeszcze w stanie odczuwać bólu przed siódmym dniem inkubacji.</w:t>
      </w:r>
      <w:r>
        <w:t xml:space="preserve"> </w:t>
      </w:r>
      <w:r>
        <w:t xml:space="preserve">Od siódmego dnia inkubacji nie można wykluczyć rozpoczynającego się rozwoju odczuwania bólu.</w:t>
      </w:r>
      <w:r>
        <w:t xml:space="preserve"> </w:t>
      </w:r>
      <w:r>
        <w:t xml:space="preserve">Dlatego też, począwszy od siódmego dnia inkubacji, ze względu na dobrostan zwierząt, należy odrzucić zabiegi na jaju kurzym i przerwanie procesu inkubacji, które są przeprowadzane podczas lub po zastosowaniu metod określania płci w jaju i powodują śmierć zarodka kury.</w:t>
      </w:r>
      <w:r>
        <w:t xml:space="preserve"> </w:t>
      </w:r>
      <w:r>
        <w:t xml:space="preserve">Takie działania mają być teraz również zabronione.</w:t>
      </w:r>
    </w:p>
    <w:p w14:paraId="1BA24636" w14:textId="77777777" w:rsidR="003C6535" w:rsidRPr="00774080" w:rsidRDefault="003C6535" w:rsidP="003C6535">
      <w:pPr>
        <w:pStyle w:val="VorblattTitelLsung"/>
      </w:pPr>
      <w:r>
        <w:t xml:space="preserve">B. Rozwiązanie</w:t>
      </w:r>
    </w:p>
    <w:p w14:paraId="3B6C4276" w14:textId="77777777" w:rsidR="003C6535" w:rsidRPr="00774080" w:rsidRDefault="003C6535" w:rsidP="003C6535">
      <w:pPr>
        <w:pStyle w:val="Text"/>
      </w:pPr>
      <w:r>
        <w:t xml:space="preserve">Ustawa wprowadza do ustawy o ochronie zwierząt zakaz zabijania piskląt kury gatunku </w:t>
      </w:r>
      <w:r>
        <w:rPr>
          <w:i/>
          <w:iCs/>
        </w:rPr>
        <w:t xml:space="preserve">Gallus gallus</w:t>
      </w:r>
      <w:r>
        <w:t xml:space="preserve">.</w:t>
      </w:r>
      <w:r>
        <w:t xml:space="preserve"> </w:t>
      </w:r>
      <w:r>
        <w:t xml:space="preserve">Zakaz obejmuje również zwierzęta hodowlane i reprodukcyjne.</w:t>
      </w:r>
      <w:r>
        <w:t xml:space="preserve"> </w:t>
      </w:r>
    </w:p>
    <w:p w14:paraId="433E6F3A" w14:textId="77777777" w:rsidR="003C6535" w:rsidRPr="00774080" w:rsidRDefault="003C6535" w:rsidP="003C6535">
      <w:pPr>
        <w:pStyle w:val="Text"/>
      </w:pPr>
      <w:r>
        <w:t xml:space="preserve">Ponadto wprowadzany jest zakaz zabiegów na jaju kurzym i przerywania procesu inkubacji od jej siódmego dnia, które są przeprowadzane podczas lub po zastosowaniu metody określania płci w jaju i które powodują śmierć zarodka kury.</w:t>
      </w:r>
      <w:r>
        <w:t xml:space="preserve"> </w:t>
      </w:r>
    </w:p>
    <w:p w14:paraId="4D3DCD0D" w14:textId="77777777" w:rsidR="003C6535" w:rsidRPr="00774080" w:rsidRDefault="003C6535" w:rsidP="003C6535">
      <w:pPr>
        <w:pStyle w:val="Text"/>
      </w:pPr>
      <w:r>
        <w:t xml:space="preserve">Oba zakazy nie wchodzą jednak w życie natychmiast ani jednocześnie.</w:t>
      </w:r>
      <w:r>
        <w:t xml:space="preserve"> </w:t>
      </w:r>
      <w:r>
        <w:t xml:space="preserve">Przyjmuje się regulację dotyczącą stopniowego wejścia w życie:</w:t>
      </w:r>
      <w:r>
        <w:t xml:space="preserve"> </w:t>
      </w:r>
      <w:r>
        <w:t xml:space="preserve">zakaz zabijania piskląt kury wchodzi w życie dnia 1 stycznia 2022 r., a zakaz zabiegów na jaju kurzym i przerywania procesu inkubacji – dopiero dnia 1 stycznia 2024 r.</w:t>
      </w:r>
      <w:r>
        <w:t xml:space="preserve"> </w:t>
      </w:r>
      <w:r>
        <w:t xml:space="preserve">Da to branży czas na dostosowanie się do nowej sytuacji prawnej.</w:t>
      </w:r>
      <w:r>
        <w:t xml:space="preserve"> </w:t>
      </w:r>
    </w:p>
    <w:p w14:paraId="56F0426A" w14:textId="77777777" w:rsidR="003C6535" w:rsidRPr="00774080" w:rsidRDefault="003C6535" w:rsidP="003C6535">
      <w:pPr>
        <w:pStyle w:val="VorblattTitelAlternativen"/>
      </w:pPr>
      <w:r>
        <w:t xml:space="preserve">C. Alternatywy</w:t>
      </w:r>
    </w:p>
    <w:p w14:paraId="5A30BC6A" w14:textId="77777777" w:rsidR="003C6535" w:rsidRPr="00774080" w:rsidRDefault="003C6535" w:rsidP="003C6535">
      <w:pPr>
        <w:pStyle w:val="Text"/>
      </w:pPr>
      <w:r>
        <w:t xml:space="preserve">Nieuwzględnienie tych dwóch zakazów lub jedynie stwierdzenie, że nie ma rozsądnego powodu do zabijania piskląt i powodowania śmierci zarodków kurzych, nie pozwoliłoby na osiągnięcie celu, jakim jest zapobieganie zabijaniu piskląt lub zarodków kurzych i skuteczne egzekwowanie tego.</w:t>
      </w:r>
      <w:r>
        <w:t xml:space="preserve"> </w:t>
      </w:r>
      <w:r>
        <w:t xml:space="preserve">W związku z tym nie są widoczne żadne równie odpowiednie alternatywy legislacyjne.</w:t>
      </w:r>
      <w:r>
        <w:t xml:space="preserve"> </w:t>
      </w:r>
      <w:r>
        <w:t xml:space="preserve">Regulacjom tym towarzyszą środki mające na celu wzmocnienie hodowli i wykorzystania ras użytkowanych dwukierunkowo.</w:t>
      </w:r>
    </w:p>
    <w:p w14:paraId="1AB91B88" w14:textId="77777777" w:rsidR="003C6535" w:rsidRPr="00774080" w:rsidRDefault="003C6535" w:rsidP="003C6535">
      <w:pPr>
        <w:pStyle w:val="VorblattTitelHaushaltsausgabenohneErfllungsaufwand"/>
      </w:pPr>
      <w:r>
        <w:t xml:space="preserve">D. Wydatki budżetowe bez kosztów realizacji</w:t>
      </w:r>
    </w:p>
    <w:p w14:paraId="4A61EEE5" w14:textId="77777777" w:rsidR="003C6535" w:rsidRPr="00774080" w:rsidRDefault="003C6535" w:rsidP="003C6535">
      <w:pPr>
        <w:pStyle w:val="Text"/>
      </w:pPr>
      <w:r>
        <w:t xml:space="preserve">W związku z ustawą nie powstają wydatki budżetowe bez kosztów realizacji.</w:t>
      </w:r>
      <w:r>
        <w:t xml:space="preserve"> </w:t>
      </w:r>
    </w:p>
    <w:p w14:paraId="2A16B3C4" w14:textId="77777777" w:rsidR="003C6535" w:rsidRPr="00774080" w:rsidRDefault="003C6535" w:rsidP="003C6535">
      <w:pPr>
        <w:pStyle w:val="VorblattTitelErfllungsaufwand"/>
      </w:pPr>
      <w:r>
        <w:t xml:space="preserve">E. Koszty realizacji</w:t>
      </w:r>
    </w:p>
    <w:p w14:paraId="43FB213F" w14:textId="77777777" w:rsidR="003C6535" w:rsidRPr="00774080" w:rsidRDefault="003C6535" w:rsidP="003C6535">
      <w:pPr>
        <w:pStyle w:val="VorblattTitelErfllungsaufwandBrgerinnenundBrger"/>
      </w:pPr>
      <w:r>
        <w:t xml:space="preserve">E.1 Koszty realizacji obciążające obywateli</w:t>
      </w:r>
    </w:p>
    <w:p w14:paraId="14374CD3" w14:textId="77777777" w:rsidR="003C6535" w:rsidRPr="00774080" w:rsidRDefault="003C6535" w:rsidP="003C6535">
      <w:pPr>
        <w:pStyle w:val="Text"/>
      </w:pPr>
      <w:r>
        <w:t xml:space="preserve">W związku z ustawą nie powstają koszty realizacji obciążające obywateli.</w:t>
      </w:r>
    </w:p>
    <w:p w14:paraId="288AF373" w14:textId="77777777" w:rsidR="003C6535" w:rsidRPr="00774080" w:rsidRDefault="003C6535" w:rsidP="003C6535">
      <w:pPr>
        <w:pStyle w:val="VorblattTitelErfllungsaufwandWirtschaft"/>
      </w:pPr>
      <w:r>
        <w:t xml:space="preserve">E.2 Koszty realizacji obciążające gospodarkę</w:t>
      </w:r>
    </w:p>
    <w:p w14:paraId="75AA507A" w14:textId="77777777" w:rsidR="003C6535" w:rsidRPr="00774080" w:rsidRDefault="003C6535" w:rsidP="003C6535">
      <w:pPr>
        <w:pStyle w:val="Text"/>
      </w:pPr>
      <w:r>
        <w:t xml:space="preserve">Dla gospodarki ustawa powoduje roczne koszty realizacji wynoszące około 147,5 mln euro.</w:t>
      </w:r>
      <w:r>
        <w:t xml:space="preserve"> </w:t>
      </w:r>
    </w:p>
    <w:p w14:paraId="21DE4006" w14:textId="77777777" w:rsidR="003C6535" w:rsidRPr="00774080" w:rsidRDefault="003C6535" w:rsidP="003C6535">
      <w:pPr>
        <w:pStyle w:val="VorblattTitelBrokratiekostenausInformationspflichten"/>
      </w:pPr>
      <w:r>
        <w:t xml:space="preserve">W tym koszty administracyjne wynikające z obowiązków informacyjnych</w:t>
      </w:r>
    </w:p>
    <w:p w14:paraId="664AE8A4" w14:textId="77777777" w:rsidR="003C6535" w:rsidRPr="00774080" w:rsidRDefault="003C6535" w:rsidP="003C6535">
      <w:pPr>
        <w:pStyle w:val="Text"/>
      </w:pPr>
      <w:r>
        <w:t xml:space="preserve">Brak.</w:t>
      </w:r>
    </w:p>
    <w:p w14:paraId="62CBB9D6" w14:textId="77777777" w:rsidR="003C6535" w:rsidRPr="00774080" w:rsidRDefault="003C6535" w:rsidP="003C6535">
      <w:pPr>
        <w:pStyle w:val="VorblattTitelErfllungsaufwandVerwaltung"/>
      </w:pPr>
      <w:r>
        <w:t xml:space="preserve">E.3 Koszty realizacji obciążające administrację</w:t>
      </w:r>
    </w:p>
    <w:p w14:paraId="3CA533EA" w14:textId="77777777" w:rsidR="003C6535" w:rsidRPr="00774080" w:rsidRDefault="003C6535" w:rsidP="003C6535">
      <w:pPr>
        <w:pStyle w:val="Text"/>
      </w:pPr>
      <w:r>
        <w:t xml:space="preserve">Nie oczekuje się żadnych zmian w zakresie kosztów realizacji obciążających administrację.</w:t>
      </w:r>
      <w:r>
        <w:t xml:space="preserve"> </w:t>
      </w:r>
    </w:p>
    <w:p w14:paraId="28C56470" w14:textId="77777777" w:rsidR="003C6535" w:rsidRPr="00774080" w:rsidRDefault="003C6535" w:rsidP="003C6535">
      <w:pPr>
        <w:pStyle w:val="VorblattTitelWeitereKosten"/>
      </w:pPr>
      <w:r>
        <w:t xml:space="preserve">F. Dalsze koszty</w:t>
      </w:r>
    </w:p>
    <w:p w14:paraId="37AADAA7" w14:textId="77777777" w:rsidR="00793A16" w:rsidRPr="00774080" w:rsidRDefault="00793A16" w:rsidP="003C6535">
      <w:pPr>
        <w:pStyle w:val="Text"/>
      </w:pPr>
      <w:r>
        <w:t xml:space="preserve">Ustawa może spowodować wzrost ceny jaj w sprzedaży detalicznej, ponieważ branża może przenieść ponoszone przez siebie koszty na konsumenta końcowego.</w:t>
      </w:r>
    </w:p>
    <w:p w14:paraId="30931AD3" w14:textId="77777777" w:rsidR="003C6535" w:rsidRPr="00774080" w:rsidRDefault="003C6535" w:rsidP="003C6535">
      <w:pPr>
        <w:pStyle w:val="Text"/>
      </w:pPr>
    </w:p>
    <w:p w14:paraId="1678E88C" w14:textId="77777777" w:rsidR="00571B26" w:rsidRPr="00774080" w:rsidRDefault="00571B26">
      <w:pPr>
        <w:sectPr w:rsidR="00571B26" w:rsidRPr="00774080" w:rsidSect="00955160">
          <w:headerReference w:type="default" r:id="rId8"/>
          <w:headerReference w:type="first" r:id="rId9"/>
          <w:pgSz w:w="11907" w:h="16839"/>
          <w:pgMar w:top="1134" w:right="1417" w:bottom="1134" w:left="1701" w:header="709" w:footer="709" w:gutter="0"/>
          <w:pgNumType w:start="1"/>
          <w:cols w:space="708"/>
          <w:titlePg/>
          <w:docGrid w:linePitch="360"/>
        </w:sectPr>
      </w:pPr>
    </w:p>
    <w:p w14:paraId="377DF8CF" w14:textId="77777777" w:rsidR="002B6ABF" w:rsidRPr="00774080" w:rsidRDefault="004B1EAC" w:rsidP="000D500B">
      <w:pPr>
        <w:pStyle w:val="Dokumentstatus"/>
        <w:jc w:val="center"/>
      </w:pPr>
      <w:r>
        <w:t xml:space="preserve">Projekt ustawy rządu federalnego</w:t>
      </w:r>
    </w:p>
    <w:p w14:paraId="76BEEEA5" w14:textId="4C3BA99A" w:rsidR="002B6ABF" w:rsidRPr="00774080" w:rsidRDefault="004F1F90" w:rsidP="00144702">
      <w:pPr>
        <w:pStyle w:val="Bezeichnungnderungsdokument"/>
      </w:pPr>
      <w:r>
        <w:t xml:space="preserve">Projekt ustawy o zmianie ustawy o ochronie zwierząt – Zakaz zabijania piskląt</w:t>
      </w:r>
      <w:r w:rsidR="00144702" w:rsidRPr="00774080">
        <w:rPr>
          <w:rStyle w:val="FootnoteReference"/>
        </w:rPr>
        <w:footnoteReference w:id="2"/>
      </w:r>
      <w:r w:rsidR="00144702" w:rsidRPr="00774080">
        <w:rPr>
          <w:rStyle w:val="FootnoteReference"/>
        </w:rPr>
        <w:t>)</w:t>
      </w:r>
      <w:r>
        <w:rPr>
          <w:rStyle w:val="FootnoteReference"/>
        </w:rPr>
        <w:t xml:space="preserve">)</w:t>
      </w:r>
    </w:p>
    <w:p w14:paraId="15D61ACB" w14:textId="77777777" w:rsidR="002B6ABF" w:rsidRPr="00774080" w:rsidRDefault="002B6ABF">
      <w:pPr>
        <w:pStyle w:val="Ausfertigungsdatumnderungsdokument"/>
      </w:pPr>
      <w:r>
        <w:t xml:space="preserve">Z dnia ...</w:t>
      </w:r>
    </w:p>
    <w:p w14:paraId="51CE921F" w14:textId="77777777" w:rsidR="002B6ABF" w:rsidRPr="00774080" w:rsidRDefault="002B6ABF" w:rsidP="00561226">
      <w:pPr>
        <w:pStyle w:val="EingangsformelStandardnderungsdokument"/>
      </w:pPr>
      <w:r>
        <w:t xml:space="preserve">Bundestag uchwalił następującą ustawę:</w:t>
      </w:r>
    </w:p>
    <w:p w14:paraId="7CC887D3" w14:textId="0801ECFC" w:rsidR="002B6ABF" w:rsidRPr="00774080" w:rsidRDefault="00DC4328" w:rsidP="00DC4328">
      <w:pPr>
        <w:pStyle w:val="ArtikelBezeichner"/>
        <w:numPr>
          <w:ilvl w:val="0"/>
          <w:numId w:val="0"/>
        </w:numPr>
      </w:pPr>
      <w:r>
        <w:t xml:space="preserve">Artykuł 1</w:t>
      </w:r>
    </w:p>
    <w:p w14:paraId="340F9E51" w14:textId="77777777" w:rsidR="002B6ABF" w:rsidRPr="00774080" w:rsidRDefault="00561226">
      <w:pPr>
        <w:pStyle w:val="Artikelberschrift"/>
      </w:pPr>
      <w:r>
        <w:t xml:space="preserve">Zmiana ustawy o ochronie zwierząt</w:t>
      </w:r>
    </w:p>
    <w:p w14:paraId="56395C38" w14:textId="0D3C753A" w:rsidR="00561226" w:rsidRPr="00774080" w:rsidRDefault="00263A3C" w:rsidP="00144702">
      <w:pPr>
        <w:pStyle w:val="JuristischerAbsatznichtnummeriert"/>
      </w:pPr>
      <w:r>
        <w:t xml:space="preserve">Po § 4b ustawy o ochronie zwierząt w brzmieniu ogłoszonym dnia 18 maja 2006 r. (Federalny Dz.U.</w:t>
      </w:r>
      <w:r>
        <w:t xml:space="preserve"> </w:t>
      </w:r>
      <w:r>
        <w:t xml:space="preserve">I s. 1206, 1313), ostatnio zmienionej [….], dodaje się § 4c w brzmieniu:</w:t>
      </w:r>
    </w:p>
    <w:p w14:paraId="7193C587" w14:textId="77777777" w:rsidR="002D2BC0" w:rsidRPr="00774080" w:rsidRDefault="002D2BC0" w:rsidP="001216CA">
      <w:pPr>
        <w:pStyle w:val="RevisionParagraphBezeichnermanuell"/>
        <w:ind w:left="425" w:hanging="75"/>
      </w:pPr>
      <w:r>
        <w:t xml:space="preserve">„§ 4c</w:t>
      </w:r>
    </w:p>
    <w:p w14:paraId="4D0DCF8B" w14:textId="6369DAD4" w:rsidR="006705B2" w:rsidRPr="00774080" w:rsidRDefault="006705B2" w:rsidP="006705B2">
      <w:pPr>
        <w:pStyle w:val="RevisionJuristischerAbsatz"/>
        <w:numPr>
          <w:ilvl w:val="2"/>
          <w:numId w:val="0"/>
        </w:numPr>
        <w:tabs>
          <w:tab w:val="left" w:pos="1275"/>
        </w:tabs>
        <w:ind w:left="425" w:firstLine="425"/>
      </w:pPr>
      <w:r>
        <w:t xml:space="preserve">Zabrania się zabijania piskląt kury domowej gatunku </w:t>
      </w:r>
      <w:r>
        <w:rPr>
          <w:i/>
          <w:iCs/>
        </w:rPr>
        <w:t xml:space="preserve">Gallus gallus</w:t>
      </w:r>
      <w:r>
        <w:t xml:space="preserve">, które pochodzą z linii hodowlanych nastawionych na nieśność.</w:t>
      </w:r>
      <w:r>
        <w:t xml:space="preserve"> </w:t>
      </w:r>
      <w:r>
        <w:t xml:space="preserve">Zakaz ten nie ma zastosowania</w:t>
      </w:r>
      <w:r>
        <w:t xml:space="preserve"> </w:t>
      </w:r>
    </w:p>
    <w:p w14:paraId="25DFD8F2" w14:textId="77777777" w:rsidR="006705B2" w:rsidRPr="00774080" w:rsidRDefault="006705B2" w:rsidP="00774080">
      <w:pPr>
        <w:pStyle w:val="RevisionNummerierungStufe1"/>
        <w:keepNext/>
        <w:tabs>
          <w:tab w:val="clear" w:pos="425"/>
          <w:tab w:val="num" w:pos="850"/>
        </w:tabs>
        <w:ind w:left="850"/>
      </w:pPr>
      <w:r>
        <w:t xml:space="preserve">w przypadku, gdy zabicie piskląt</w:t>
      </w:r>
      <w:r>
        <w:t xml:space="preserve"> </w:t>
      </w:r>
    </w:p>
    <w:p w14:paraId="17928067" w14:textId="77777777" w:rsidR="006705B2" w:rsidRPr="00774080" w:rsidRDefault="006705B2" w:rsidP="006705B2">
      <w:pPr>
        <w:pStyle w:val="RevisionNummerierungStufe2"/>
        <w:tabs>
          <w:tab w:val="clear" w:pos="850"/>
          <w:tab w:val="num" w:pos="1275"/>
        </w:tabs>
        <w:ind w:left="1275"/>
      </w:pPr>
      <w:r>
        <w:t xml:space="preserve">zostało zalecone lub nakazane zgodnie z przepisami dotyczącymi zdrowia zwierząt lub</w:t>
      </w:r>
    </w:p>
    <w:p w14:paraId="6A54A3A4" w14:textId="77777777" w:rsidR="006705B2" w:rsidRPr="00774080" w:rsidRDefault="006705B2" w:rsidP="006705B2">
      <w:pPr>
        <w:pStyle w:val="RevisionNummerierungStufe2"/>
        <w:tabs>
          <w:tab w:val="clear" w:pos="850"/>
          <w:tab w:val="num" w:pos="1275"/>
        </w:tabs>
        <w:ind w:left="1275"/>
      </w:pPr>
      <w:r>
        <w:t xml:space="preserve">jest konieczne w indywidualnych sytuacjach ze względu na dobrostan zwierząt,</w:t>
      </w:r>
    </w:p>
    <w:p w14:paraId="4C16BB92" w14:textId="77777777" w:rsidR="006705B2" w:rsidRPr="00774080" w:rsidRDefault="006705B2" w:rsidP="006705B2">
      <w:pPr>
        <w:pStyle w:val="RevisionNummerierungStufe1"/>
        <w:tabs>
          <w:tab w:val="clear" w:pos="425"/>
          <w:tab w:val="num" w:pos="850"/>
        </w:tabs>
        <w:ind w:left="850"/>
      </w:pPr>
      <w:r>
        <w:t xml:space="preserve">do piskląt niezdolnych do wylęgu,</w:t>
      </w:r>
    </w:p>
    <w:p w14:paraId="1F26A695" w14:textId="77777777" w:rsidR="006705B2" w:rsidRPr="00774080" w:rsidRDefault="006705B2" w:rsidP="006705B2">
      <w:pPr>
        <w:pStyle w:val="RevisionNummerierungStufe1"/>
        <w:tabs>
          <w:tab w:val="clear" w:pos="425"/>
          <w:tab w:val="num" w:pos="850"/>
        </w:tabs>
        <w:ind w:left="850"/>
      </w:pPr>
      <w:r>
        <w:t xml:space="preserve">do piskląt (kurczątek), o których mowa w art. 1 pkt 1 lit. a) rozporządzenia Komisji (WE) nr 543/2008 z dnia 16 czerwca 2008 r. wprowadzającego szczegółowe przepisy wykonawcze do rozporządzenia Rady (WE) nr 1234/2007 w sprawie niektórych norm handlowych w odniesieniu do mięsa drobiowego (Dz.U. L 157 z 17.6.2008, s. 46), ostatnio zmienionego rozporządzeniem Komisji (UE) nr 519/2013 z dnia 21 lutego 2013 r. (Dz.U. L 158 z 10.6.2013, s. 74), oraz</w:t>
      </w:r>
    </w:p>
    <w:p w14:paraId="28D1741A" w14:textId="77777777" w:rsidR="006705B2" w:rsidRPr="00774080" w:rsidRDefault="006705B2" w:rsidP="00774080">
      <w:pPr>
        <w:pStyle w:val="RevisionNummerierungStufe1"/>
        <w:keepNext/>
        <w:tabs>
          <w:tab w:val="clear" w:pos="425"/>
          <w:tab w:val="num" w:pos="850"/>
        </w:tabs>
        <w:ind w:left="850"/>
      </w:pPr>
      <w:r>
        <w:t xml:space="preserve">do piskląt,</w:t>
      </w:r>
      <w:r>
        <w:t xml:space="preserve"> </w:t>
      </w:r>
    </w:p>
    <w:p w14:paraId="065FD859" w14:textId="77777777" w:rsidR="006705B2" w:rsidRPr="00774080" w:rsidRDefault="006705B2" w:rsidP="00796FE3">
      <w:pPr>
        <w:pStyle w:val="RevisionNummerierungStufe3"/>
      </w:pPr>
      <w:r>
        <w:t xml:space="preserve">które są przeznaczone do wykorzystania w doświadczeniach na zwierzętach lub</w:t>
      </w:r>
    </w:p>
    <w:p w14:paraId="25FB8C13" w14:textId="77777777" w:rsidR="006705B2" w:rsidRPr="00774080" w:rsidRDefault="006705B2" w:rsidP="00796FE3">
      <w:pPr>
        <w:pStyle w:val="RevisionNummerierungStufe3"/>
      </w:pPr>
      <w:r>
        <w:t xml:space="preserve">których tkanki lub organy są przeznaczone do wykorzystania do celów naukowych.”.</w:t>
      </w:r>
    </w:p>
    <w:p w14:paraId="3E398227" w14:textId="3DB2B0D0" w:rsidR="00B74AA8" w:rsidRPr="00774080" w:rsidRDefault="00DC4328" w:rsidP="00DC4328">
      <w:pPr>
        <w:pStyle w:val="ArtikelBezeichner"/>
        <w:numPr>
          <w:ilvl w:val="0"/>
          <w:numId w:val="0"/>
        </w:numPr>
      </w:pPr>
      <w:r>
        <w:t xml:space="preserve">Artykuł 2</w:t>
      </w:r>
    </w:p>
    <w:p w14:paraId="3F42F66C" w14:textId="77777777" w:rsidR="00B74AA8" w:rsidRPr="00774080" w:rsidRDefault="00B74AA8" w:rsidP="005911C7">
      <w:pPr>
        <w:pStyle w:val="Artikelberschrift"/>
      </w:pPr>
      <w:r>
        <w:t xml:space="preserve">Dalsza zmiana ustawy o ochronie zwierząt</w:t>
      </w:r>
    </w:p>
    <w:p w14:paraId="06F4686D" w14:textId="77777777" w:rsidR="00B74AA8" w:rsidRPr="00774080" w:rsidRDefault="00B74AA8" w:rsidP="00774080">
      <w:pPr>
        <w:pStyle w:val="JuristischerAbsatznichtnummeriert"/>
        <w:keepNext/>
      </w:pPr>
      <w:r>
        <w:t xml:space="preserve">W ustawie o ochronie zwierząt, którą zmieniono ostatnio artykułem 1 niniejszej ustawy, wprowadza się następujące zmiany:</w:t>
      </w:r>
    </w:p>
    <w:p w14:paraId="6956D33E" w14:textId="77777777" w:rsidR="00E35578" w:rsidRPr="00774080" w:rsidRDefault="00E35578" w:rsidP="00774080">
      <w:pPr>
        <w:pStyle w:val="NummerierungStufe1"/>
        <w:keepNext/>
      </w:pPr>
      <w:r>
        <w:t xml:space="preserve">W § 4c wprowadza się następujące zmiany:</w:t>
      </w:r>
    </w:p>
    <w:p w14:paraId="42F2F3D3" w14:textId="77777777" w:rsidR="00761C51" w:rsidRPr="00774080" w:rsidRDefault="00761C51" w:rsidP="00735C5B">
      <w:pPr>
        <w:pStyle w:val="NummerierungStufe2"/>
      </w:pPr>
      <w:r>
        <w:t xml:space="preserve">Dotychczasowy tekst staje się ustępem 1.</w:t>
      </w:r>
    </w:p>
    <w:p w14:paraId="7D80BA9E" w14:textId="77777777" w:rsidR="00B74AA8" w:rsidRPr="00774080" w:rsidRDefault="00761C51" w:rsidP="00774080">
      <w:pPr>
        <w:pStyle w:val="NummerierungStufe2"/>
        <w:keepNext/>
      </w:pPr>
      <w:r>
        <w:t xml:space="preserve">Dodaje się ust. 2 w brzmieniu:</w:t>
      </w:r>
    </w:p>
    <w:p w14:paraId="4E843EDA" w14:textId="77777777" w:rsidR="00F565A0" w:rsidRPr="00774080" w:rsidRDefault="00B74AA8" w:rsidP="001216CA">
      <w:pPr>
        <w:pStyle w:val="RevisionJuristischerAbsatzmanuell"/>
        <w:tabs>
          <w:tab w:val="clear" w:pos="850"/>
          <w:tab w:val="left" w:pos="1700"/>
        </w:tabs>
        <w:ind w:left="850" w:firstLine="350"/>
      </w:pPr>
      <w:r>
        <w:t xml:space="preserve">„(2) Od siódmego dnia inkubacji, podczas lub po zastosowaniu metody określania płci w jaju kurzym, zabronione jest</w:t>
      </w:r>
    </w:p>
    <w:p w14:paraId="426C09FC" w14:textId="77777777" w:rsidR="00F565A0" w:rsidRPr="00774080" w:rsidRDefault="00F565A0" w:rsidP="001216CA">
      <w:pPr>
        <w:pStyle w:val="RevisionJuristischerAbsatzmanuell"/>
        <w:numPr>
          <w:ilvl w:val="0"/>
          <w:numId w:val="1"/>
        </w:numPr>
        <w:tabs>
          <w:tab w:val="clear" w:pos="850"/>
          <w:tab w:val="left" w:pos="1700"/>
        </w:tabs>
        <w:ind w:left="850" w:firstLine="425"/>
      </w:pPr>
      <w:r>
        <w:t xml:space="preserve">przeprowadzanie zabiegu na jaju kurzym, który powoduje śmierć zarodka kury, i</w:t>
      </w:r>
    </w:p>
    <w:p w14:paraId="45C7EBC0" w14:textId="77777777" w:rsidR="00B74AA8" w:rsidRPr="00774080" w:rsidRDefault="00F316A3" w:rsidP="001216CA">
      <w:pPr>
        <w:pStyle w:val="RevisionJuristischerAbsatzmanuell"/>
        <w:numPr>
          <w:ilvl w:val="0"/>
          <w:numId w:val="1"/>
        </w:numPr>
        <w:tabs>
          <w:tab w:val="clear" w:pos="850"/>
          <w:tab w:val="left" w:pos="1700"/>
        </w:tabs>
        <w:ind w:left="850" w:firstLine="425"/>
      </w:pPr>
      <w:r>
        <w:t xml:space="preserve">dokonywanie przerwania procesu inkubacji, które powoduje śmierć zarodka kury.”.</w:t>
      </w:r>
      <w:r>
        <w:t xml:space="preserve"> </w:t>
      </w:r>
    </w:p>
    <w:p w14:paraId="21AC1179" w14:textId="77777777" w:rsidR="00903F6C" w:rsidRPr="00774080" w:rsidRDefault="00903F6C" w:rsidP="00774080">
      <w:pPr>
        <w:pStyle w:val="NummerierungStufe1"/>
        <w:keepNext/>
      </w:pPr>
      <w:r>
        <w:t xml:space="preserve">Po § 18 ust. 1 pkt 6 dodaje się pkt 6a w brzmieniu:</w:t>
      </w:r>
    </w:p>
    <w:p w14:paraId="612717EF" w14:textId="77777777" w:rsidR="00E35578" w:rsidRPr="00774080" w:rsidRDefault="00903F6C" w:rsidP="001216CA">
      <w:pPr>
        <w:pStyle w:val="RevisionNummerierungStufe1manuell"/>
        <w:tabs>
          <w:tab w:val="clear" w:pos="425"/>
          <w:tab w:val="left" w:pos="925"/>
        </w:tabs>
        <w:ind w:left="925" w:hanging="500"/>
      </w:pPr>
      <w:r>
        <w:t xml:space="preserve">„6a. wbrew § 4c ust. 2 dokonuje określonego tam zabiegu lub przerwania inkubacji,”.</w:t>
      </w:r>
    </w:p>
    <w:p w14:paraId="33CE28E1" w14:textId="7460DF8E" w:rsidR="002B6ABF" w:rsidRPr="00774080" w:rsidRDefault="00774080" w:rsidP="00774080">
      <w:pPr>
        <w:pStyle w:val="ArtikelBezeichner"/>
        <w:numPr>
          <w:ilvl w:val="0"/>
          <w:numId w:val="0"/>
        </w:numPr>
      </w:pPr>
      <w:r>
        <w:t xml:space="preserve">Artykuł 3</w:t>
      </w:r>
    </w:p>
    <w:p w14:paraId="07031FA6" w14:textId="77777777" w:rsidR="002B6ABF" w:rsidRPr="00774080" w:rsidRDefault="002B6ABF">
      <w:pPr>
        <w:pStyle w:val="Artikelberschrift"/>
      </w:pPr>
      <w:r>
        <w:t xml:space="preserve">Wejście w życie</w:t>
      </w:r>
    </w:p>
    <w:p w14:paraId="1DE1E9F7" w14:textId="77777777" w:rsidR="00485DDD" w:rsidRPr="00774080" w:rsidRDefault="00485DDD" w:rsidP="00774080">
      <w:pPr>
        <w:pStyle w:val="JuristischerAbsatznummeriert"/>
        <w:numPr>
          <w:ilvl w:val="2"/>
          <w:numId w:val="28"/>
        </w:numPr>
      </w:pPr>
      <w:r>
        <w:t xml:space="preserve">Niniejsza ustawa wchodzi w życie, z zastrzeżeniem ust. 2, dnia 1 stycznia 2022 r.</w:t>
      </w:r>
    </w:p>
    <w:p w14:paraId="7ED96738" w14:textId="77777777" w:rsidR="00485DDD" w:rsidRPr="00774080" w:rsidRDefault="00485DDD" w:rsidP="00485DDD">
      <w:pPr>
        <w:pStyle w:val="JuristischerAbsatznummeriert"/>
      </w:pPr>
      <w:r>
        <w:t xml:space="preserve">Artykuł 2 wchodzi w życie dnia 1 stycznia 2024 r.</w:t>
      </w:r>
    </w:p>
    <w:p w14:paraId="7559BBE9" w14:textId="77777777" w:rsidR="00F6304A" w:rsidRPr="00774080" w:rsidRDefault="00F6304A" w:rsidP="009623BC"/>
    <w:p w14:paraId="0E8AE17E" w14:textId="77777777" w:rsidR="00C43356" w:rsidRPr="00774080" w:rsidRDefault="00C43356" w:rsidP="00C43356">
      <w:pPr>
        <w:sectPr w:rsidR="00C43356" w:rsidRPr="00774080" w:rsidSect="00955160">
          <w:pgSz w:w="11907" w:h="16839"/>
          <w:pgMar w:top="1134" w:right="1417" w:bottom="1134" w:left="1701" w:header="709" w:footer="709" w:gutter="0"/>
          <w:cols w:space="708"/>
          <w:docGrid w:linePitch="360"/>
        </w:sectPr>
      </w:pPr>
    </w:p>
    <w:p w14:paraId="00F95E64" w14:textId="77777777" w:rsidR="002B6ABF" w:rsidRPr="00774080" w:rsidRDefault="002B6ABF" w:rsidP="00606ED5">
      <w:pPr>
        <w:pStyle w:val="BegrndungTitel"/>
      </w:pPr>
      <w:r>
        <w:t xml:space="preserve">Uzasadnienie</w:t>
      </w:r>
    </w:p>
    <w:p w14:paraId="79A6DDF8" w14:textId="77777777" w:rsidR="002B6ABF" w:rsidRPr="00774080" w:rsidRDefault="002B6ABF" w:rsidP="00606ED5">
      <w:pPr>
        <w:pStyle w:val="BegrndungAllgemeinerTeil"/>
      </w:pPr>
      <w:r>
        <w:t xml:space="preserve">A. Część ogólna</w:t>
      </w:r>
    </w:p>
    <w:p w14:paraId="119E636A" w14:textId="77777777" w:rsidR="002B6ABF" w:rsidRPr="00774080" w:rsidRDefault="002B6ABF" w:rsidP="00606ED5">
      <w:pPr>
        <w:pStyle w:val="berschriftrmischBegrndung"/>
      </w:pPr>
      <w:r>
        <w:t xml:space="preserve">Cel i konieczność stworzenia regulacji</w:t>
      </w:r>
    </w:p>
    <w:p w14:paraId="0458A351" w14:textId="77777777" w:rsidR="00C37492" w:rsidRPr="00774080" w:rsidRDefault="00795460" w:rsidP="00795460">
      <w:pPr>
        <w:pStyle w:val="Text"/>
      </w:pPr>
      <w:r>
        <w:t xml:space="preserve">Na rok 2019 Federalny Urząd Statystyczny donosi o wylęgu około 45 milionów tak zwanych „piskląt użytkowych kur niosek”.</w:t>
      </w:r>
      <w:r>
        <w:t xml:space="preserve"> </w:t>
      </w:r>
      <w:r>
        <w:t xml:space="preserve">„Pisklęta użytkowe kur niosek” to pisklęta płci żeńskiej, które po odchowie są wykorzystywane jako nioski i dlatego pochodzą głównie z linii hodowlanych, które w przeciwieństwie do ras użytkowanych dwukierunkowo są specjalnie nastawione na wysoką nieśność.</w:t>
      </w:r>
      <w:r>
        <w:t xml:space="preserve"> </w:t>
      </w:r>
    </w:p>
    <w:p w14:paraId="577E0AAE" w14:textId="77777777" w:rsidR="00795460" w:rsidRPr="00774080" w:rsidRDefault="00C37492" w:rsidP="00795460">
      <w:pPr>
        <w:pStyle w:val="Text"/>
      </w:pPr>
      <w:r>
        <w:t xml:space="preserve">W takich liniach hodowlanych wykluwa się obok 45 milionów piskląt użytkowych kur niosek także około 45 milionów piskląt płci męskiej.</w:t>
      </w:r>
      <w:r>
        <w:t xml:space="preserve"> </w:t>
      </w:r>
      <w:r>
        <w:t xml:space="preserve">Te pisklęta płci męskiej są odrzucane u producentów z przyczyn ekonomicznych, ponieważ pisklęta płci męskiej wyrastają na koguty, które nie składają jaj.</w:t>
      </w:r>
      <w:r>
        <w:t xml:space="preserve"> </w:t>
      </w:r>
      <w:r>
        <w:t xml:space="preserve">Ponadto koguty wykazują mniejszą wydajność tuczu jako brojlery.</w:t>
      </w:r>
      <w:r>
        <w:t xml:space="preserve"> </w:t>
      </w:r>
      <w:r>
        <w:t xml:space="preserve">Z tego powodu zdecydowana większość piskląt płci męskiej jest obecnie zabijana w wylęgarniach tuż po wylęgu.</w:t>
      </w:r>
      <w:r>
        <w:t xml:space="preserve"> </w:t>
      </w:r>
      <w:r>
        <w:t xml:space="preserve">Zabijanie odbywa się zazwyczaj poprzez wpuszczanie dwutlenku węgla o wysokim stężeniu.</w:t>
      </w:r>
      <w:r>
        <w:t xml:space="preserve"> </w:t>
      </w:r>
    </w:p>
    <w:p w14:paraId="196C8E27" w14:textId="77777777" w:rsidR="00795460" w:rsidRPr="00774080" w:rsidRDefault="00C37492" w:rsidP="00795460">
      <w:pPr>
        <w:pStyle w:val="Text"/>
      </w:pPr>
      <w:r>
        <w:t xml:space="preserve">Ustawa o ochronie zwierząt stanowi w § 1 zdanie pierwsze, że zwierzęta mają być chronione:</w:t>
      </w:r>
      <w:r>
        <w:t xml:space="preserve"> </w:t>
      </w:r>
      <w:r>
        <w:t xml:space="preserve">„Celem tej ustawy jest ochrona życia i dobrostanu zwierząt wynikająca z odpowiedzialności człowieka za nie jako za inne stworzenia.” Z wnioskowania z przeciwieństwa z § 1 zdanie drugie ustawy o ochronie zwierząt wynika, że zwierzętom można mimo to zadawać ból, cierpienie lub krzywdę, gdy istnieje ku temu rozsądny powód.</w:t>
      </w:r>
      <w:r>
        <w:t xml:space="preserve"> </w:t>
      </w:r>
      <w:r>
        <w:t xml:space="preserve">W wyrokach z dnia 13 czerwca 2019 r. (BVerwG 3 C 29.16, BVerwG 3 C 28.16) Federalny Sąd Administracyjny stwierdził, że – w świetle włączonego do ustawy zasadniczej państwowego celu ochrony zwierząt (art. 20a ustawy zasadniczej) – uśmiercanie piskląt płci męskiej nie opiera się już samo w sobie według dzisiejszych wartości na rozsądnym powodzie w rozumieniu § 1 zdanie drugie ustawy o ochronie zwierząt.</w:t>
      </w:r>
      <w:r>
        <w:t xml:space="preserve"> </w:t>
      </w:r>
      <w:r>
        <w:t xml:space="preserve">Pojęcie rozsądnego powodu ma na celu zrównoważenie prawnie chronionych interesów posiadaczy zwierząt i interesów dobrostanu zwierząt.</w:t>
      </w:r>
      <w:r>
        <w:t xml:space="preserve"> </w:t>
      </w:r>
      <w:r>
        <w:t xml:space="preserve">Federalny Sąd Administracyjny stwierdził, że przy ważeniu sprzecznych interesów interes dobrostanu zwierząt przeważa nad interesem ekonomicznym wylęgarni w zakresie unikania kosztów następczych dla piskląt płci męskiej z linii nieśnych.</w:t>
      </w:r>
      <w:r>
        <w:t xml:space="preserve"> </w:t>
      </w:r>
      <w:r>
        <w:t xml:space="preserve">Fakt, że pisklęta z linii nieśnych i z linii do użytkowania dwukierunkowego są znacznie mniej odpowiednie do tuczu niż pisklęta z linii do tuczu, jest wynikiem hodowli ukierunkowanej przede wszystkim na rentowność i opartej na niej metody produkcji.</w:t>
      </w:r>
      <w:r>
        <w:t xml:space="preserve"> </w:t>
      </w:r>
      <w:r>
        <w:t xml:space="preserve">Systematyczne uśmiercanie piskląt płci męskiej z linii nieśnych nie jest zgodne z podstawową ideą ustawy o ochronie zwierząt, dotyczącą zapewnienia równowagi między dobrostanem zwierząt a interesami człowieka w wykorzystywaniu ich.</w:t>
      </w:r>
      <w:r>
        <w:t xml:space="preserve"> </w:t>
      </w:r>
      <w:r>
        <w:t xml:space="preserve">Etycznie uzasadniona ochrona życia zgodnie z koncepcją ustawy o ochronie zwierząt jest nie tylko odłożona na bok w przypadku tych zwierząt, lecz całkowicie zaniechana.</w:t>
      </w:r>
      <w:r>
        <w:t xml:space="preserve"> </w:t>
      </w:r>
      <w:r>
        <w:t xml:space="preserve">Produkuje się je ze świadomością, że zostaną natychmiast zabite (por. Federalny Sąd Administracyjny, wyroki z dnia 13 czerwca 2019 r. – 3 C 28/16, 3 C 29/16 –, juris, pkt 26).</w:t>
      </w:r>
    </w:p>
    <w:p w14:paraId="749638F2" w14:textId="77777777" w:rsidR="00795460" w:rsidRPr="00774080" w:rsidRDefault="00795460" w:rsidP="00795460">
      <w:pPr>
        <w:pStyle w:val="Text"/>
      </w:pPr>
      <w:r>
        <w:t xml:space="preserve">Ponieważ pojęcie rozsądnego powodu zawarte w § 1 zdanie drugie ustawy o ochronie zwierząt ma na celu osiągnięcie równowagi między prawnie chronionymi interesami posiadaczy zwierząt a interesami związanymi z dobrostanem zwierząt, nie należy jednak lekceważyć również dotychczasowej praktyki i szczególnych interesów posiadaczy zwierząt w przypadku zmiany sposobu funkcjonowania.</w:t>
      </w:r>
      <w:r>
        <w:t xml:space="preserve"> </w:t>
      </w:r>
      <w:r>
        <w:t xml:space="preserve">Ponadto można przewidzieć, że w niedalekiej przyszłości możliwe będzie określanie płci w jaju oraz możliwe wydaje się również zwiększenie możliwości wykorzystania kur z linii do użytkowania dwukierunkowego.</w:t>
      </w:r>
      <w:r>
        <w:t xml:space="preserve"> </w:t>
      </w:r>
      <w:r>
        <w:t xml:space="preserve">W takiej sytuacji nie byłoby właściwą równowagą interesów w rozumieniu § 1 zdanie drugie ustawy o ochronie zwierząt zakazanie dalszego uśmiercania piskląt płci męskiej w wylęgarniach bez okresu przejściowego, który umożliwiłby im oczekiwanie na konkretnie przewidywalną możliwość zastosowania metod określania płci w jaju, a w międzyczasie również na ewentualny dalszy rozwój linii do użytkowania dwukierunkowego.</w:t>
      </w:r>
      <w:r>
        <w:t xml:space="preserve"> </w:t>
      </w:r>
      <w:r>
        <w:t xml:space="preserve">W przypadku braku takiego okresu przejściowego wylęgarnie byłyby zmuszone najpierw umożliwić, dużym kosztem, chów piskląt płci męskiej, aby następnie, prawdopodobnie nieco później, wprowadzić metodę określania płci w jaju lub przestawić swoje funkcjonowanie na wylęg jaj z ulepszonych linii do użytkowania dwukierunkowego.</w:t>
      </w:r>
      <w:r>
        <w:t xml:space="preserve"> </w:t>
      </w:r>
      <w:r>
        <w:t xml:space="preserve">Z uwagi na szczególne okoliczności uniknięcie takiej podwójnej zmiany byłoby rozsądnym powodem do tymczasowego kontynuowania dotychczasowej praktyki.</w:t>
      </w:r>
      <w:r>
        <w:t xml:space="preserve"> </w:t>
      </w:r>
      <w:r>
        <w:t xml:space="preserve">W razie zakwestionowania rozsądnego powodu do uśmiercenia piskląt płci męskiej niezależnie od czasu potrzebnego na przestawienie gospodarstw nie można by odpowiednio uwzględnić interesów posiadaczy zwierząt zasługujących na ochronę (por. Federalny Sąd Administracyjny, wyroki z dnia 13 czerwca 2019 r. – 3 C 28/16, 3 C 29/16 –, juris, pkt 28–31).</w:t>
      </w:r>
    </w:p>
    <w:p w14:paraId="42138065" w14:textId="77777777" w:rsidR="00C37492" w:rsidRPr="00774080" w:rsidRDefault="00C37492" w:rsidP="00795460">
      <w:pPr>
        <w:pStyle w:val="Text"/>
      </w:pPr>
      <w:r>
        <w:t xml:space="preserve">Niezależnie od tych dwóch wyroków i związanych z nimi postępowań sądowych już od lat istnieje polityczne zapotrzebowanie, by branża drobiarska zrezygnowała z zabijania piskląt.</w:t>
      </w:r>
      <w:r>
        <w:t xml:space="preserve"> </w:t>
      </w:r>
      <w:r>
        <w:t xml:space="preserve">W odniesieniu do tego finansowano z jednej strony projekty badawcze w zakresie wykorzystania kurcząt użytkowanych dwukierunkowo.</w:t>
      </w:r>
      <w:r>
        <w:t xml:space="preserve"> </w:t>
      </w:r>
      <w:r>
        <w:t xml:space="preserve">Ponadto w ramach projektów badawczych, które były również wspierane ze środków publicznych, udało się opracować praktyczne metody określania płci piskląt jeszcze przed ich wykluciem.</w:t>
      </w:r>
      <w:r>
        <w:t xml:space="preserve"> </w:t>
      </w:r>
      <w:r>
        <w:t xml:space="preserve">Tak więc jaja, z których wyklułyby się pisklęta płci męskiej, mogą być oddzielane, tak aby nie następowało zabijanie tych piskląt.</w:t>
      </w:r>
      <w:r>
        <w:t xml:space="preserve"> </w:t>
      </w:r>
    </w:p>
    <w:p w14:paraId="01316C80" w14:textId="77777777" w:rsidR="00D178D1" w:rsidRPr="00774080" w:rsidRDefault="00B74AA8" w:rsidP="00795460">
      <w:pPr>
        <w:pStyle w:val="Text"/>
      </w:pPr>
      <w:r>
        <w:t xml:space="preserve">Zgodnie z aktualną wiedzą naukową zarodek kury nie jest jeszcze w stanie odczuwać bólu przed siódmym dniem inkubacji</w:t>
      </w:r>
      <w:r w:rsidR="00106CCC" w:rsidRPr="00774080">
        <w:rPr>
          <w:rStyle w:val="FootnoteReference"/>
        </w:rPr>
        <w:footnoteReference w:id="3"/>
      </w:r>
      <w:r>
        <w:t xml:space="preserve">.</w:t>
      </w:r>
      <w:r>
        <w:t xml:space="preserve"> </w:t>
      </w:r>
      <w:r>
        <w:t xml:space="preserve">Od siódmego dnia inkubacji nie można wykluczyć rozpoczynającego się rozwoju odczuwania bólu.</w:t>
      </w:r>
      <w:r>
        <w:t xml:space="preserve"> </w:t>
      </w:r>
      <w:r>
        <w:t xml:space="preserve">W związku z tym zabronione są zabiegi na jaju kurzym od siódmego dnia inkubacji podczas lub po zastosowaniu metod określania płci w jaju, które powodują śmierć zarodka kury, w tym przerwanie procesu inkubacji.</w:t>
      </w:r>
      <w:r>
        <w:t xml:space="preserve"> </w:t>
      </w:r>
      <w:r>
        <w:t xml:space="preserve">Zarodek kury rozwija się w jaju podczas inkubacji i wykluwa się po 20–21 dniach.</w:t>
      </w:r>
      <w:r>
        <w:t xml:space="preserve"> </w:t>
      </w:r>
      <w:r>
        <w:t xml:space="preserve">Zgodnie z aktualną wiedzą naukową zakłada się, że zarodek kury nie ma zdolności do odczuwania bólu przed siódmym dniem inkubacji.</w:t>
      </w:r>
      <w:r>
        <w:t xml:space="preserve"> </w:t>
      </w:r>
      <w:r>
        <w:t xml:space="preserve">Od pewnego momentu po szóstym dniu inkubacji rozwija się odczuwanie bólu przez zarodek i zgodnie z aktualnym stanem wiedzy jest ono w pełni ukształtowane od 15. dnia inkubacji.</w:t>
      </w:r>
      <w:r>
        <w:t xml:space="preserve"> </w:t>
      </w:r>
      <w:r>
        <w:t xml:space="preserve">Dlatego też, ze względu na dobrostan zwierząt, należy odrzucić nie tylko zabicie wyklutego pisklęcia, ale również, począwszy od siódmego dnia inkubacji, zabiegi na jaju kurzym i przerwanie procesu inkubacji, które prowadzą do śmierci potencjalnie odczuwającego ból zarodka kury.</w:t>
      </w:r>
      <w:r>
        <w:t xml:space="preserve"> </w:t>
      </w:r>
      <w:r>
        <w:t xml:space="preserve">Im dłużej trwa proces wylęgu, począwszy od siódmego dnia inkubacji, tym bardziej można założyć, że z punktu widzenia dobrostanu zwierząt nie może być mowy o żadnej lub istotnej różnicy między spowodowaniem śmierci zarodka kury a zabiciem wyklutego pisklęcia.</w:t>
      </w:r>
      <w:r>
        <w:t xml:space="preserve"> </w:t>
      </w:r>
      <w:r>
        <w:t xml:space="preserve">Faza rozwoju zarodkowego aż do wylęgu pisklęcia kury jest zatem włączana do zakresu regulacyjnego zmiany ustawy.</w:t>
      </w:r>
      <w:r>
        <w:t xml:space="preserve"> </w:t>
      </w:r>
      <w:r>
        <w:t xml:space="preserve">Należy unikać przy tym sytuacji, w której długi okres przejściowy stanowiłby zachętę do inwestowania w pierwszej kolejności w metody określania płci stosowane po siódmym dniu inkubacji.</w:t>
      </w:r>
      <w:r>
        <w:t xml:space="preserve"> </w:t>
      </w:r>
    </w:p>
    <w:p w14:paraId="601C1AC1" w14:textId="77777777" w:rsidR="002B6ABF" w:rsidRPr="00774080" w:rsidRDefault="00F62817" w:rsidP="00F62817">
      <w:pPr>
        <w:pStyle w:val="berschriftrmischBegrndung"/>
      </w:pPr>
      <w:r>
        <w:t xml:space="preserve">Istotna treść projektu</w:t>
      </w:r>
      <w:r>
        <w:t xml:space="preserve"> </w:t>
      </w:r>
    </w:p>
    <w:p w14:paraId="313B370E" w14:textId="77777777" w:rsidR="00795460" w:rsidRPr="00774080" w:rsidRDefault="00795460" w:rsidP="00795460">
      <w:pPr>
        <w:pStyle w:val="Text"/>
      </w:pPr>
      <w:r>
        <w:t xml:space="preserve">W celu ochrony interesów dobrostanu zwierząt niniejszy projekt ustawy wprowadza do ustawy o ochronie zwierząt zakaz zabijania piskląt kury.</w:t>
      </w:r>
      <w:r>
        <w:t xml:space="preserve"> </w:t>
      </w:r>
      <w:r>
        <w:t xml:space="preserve">Zakaz obejmuje również zwierzęta hodowlane i reprodukcyjne.</w:t>
      </w:r>
    </w:p>
    <w:p w14:paraId="47BBEA54" w14:textId="77777777" w:rsidR="00451BE0" w:rsidRPr="00774080" w:rsidRDefault="00451BE0" w:rsidP="00451BE0">
      <w:pPr>
        <w:pStyle w:val="Text"/>
      </w:pPr>
      <w:r>
        <w:t xml:space="preserve">Ponadto wprowadzany jest zakaz zabiegów na jaju kurzym i przerywania procesu inkubacji od jej siódmego dnia, które są przeprowadzane podczas lub po zastosowaniu metody określania płci w jaju i które powodują śmierć zarodka kury.</w:t>
      </w:r>
    </w:p>
    <w:p w14:paraId="0F1974FB" w14:textId="77777777" w:rsidR="00451BE0" w:rsidRPr="00774080" w:rsidRDefault="00451BE0" w:rsidP="00451BE0">
      <w:pPr>
        <w:pStyle w:val="Text"/>
      </w:pPr>
      <w:r>
        <w:t xml:space="preserve">Oba zakazy nie wchodzą jednak w życie natychmiast ani jednocześnie.</w:t>
      </w:r>
      <w:r>
        <w:t xml:space="preserve"> </w:t>
      </w:r>
      <w:r>
        <w:t xml:space="preserve">Przyjmuje się regulację dotyczącą stopniowego wejścia w życie:</w:t>
      </w:r>
      <w:r>
        <w:t xml:space="preserve"> </w:t>
      </w:r>
      <w:r>
        <w:t xml:space="preserve">zakaz zabijania piskląt kury wchodzi w życie dnia 1 stycznia 2022 r., a zakaz zabiegów na jaju kurzym i przerywania procesu inkubacji – dnia 1 stycznia 2024 r.</w:t>
      </w:r>
      <w:r>
        <w:t xml:space="preserve"> </w:t>
      </w:r>
      <w:r>
        <w:t xml:space="preserve">Da to branży czas na dostosowanie się do nowej sytuacji prawnej.</w:t>
      </w:r>
    </w:p>
    <w:p w14:paraId="5EA97A34" w14:textId="77777777" w:rsidR="002B6ABF" w:rsidRPr="00774080" w:rsidRDefault="002B6ABF" w:rsidP="00606ED5">
      <w:pPr>
        <w:pStyle w:val="berschriftrmischBegrndung"/>
      </w:pPr>
      <w:r>
        <w:t xml:space="preserve">Alternatywy</w:t>
      </w:r>
    </w:p>
    <w:p w14:paraId="26C1FF80" w14:textId="77777777" w:rsidR="00AE798D" w:rsidRPr="00774080" w:rsidRDefault="00795460" w:rsidP="00AE798D">
      <w:pPr>
        <w:pStyle w:val="Text"/>
      </w:pPr>
      <w:r>
        <w:t xml:space="preserve">Nieuwzględnienie tych dwóch zakazów lub jedynie stwierdzenie, że nie ma rozsądnego powodu do zabijania piskląt i powodowania śmierci zarodków kurzych, nie pozwoliłoby na osiągnięcie celu, jakim jest zapobieganie zabijaniu piskląt lub powodowaniu śmierci zarodków kurzych i skuteczne egzekwowanie tego.</w:t>
      </w:r>
      <w:r>
        <w:t xml:space="preserve"> </w:t>
      </w:r>
      <w:r>
        <w:t xml:space="preserve">W związku z tym nie są widoczne żadne równie odpowiednie alternatywy legislacyjne.</w:t>
      </w:r>
      <w:r>
        <w:t xml:space="preserve"> </w:t>
      </w:r>
      <w:r>
        <w:t xml:space="preserve">Regulacjom tym towarzyszą środki mające na celu wzmocnienie hodowli i wykorzystania ras użytkowanych dwukierunkowo.</w:t>
      </w:r>
    </w:p>
    <w:p w14:paraId="7B738679" w14:textId="77777777" w:rsidR="002B6ABF" w:rsidRPr="00774080" w:rsidRDefault="002B6ABF" w:rsidP="00AE798D">
      <w:pPr>
        <w:pStyle w:val="berschriftrmischBegrndung"/>
      </w:pPr>
      <w:r>
        <w:t xml:space="preserve">Kompetencje ustawodawcze</w:t>
      </w:r>
    </w:p>
    <w:p w14:paraId="19FAB9E9" w14:textId="0C80DDD3" w:rsidR="00795460" w:rsidRPr="00774080" w:rsidRDefault="00795460" w:rsidP="00795460">
      <w:pPr>
        <w:pStyle w:val="Text"/>
      </w:pPr>
      <w:r>
        <w:t xml:space="preserve">Kompetencje ustawodawcze Federacji w zakresie zmian zawartych w ustawie wynikają z art. 74 ust. 1 pkt 20 (ochrona zwierząt, prawo o środkach spożywczych, łącznie ze zwierzętami wykorzystywanymi do ich produkcji) ustawy zasadniczej.</w:t>
      </w:r>
      <w:r>
        <w:t xml:space="preserve"> </w:t>
      </w:r>
      <w:r>
        <w:t xml:space="preserve">Kompetencje ustawodawcze Federacji w zakresie niezbędnych przepisów dotyczących grzywien opierają się na art. 74 ust. 1 pkt 1 przypadek drugi ustawy zasadniczej (prawo karne).</w:t>
      </w:r>
    </w:p>
    <w:p w14:paraId="42BACD20" w14:textId="77777777" w:rsidR="00795460" w:rsidRPr="00774080" w:rsidRDefault="00795460" w:rsidP="00795460">
      <w:pPr>
        <w:pStyle w:val="Text"/>
      </w:pPr>
      <w:r>
        <w:t xml:space="preserve">W niniejszej sprawie regulacja federalna jest konieczna do zachowania jedności prawnej i gospodarczej w interesie państwa jako całości w rozumieniu art. 72 ust. 2 ustawy zasadniczej, ponieważ regulacja, która ma zostać przyjęta w niniejszej sprawie, musi mieć zastosowanie w równym stopniu do wszystkich odnośnych zwierząt, które są wykorzystywane do produkcji środków spożywczych, jak i do wszystkich podmiotów gospodarczych na terytorium federalnym, tak aby zwierzęta te były objęte taką samą ochroną na całym terytorium federalnym, a wszystkie podmioty gospodarcze na terytorium federalnym musiały spełnić takie same warunki i wymagania dotyczące ich działalności w tym zakresie.</w:t>
      </w:r>
    </w:p>
    <w:p w14:paraId="135C2848" w14:textId="77777777" w:rsidR="002B6ABF" w:rsidRPr="00774080" w:rsidRDefault="002B6ABF" w:rsidP="00606ED5">
      <w:pPr>
        <w:pStyle w:val="berschriftrmischBegrndung"/>
      </w:pPr>
      <w:r>
        <w:t xml:space="preserve">Zgodność z prawem Unii Europejskiej i umowami międzynarodowymi</w:t>
      </w:r>
    </w:p>
    <w:p w14:paraId="51821BF6" w14:textId="77777777" w:rsidR="00795460" w:rsidRPr="00774080" w:rsidRDefault="00795460" w:rsidP="00795460">
      <w:pPr>
        <w:pStyle w:val="Text"/>
      </w:pPr>
      <w:r>
        <w:t xml:space="preserve">Niniejszy projekt ustawy jest zgodny z prawem Unii Europejskiej oraz umowami międzynarodowymi, które zostały zawarte przez Republikę Federalną Niemiec.</w:t>
      </w:r>
    </w:p>
    <w:p w14:paraId="077782FD" w14:textId="77777777" w:rsidR="002B6ABF" w:rsidRPr="00774080" w:rsidRDefault="00795460" w:rsidP="00795460">
      <w:pPr>
        <w:pStyle w:val="Text"/>
      </w:pPr>
      <w:r>
        <w:t xml:space="preserve">W szczególności projekt ustawy jest zgodny z rozporządzeniem Rady (WE) nr 1099/2009 w sprawie ochrony zwierząt podczas ich uśmiercania, ponieważ rozporządzenie to reguluje sposób, w jaki zwierzęta mogą być uśmiercane, a nie to, czy mogą być uśmiercane.</w:t>
      </w:r>
      <w:r>
        <w:t xml:space="preserve"> </w:t>
      </w:r>
      <w:r>
        <w:t xml:space="preserve">W związku z tym proponowana tutaj regulacja nie wchodzi w zakres stosowania rozporządzenia (WE) nr 1099/2009.</w:t>
      </w:r>
    </w:p>
    <w:p w14:paraId="0EE8D67D" w14:textId="77777777" w:rsidR="002B6ABF" w:rsidRPr="00774080" w:rsidRDefault="002B6ABF" w:rsidP="00606ED5">
      <w:pPr>
        <w:pStyle w:val="berschriftrmischBegrndung"/>
      </w:pPr>
      <w:r>
        <w:t xml:space="preserve">Skutki prawne</w:t>
      </w:r>
    </w:p>
    <w:p w14:paraId="15794431" w14:textId="77777777" w:rsidR="002B6ABF" w:rsidRPr="00774080" w:rsidRDefault="002B6ABF" w:rsidP="002B6ABF">
      <w:pPr>
        <w:pStyle w:val="berschriftarabischBegrndung"/>
      </w:pPr>
      <w:r>
        <w:t xml:space="preserve">Uproszczenie prawa i procedur administracyjnych</w:t>
      </w:r>
    </w:p>
    <w:p w14:paraId="6839C9EA" w14:textId="77777777" w:rsidR="002B6ABF" w:rsidRPr="00774080" w:rsidRDefault="00151D1A" w:rsidP="00606ED5">
      <w:pPr>
        <w:pStyle w:val="Text"/>
      </w:pPr>
      <w:r>
        <w:t xml:space="preserve">Nie upraszcza ani uchyla się żadnych regulacji.</w:t>
      </w:r>
    </w:p>
    <w:p w14:paraId="0C04061B" w14:textId="77777777" w:rsidR="002B6ABF" w:rsidRPr="00774080" w:rsidRDefault="002B6ABF" w:rsidP="00606ED5">
      <w:pPr>
        <w:pStyle w:val="berschriftarabischBegrndung"/>
      </w:pPr>
      <w:r>
        <w:t xml:space="preserve">Aspekty zrównoważonego rozwoju</w:t>
      </w:r>
    </w:p>
    <w:p w14:paraId="116AE319" w14:textId="77777777" w:rsidR="00BA72BF" w:rsidRPr="00774080" w:rsidRDefault="007768AF" w:rsidP="00BA72BF">
      <w:pPr>
        <w:pStyle w:val="Text"/>
      </w:pPr>
      <w:r>
        <w:t xml:space="preserve">Regulacje niniejszego projektu ustawy są trwale zrównoważone w rozumieniu niemieckiej strategii zrównoważonego rozwoju, ponieważ służą dobrostanowi zwierząt, a tym samym zrównoważonemu rolnictwu.</w:t>
      </w:r>
      <w:r>
        <w:t xml:space="preserve"> </w:t>
      </w:r>
      <w:r>
        <w:t xml:space="preserve">Projekt ustawy ma na celu zaprzestanie zabijania piskląt, które są odrzucane ze względu na interesy ekonomiczne.</w:t>
      </w:r>
      <w:r>
        <w:t xml:space="preserve"> </w:t>
      </w:r>
    </w:p>
    <w:p w14:paraId="4C96ECC7" w14:textId="77777777" w:rsidR="007768AF" w:rsidRPr="00774080" w:rsidRDefault="007768AF" w:rsidP="007768AF">
      <w:pPr>
        <w:pStyle w:val="Text"/>
      </w:pPr>
      <w:r>
        <w:t xml:space="preserve">Projekt jest zatem zgodny z zasadami bardziej zrównoważonego rozwoju w zakresie poszanowania dobrostanu zwierząt gospodarskich i poprawy </w:t>
      </w:r>
      <w:r>
        <w:rPr>
          <w:rStyle w:val="acopre"/>
        </w:rPr>
        <w:t xml:space="preserve">etyki żywieniowej</w:t>
      </w:r>
      <w:r>
        <w:t xml:space="preserve"> społeczeństwa, zarówno w odniesieniu do produkcji żywności, jak i handlu nią.</w:t>
      </w:r>
      <w:r>
        <w:t xml:space="preserve"> </w:t>
      </w:r>
      <w:r>
        <w:t xml:space="preserve">W związku z tym regulacja wspiera w szczególności osiągnięcie celu zrównoważonego rozwoju nr 2 „Wyeliminować głód, osiągnąć bezpieczeństwo żywnościowe i lepsze odżywianie oraz promować zrównoważone rolnictwo”.</w:t>
      </w:r>
      <w:r>
        <w:t xml:space="preserve"> </w:t>
      </w:r>
      <w:r>
        <w:t xml:space="preserve">Ponadto uwzględnia się zasadę zrównoważonego rozwoju pkt 4 „Wzmocnienie zrównoważonej gospodarki”, w szczególności ppkt 4c) „Zrównoważone rolnictwo i rybołówstwo muszą być produktywne, konkurencyjne oraz zrównoważone pod względem społecznym i środowiskowym; w szczególności muszą one [...] przestrzegać wymogów dotyczących dobrostanu zwierząt [...]”.</w:t>
      </w:r>
    </w:p>
    <w:p w14:paraId="55067F0F" w14:textId="77777777" w:rsidR="002B6ABF" w:rsidRPr="00774080" w:rsidRDefault="002B6ABF" w:rsidP="002B6ABF">
      <w:pPr>
        <w:pStyle w:val="berschriftarabischBegrndung"/>
      </w:pPr>
      <w:r>
        <w:t xml:space="preserve">Wydatki budżetowe bez kosztów realizacji</w:t>
      </w:r>
    </w:p>
    <w:p w14:paraId="75454A72" w14:textId="77777777" w:rsidR="002B6ABF" w:rsidRPr="00774080" w:rsidRDefault="00151D1A" w:rsidP="00606ED5">
      <w:pPr>
        <w:pStyle w:val="Text"/>
      </w:pPr>
      <w:r>
        <w:t xml:space="preserve">W związku z projektem nie powstają wydatki budżetowe bez kosztów realizacji.</w:t>
      </w:r>
    </w:p>
    <w:p w14:paraId="7E45FC1C" w14:textId="77777777" w:rsidR="00A75A00" w:rsidRPr="00774080" w:rsidRDefault="002B6ABF" w:rsidP="00A75A00">
      <w:pPr>
        <w:pStyle w:val="berschriftarabischBegrndung"/>
      </w:pPr>
      <w:r>
        <w:t xml:space="preserve">Koszty realizacji</w:t>
      </w:r>
    </w:p>
    <w:p w14:paraId="5DE5B262" w14:textId="77777777" w:rsidR="00A75A00" w:rsidRPr="00774080" w:rsidRDefault="00A75A00" w:rsidP="00275036">
      <w:pPr>
        <w:pStyle w:val="berschriftrmischBegrndung"/>
        <w:numPr>
          <w:ilvl w:val="0"/>
          <w:numId w:val="0"/>
        </w:numPr>
      </w:pPr>
      <w:r>
        <w:t xml:space="preserve">4.1.</w:t>
      </w:r>
      <w:r>
        <w:t xml:space="preserve"> </w:t>
      </w:r>
      <w:r>
        <w:t xml:space="preserve">Koszty realizacji obciążające obywateli</w:t>
      </w:r>
    </w:p>
    <w:p w14:paraId="4FF94F50" w14:textId="77777777" w:rsidR="00A75A00" w:rsidRPr="00774080" w:rsidRDefault="00A75A00" w:rsidP="00A75A00">
      <w:pPr>
        <w:pStyle w:val="Text"/>
      </w:pPr>
      <w:r>
        <w:t xml:space="preserve">Dla obywateli nie powstają koszty realizacji.</w:t>
      </w:r>
    </w:p>
    <w:p w14:paraId="2A64979D" w14:textId="77777777" w:rsidR="00A75A00" w:rsidRPr="00774080" w:rsidRDefault="00A75A00" w:rsidP="00774080">
      <w:pPr>
        <w:pStyle w:val="Text"/>
        <w:keepNext/>
        <w:rPr>
          <w:b/>
        </w:rPr>
      </w:pPr>
      <w:r>
        <w:rPr>
          <w:b/>
        </w:rPr>
        <w:t xml:space="preserve">4.2.</w:t>
      </w:r>
      <w:r>
        <w:rPr>
          <w:b/>
        </w:rPr>
        <w:t xml:space="preserve"> </w:t>
      </w:r>
      <w:r>
        <w:rPr>
          <w:b/>
        </w:rPr>
        <w:t xml:space="preserve">Koszty realizacji obciążające gospodarkę</w:t>
      </w:r>
      <w:r>
        <w:rPr>
          <w:b/>
        </w:rPr>
        <w:t xml:space="preserve"> </w:t>
      </w:r>
    </w:p>
    <w:p w14:paraId="70193CEC" w14:textId="77777777" w:rsidR="002B6ABF" w:rsidRPr="00774080" w:rsidRDefault="00D84EE7" w:rsidP="00606ED5">
      <w:pPr>
        <w:pStyle w:val="Text"/>
      </w:pPr>
      <w:r>
        <w:t xml:space="preserve">Projekt ustawy prowadzi do obciążenia gospodarki kosztami realizacji.</w:t>
      </w:r>
      <w:r>
        <w:t xml:space="preserve"> </w:t>
      </w:r>
      <w:r>
        <w:t xml:space="preserve">Nie oczekuje się żadnych zmian w zakresie kosztów realizacji obciążających obywateli i administrację.</w:t>
      </w:r>
      <w:r>
        <w:t xml:space="preserve"> </w:t>
      </w:r>
      <w:r>
        <w:t xml:space="preserve">Oszacowanie kosztów realizacji opiera się na obliczeniach Federalnego Urzędu Statystycznego.</w:t>
      </w:r>
      <w:r>
        <w:t xml:space="preserve"> </w:t>
      </w:r>
      <w:r>
        <w:t xml:space="preserve">Informacje dotyczące wykorzystanych liczb przypadków i nakładów czasu opierają się na badaniach internetowych, danych z Federalnego Urzędu Statystycznego i wywiadach telefonicznych.</w:t>
      </w:r>
    </w:p>
    <w:p w14:paraId="1343103D" w14:textId="77777777" w:rsidR="00D84EE7" w:rsidRPr="00774080" w:rsidRDefault="00D84EE7" w:rsidP="00606ED5">
      <w:pPr>
        <w:pStyle w:val="Text"/>
      </w:pPr>
      <w:r>
        <w:t xml:space="preserve">Ze względu na zakaz zabijania piskląt projekt ustawy prowadzi do powstania rocznych kosztów realizacji obciążających gospodarkę w wysokości około 147,5 mln euro.</w:t>
      </w:r>
    </w:p>
    <w:p w14:paraId="0ED2BA39" w14:textId="77777777" w:rsidR="00BF62F0" w:rsidRPr="00774080" w:rsidRDefault="00BF62F0" w:rsidP="00BF62F0">
      <w:pPr>
        <w:pStyle w:val="Text"/>
      </w:pPr>
      <w:r>
        <w:t xml:space="preserve">Wpływ na roczne koszty realizacji zależy od konkretnej metody wybranej przez odnośne wylęgarnie jako alternatywa dla uśmiercania piskląt.</w:t>
      </w:r>
      <w:r>
        <w:t xml:space="preserve"> </w:t>
      </w:r>
      <w:r>
        <w:t xml:space="preserve">Stosowanie metody określania płci w jaju jako usługi, tzn. z wykorzystaniem procedury licencyjnej, prowadzi do zwiększenia kosztów dla handlu żywnością i zakładów przetwórczych.</w:t>
      </w:r>
      <w:r>
        <w:t xml:space="preserve"> </w:t>
      </w:r>
      <w:r>
        <w:t xml:space="preserve">Ponieważ nie jest jeszcze możliwe określenie dokładnej wysokości opłat licencyjnych, jako wartość przybliżoną stosuje się dodatkową opłatę za jajo w skorupce</w:t>
      </w:r>
      <w:r w:rsidRPr="00774080">
        <w:rPr>
          <w:rStyle w:val="FootnoteReference"/>
        </w:rPr>
        <w:footnoteReference w:id="4"/>
      </w:r>
      <w:r w:rsidRPr="00774080">
        <w:rPr>
          <w:rStyle w:val="FootnoteReference"/>
        </w:rPr>
        <w:t>)</w:t>
      </w:r>
      <w:r>
        <w:rPr>
          <w:rStyle w:val="FootnoteReference"/>
        </w:rPr>
        <w:t xml:space="preserve">)</w:t>
      </w:r>
      <w:r>
        <w:t xml:space="preserve"> oszacowaną przez jednego z dostawców dotychczasowej metody.</w:t>
      </w:r>
      <w:r>
        <w:t xml:space="preserve"> </w:t>
      </w:r>
      <w:r>
        <w:t xml:space="preserve">W tym względzie liczba jaj wyprodukowanych w ramach opłat licencyjnych odpowiada liczbie przypadków.</w:t>
      </w:r>
      <w:r>
        <w:t xml:space="preserve"> </w:t>
      </w:r>
    </w:p>
    <w:p w14:paraId="453EC9D0" w14:textId="77777777" w:rsidR="00CC02F5" w:rsidRPr="00774080" w:rsidRDefault="00BF62F0" w:rsidP="00CC02F5">
      <w:pPr>
        <w:pStyle w:val="Text"/>
      </w:pPr>
      <w:r>
        <w:t xml:space="preserve">Dodatkowy koszt za jajo pochodzące z gospodarstwa wykorzystującego metodę określania płci w jaju wylęgowym szacuje się na 1–3 centy za jedno jajo w skorupce</w:t>
      </w:r>
      <w:r w:rsidR="00DF31C3" w:rsidRPr="00774080">
        <w:rPr>
          <w:rStyle w:val="FootnoteReference"/>
        </w:rPr>
        <w:footnoteReference w:id="5"/>
      </w:r>
      <w:r w:rsidR="00DF31C3" w:rsidRPr="00774080">
        <w:rPr>
          <w:rStyle w:val="FootnoteReference"/>
        </w:rPr>
        <w:t>)</w:t>
      </w:r>
      <w:r>
        <w:rPr>
          <w:rStyle w:val="FootnoteReference"/>
        </w:rPr>
        <w:t xml:space="preserve">)</w:t>
      </w:r>
      <w:r>
        <w:t xml:space="preserve">.</w:t>
      </w:r>
      <w:r>
        <w:t xml:space="preserve"> </w:t>
      </w:r>
      <w:r>
        <w:t xml:space="preserve">W swojej obecnej formie metoda ta jest ukierunkowana na handel, ponieważ opłaty licencyjne są ponoszone przez zakłady pakowania jaj.</w:t>
      </w:r>
      <w:r>
        <w:t xml:space="preserve"> </w:t>
      </w:r>
      <w:r>
        <w:t xml:space="preserve">Koszty logistyki są już uwzględnione w kalkulacji dostawcy usług.</w:t>
      </w:r>
    </w:p>
    <w:p w14:paraId="14D117BE" w14:textId="77777777" w:rsidR="001E35CB" w:rsidRPr="00774080" w:rsidRDefault="00BF62F0" w:rsidP="00BF62F0">
      <w:pPr>
        <w:pStyle w:val="Text"/>
      </w:pPr>
      <w:r>
        <w:t xml:space="preserve">W 2019 r. w Niemczech wyprodukowano w sumie około 15 miliardów jaj</w:t>
      </w:r>
      <w:r w:rsidR="00A436AD" w:rsidRPr="00774080">
        <w:rPr>
          <w:rStyle w:val="FootnoteReference"/>
        </w:rPr>
        <w:footnoteReference w:id="6"/>
      </w:r>
      <w:r w:rsidR="00A436AD" w:rsidRPr="00774080">
        <w:rPr>
          <w:rStyle w:val="FootnoteReference"/>
        </w:rPr>
        <w:t>)</w:t>
      </w:r>
      <w:r>
        <w:rPr>
          <w:rStyle w:val="FootnoteReference"/>
        </w:rPr>
        <w:t xml:space="preserve">)</w:t>
      </w:r>
      <w:r>
        <w:t xml:space="preserve">.</w:t>
      </w:r>
      <w:r>
        <w:t xml:space="preserve"> </w:t>
      </w:r>
      <w:r>
        <w:t xml:space="preserve">Spośród nich łącznie około 12 miliardów jaj po odliczeniu eksportu zostało wyprodukowanych na użytek krajowy</w:t>
      </w:r>
      <w:r w:rsidR="00A436AD" w:rsidRPr="00774080">
        <w:rPr>
          <w:rStyle w:val="FootnoteReference"/>
        </w:rPr>
        <w:footnoteReference w:id="7"/>
      </w:r>
      <w:r w:rsidR="00A436AD" w:rsidRPr="00774080">
        <w:rPr>
          <w:rStyle w:val="FootnoteReference"/>
        </w:rPr>
        <w:t>)</w:t>
      </w:r>
      <w:r>
        <w:rPr>
          <w:rStyle w:val="FootnoteReference"/>
        </w:rPr>
        <w:t xml:space="preserve">)</w:t>
      </w:r>
      <w:r>
        <w:t xml:space="preserve">.</w:t>
      </w:r>
      <w:r>
        <w:t xml:space="preserve"> </w:t>
      </w:r>
    </w:p>
    <w:p w14:paraId="34888C12" w14:textId="77777777" w:rsidR="00CC02F5" w:rsidRPr="00774080" w:rsidRDefault="00CC02F5" w:rsidP="00CC02F5">
      <w:r>
        <w:t xml:space="preserve">Należy przy tym pamiętać, że w 2019 r. metoda określania płci została zastosowana na około 3 milionach jaj.</w:t>
      </w:r>
      <w:r>
        <w:t xml:space="preserve"> </w:t>
      </w:r>
      <w:r>
        <w:t xml:space="preserve">Ponadto obecnie hoduje się około 2,25 miliona kogutów.</w:t>
      </w:r>
      <w:r>
        <w:t xml:space="preserve"> </w:t>
      </w:r>
      <w:r>
        <w:t xml:space="preserve">Należy odliczyć te 5,25 miliona jaj.</w:t>
      </w:r>
    </w:p>
    <w:p w14:paraId="75726348" w14:textId="77777777" w:rsidR="00BF62F0" w:rsidRPr="00774080" w:rsidRDefault="00DF31C3" w:rsidP="00BF62F0">
      <w:pPr>
        <w:pStyle w:val="Text"/>
      </w:pPr>
      <w:r>
        <w:t xml:space="preserve">Pozostaje zatem około 12 miliardów jaj, dla których można przyjąć sprzedaż do handlu lub przemysłu spożywczego.</w:t>
      </w:r>
      <w:r>
        <w:t xml:space="preserve"> </w:t>
      </w:r>
      <w:r>
        <w:t xml:space="preserve">W przypadku przejścia wszystkich wylęgarni na wyżej wymienioną metodę należy się spodziewać rocznych kosztów realizacji wynikających z opłat licencyjnych w wysokości od 120 mln euro (12 mld * 0,01 euro) do 360 mln euro (12 mld * 0,03 euro).</w:t>
      </w:r>
      <w:r>
        <w:t xml:space="preserve"> </w:t>
      </w:r>
      <w:r>
        <w:t xml:space="preserve">Dla przedstawionego powyżej oszacowania zastosowano średnią wartość, tj. 0,02 euro.</w:t>
      </w:r>
    </w:p>
    <w:p w14:paraId="4057ABB4" w14:textId="77777777" w:rsidR="00BF62F0" w:rsidRPr="00774080" w:rsidRDefault="00BF62F0" w:rsidP="00BF62F0">
      <w:pPr>
        <w:pStyle w:val="Text"/>
      </w:pPr>
      <w:r>
        <w:t xml:space="preserve">Oszacowanie to opiera się na założeniu, że opłaty licencyjne pobierane przez dostawcę mogą być w całości wyprowadzone z dodatkowego kosztu przypadającego na jajo, który ustalono powyżej.</w:t>
      </w:r>
      <w:r>
        <w:t xml:space="preserve"> </w:t>
      </w:r>
      <w:r>
        <w:t xml:space="preserve">Ponadto ostateczne dodatkowe obciążenie zależy od struktury cenowej przewidywanej procedury licencyjnej.</w:t>
      </w:r>
    </w:p>
    <w:p w14:paraId="7E62FD9E" w14:textId="77777777" w:rsidR="00CC02F5" w:rsidRPr="00774080" w:rsidRDefault="00CC02F5" w:rsidP="00CC02F5">
      <w:pPr>
        <w:rPr>
          <w:rStyle w:val="acopre"/>
        </w:rPr>
      </w:pPr>
      <w:r>
        <w:t xml:space="preserve">Roczne zmniejszenie wydatków gospodarstw wynosi natomiast 92,4 mln euro (12 mld jaj * 0,0077 euro).</w:t>
      </w:r>
      <w:r>
        <w:t xml:space="preserve"> </w:t>
      </w:r>
      <w:r>
        <w:t xml:space="preserve">Dochody z uwzględnieniem oszczędności związanych z metodą określania płci obliczono na 0,0077 euro za jedno jajo wylęgowe</w:t>
      </w:r>
      <w:r w:rsidRPr="00774080">
        <w:rPr>
          <w:rStyle w:val="FootnoteReference"/>
        </w:rPr>
        <w:footnoteReference w:id="8"/>
      </w:r>
      <w:r w:rsidRPr="00774080">
        <w:rPr>
          <w:rStyle w:val="FootnoteReference"/>
        </w:rPr>
        <w:t>)</w:t>
      </w:r>
      <w:r>
        <w:rPr>
          <w:rStyle w:val="FootnoteReference"/>
        </w:rPr>
        <w:t xml:space="preserve">)</w:t>
      </w:r>
      <w:r>
        <w:t xml:space="preserve">.</w:t>
      </w:r>
      <w:r>
        <w:t xml:space="preserve"> </w:t>
      </w:r>
      <w:r>
        <w:t xml:space="preserve">Ujęte są w nich oszczędności dotyczące personelu, który ręcznie sortuje pisklęta </w:t>
      </w:r>
      <w:r>
        <w:rPr>
          <w:rStyle w:val="acopre"/>
        </w:rPr>
        <w:t xml:space="preserve">bezpośrednio po wylęgu, oraz oszczędności wynikające z mniejszej wydajności wylęgu wstępnego i redukcji kosztów energii w urządzeniu do wylęgu wstępnego.</w:t>
      </w:r>
    </w:p>
    <w:p w14:paraId="36A87F73" w14:textId="77777777" w:rsidR="00CC02F5" w:rsidRPr="00774080" w:rsidRDefault="00CC02F5" w:rsidP="00CC02F5">
      <w:pPr>
        <w:rPr>
          <w:color w:val="000000"/>
          <w:rFonts w:eastAsia="Times New Roman"/>
        </w:rPr>
      </w:pPr>
      <w:r>
        <w:t xml:space="preserve">W przypadku około 12 mld jaj przewiduje się, że roczne koszty realizacji wynikające z opłat licencyjnych, pomniejszone o ulgi, wyniosą od </w:t>
      </w:r>
      <w:r>
        <w:rPr>
          <w:color w:val="000000"/>
        </w:rPr>
        <w:t xml:space="preserve">27,6 </w:t>
      </w:r>
      <w:r>
        <w:t xml:space="preserve">mln euro (12 mld * (0,01-0,0077 euro)) do 267,5 </w:t>
      </w:r>
      <w:r>
        <w:rPr>
          <w:color w:val="000000"/>
        </w:rPr>
        <w:t xml:space="preserve">mln </w:t>
      </w:r>
      <w:r>
        <w:t xml:space="preserve">euro (12 mld * (0,03 -0,0077 euro)).</w:t>
      </w:r>
      <w:r>
        <w:t xml:space="preserve"> </w:t>
      </w:r>
      <w:r>
        <w:t xml:space="preserve">Szacowanie przy średniej wartości (0,02 </w:t>
      </w:r>
      <w:r>
        <w:noBreakHyphen/>
      </w:r>
      <w:r>
        <w:t xml:space="preserve">0,0077 euro) daje roczny koszt realizacji w wysokości </w:t>
      </w:r>
      <w:r>
        <w:rPr>
          <w:color w:val="000000"/>
        </w:rPr>
        <w:t xml:space="preserve">147,5 mln euro</w:t>
      </w:r>
      <w:r>
        <w:t xml:space="preserve">.</w:t>
      </w:r>
    </w:p>
    <w:p w14:paraId="792E2BBA" w14:textId="77777777" w:rsidR="00CC02F5" w:rsidRPr="00774080" w:rsidRDefault="00CC02F5" w:rsidP="00CC02F5">
      <w:pPr>
        <w:rPr>
          <w:rFonts w:eastAsia="Times New Roman"/>
        </w:rPr>
      </w:pPr>
      <w:r>
        <w:t xml:space="preserve">Zakłady zajmujące się obróbką i przetwarzaniem żywności pochodzenia zwierzęcego oraz wprowadzaniem jej do obrotu muszą być zatwierdzone przez właściwe władze, z określonymi wyjątkami.</w:t>
      </w:r>
      <w:r>
        <w:t xml:space="preserve"> </w:t>
      </w:r>
      <w:r>
        <w:t xml:space="preserve">Obecnie 2 436 zakładów pakowania jaj jest zarejestrowanych i uwidocznionych w bazie danych w Niemczech</w:t>
      </w:r>
      <w:r w:rsidRPr="00774080">
        <w:rPr>
          <w:rStyle w:val="FootnoteReference"/>
        </w:rPr>
        <w:footnoteReference w:id="9"/>
      </w:r>
      <w:r w:rsidRPr="00774080">
        <w:rPr>
          <w:rStyle w:val="FootnoteReference"/>
          <w:vertAlign w:val="baseline"/>
        </w:rPr>
        <w:t>)</w:t>
      </w:r>
      <w:r>
        <w:rPr>
          <w:rStyle w:val="FootnoteReference"/>
          <w:vertAlign w:val="baseline"/>
        </w:rPr>
        <w:t xml:space="preserve">)</w:t>
      </w:r>
      <w:r>
        <w:t xml:space="preserve">.</w:t>
      </w:r>
      <w:r>
        <w:t xml:space="preserve"> </w:t>
      </w:r>
      <w:r>
        <w:t xml:space="preserve">W związku z tym średnie dodatkowe roczne koszty realizacji na jeden zakład wynoszą ok. 60 600 euro.</w:t>
      </w:r>
      <w:r>
        <w:t xml:space="preserve"> </w:t>
      </w:r>
    </w:p>
    <w:p w14:paraId="7B506D50" w14:textId="77777777" w:rsidR="00CC02F5" w:rsidRPr="00774080" w:rsidRDefault="00CC02F5" w:rsidP="00CC02F5">
      <w:r>
        <w:t xml:space="preserve">Ponieważ w związku z wdrożeniem projektu regulacji ponoszone są bieżące koszty zewnętrzne, szczególne znaczenie ma badanie przydatności ekonomicznej i racjonalności dla przeciętnego zakładu pakującego (często </w:t>
      </w:r>
      <w:r>
        <w:rPr>
          <w:rStyle w:val="highlight"/>
        </w:rPr>
        <w:t xml:space="preserve">małych</w:t>
      </w:r>
      <w:r>
        <w:t xml:space="preserve"> i średnich przedsiębiorstw).</w:t>
      </w:r>
      <w:r>
        <w:t xml:space="preserve"> </w:t>
      </w:r>
      <w:r>
        <w:t xml:space="preserve">Również w tym względzie należy jednak podkreślić, że rozsądny wzrost kosztów nie powoduje, że przestrzeganie regulacji jest ekonomicznie nieuzasadnione, ponieważ ponoszone koszty w łańcuchu produkcyjnym są przenoszone na konsumentów, niezależnie od wielkości przedsiębiorstwa.</w:t>
      </w:r>
      <w:r>
        <w:t xml:space="preserve"> </w:t>
      </w:r>
      <w:r>
        <w:t xml:space="preserve">Odstępstwo dla </w:t>
      </w:r>
      <w:r>
        <w:rPr>
          <w:rStyle w:val="highlight"/>
        </w:rPr>
        <w:t xml:space="preserve">małych</w:t>
      </w:r>
      <w:r>
        <w:t xml:space="preserve"> i średnich przedsiębiorstw nie jest przewidziane, ponieważ cel regulacji polegający na zaprzestaniu uśmiercania jednodniowych piskląt może zostać osiągnięty jedynie poprzez włączenie do niej również tych podmiotów.</w:t>
      </w:r>
    </w:p>
    <w:p w14:paraId="577E81E2" w14:textId="77777777" w:rsidR="00CC02F5" w:rsidRPr="00774080" w:rsidRDefault="00CC02F5" w:rsidP="00CC02F5">
      <w:pPr>
        <w:pStyle w:val="Text"/>
      </w:pPr>
      <w:r>
        <w:t xml:space="preserve">W myśl zasady rządu federalnego „jedno więcej – jedno mniej” roczne koszty realizacji obciążające gospodarkę stanowią w niniejszym projekcie regulacji element generujący nowe obciążenia o wartości 147,5 mln euro.</w:t>
      </w:r>
      <w:r>
        <w:t xml:space="preserve"> </w:t>
      </w:r>
      <w:r>
        <w:t xml:space="preserve">W obecnym stanie rzeczy tylko część tych kosztów może zostać zrekompensowana przez zmniejszające obciążenie przepisy Federalnego Ministerstwa Żywności i Rolnictwa z tego okresu legislacyjnego.</w:t>
      </w:r>
      <w:r>
        <w:t xml:space="preserve"> </w:t>
      </w:r>
      <w:r>
        <w:t xml:space="preserve">Dalsze możliwości rekompensaty są analizowane.</w:t>
      </w:r>
    </w:p>
    <w:p w14:paraId="431719E0" w14:textId="77777777" w:rsidR="00CC02F5" w:rsidRPr="00774080" w:rsidRDefault="00CC02F5" w:rsidP="00774080">
      <w:pPr>
        <w:pStyle w:val="Text"/>
        <w:keepNext/>
        <w:rPr>
          <w:b/>
        </w:rPr>
      </w:pPr>
      <w:r>
        <w:rPr>
          <w:b/>
        </w:rPr>
        <w:t xml:space="preserve">4.3.</w:t>
      </w:r>
      <w:r>
        <w:rPr>
          <w:b/>
        </w:rPr>
        <w:t xml:space="preserve"> </w:t>
      </w:r>
      <w:r>
        <w:rPr>
          <w:b/>
        </w:rPr>
        <w:t xml:space="preserve">Koszty realizacji obciążające administrację</w:t>
      </w:r>
    </w:p>
    <w:p w14:paraId="68487DAA" w14:textId="77777777" w:rsidR="00CC02F5" w:rsidRPr="00774080" w:rsidRDefault="00CC02F5" w:rsidP="00CC02F5">
      <w:r>
        <w:t xml:space="preserve">Nie oczekuje się żadnych zmian w zakresie kosztów realizacji obciążających administrację.</w:t>
      </w:r>
      <w:r>
        <w:t xml:space="preserve"> </w:t>
      </w:r>
      <w:r>
        <w:t xml:space="preserve">Wylęgarnie podlegają regularnym kontrolom zgodnie z art. 9 rozporządzenia Komisji (WE) nr 617/2008 z dnia 27 czerwca 2008 r. ustanawiającego szczegółowe zasady wykonania rozporządzenia Rady (WE) nr 1234/2007 w zakresie norm handlowych w odniesieniu do jaj wylęgowych i piskląt drobiu hodowlanego (Dz.U. L 168 z 28.6.2008, s. 5).</w:t>
      </w:r>
      <w:r>
        <w:t xml:space="preserve"> </w:t>
      </w:r>
      <w:r>
        <w:t xml:space="preserve">Konkretne kontrole roczne wynikają z analizy ryzyka.</w:t>
      </w:r>
      <w:r>
        <w:t xml:space="preserve"> </w:t>
      </w:r>
      <w:r>
        <w:t xml:space="preserve">Ponadto prowadzone są już kontrole gospodarstw na mocy przepisów ustawy o ochronie zwierząt, ponieważ gospodarstwa zabijają pisklęta płci męskiej.</w:t>
      </w:r>
      <w:r>
        <w:t xml:space="preserve"> </w:t>
      </w:r>
      <w:r>
        <w:t xml:space="preserve">Z tego powodu nie oczekuje się dodatkowych kontroli w związku z wdrożeniem niniejszego projektu regulacji.</w:t>
      </w:r>
      <w:r>
        <w:t xml:space="preserve"> </w:t>
      </w:r>
      <w:r>
        <w:t xml:space="preserve">Szacuje się, że nakłady na kontrole mające na celu ustalenie, czy dana czynność nie jest już wykonywana, są takie same jak nakłady bieżące.</w:t>
      </w:r>
      <w:r>
        <w:t xml:space="preserve"> </w:t>
      </w:r>
    </w:p>
    <w:p w14:paraId="4009D40D" w14:textId="77777777" w:rsidR="002B6ABF" w:rsidRPr="00774080" w:rsidRDefault="002B6ABF" w:rsidP="00606ED5">
      <w:pPr>
        <w:pStyle w:val="berschriftarabischBegrndung"/>
      </w:pPr>
      <w:r>
        <w:t xml:space="preserve">Dalsze koszty</w:t>
      </w:r>
    </w:p>
    <w:p w14:paraId="5418C2C6" w14:textId="77777777" w:rsidR="00CC02F5" w:rsidRPr="00774080" w:rsidRDefault="00CC02F5" w:rsidP="00CC02F5">
      <w:pPr>
        <w:pStyle w:val="Text"/>
      </w:pPr>
      <w:r>
        <w:t xml:space="preserve">Zakłada się, że branża przeniesie przynajmniej część kosztów na konsumentów, więc proponowane regulacje mogą mieć wpływ na ceny jednostkowe do 10 centów za opakowanie 6 jaj.</w:t>
      </w:r>
    </w:p>
    <w:p w14:paraId="54F50DC8" w14:textId="77777777" w:rsidR="002B6ABF" w:rsidRPr="00774080" w:rsidRDefault="002B6ABF" w:rsidP="00606ED5">
      <w:pPr>
        <w:pStyle w:val="berschriftarabischBegrndung"/>
      </w:pPr>
      <w:r>
        <w:t xml:space="preserve">Dalsze skutki prawne</w:t>
      </w:r>
    </w:p>
    <w:p w14:paraId="581E820E" w14:textId="77777777" w:rsidR="002B6ABF" w:rsidRPr="00774080" w:rsidRDefault="00A436AD" w:rsidP="00606ED5">
      <w:pPr>
        <w:pStyle w:val="Text"/>
      </w:pPr>
      <w:r>
        <w:t xml:space="preserve">Nie oczekuje się efektów istotnych dla polityki równości płci, gdyż ustawa nie zawiera regulacji, które wpływają na konkretną sytuację życiową kobiet i mężczyzn.</w:t>
      </w:r>
      <w:r>
        <w:t xml:space="preserve"> </w:t>
      </w:r>
    </w:p>
    <w:p w14:paraId="2570291B" w14:textId="77777777" w:rsidR="002B6ABF" w:rsidRPr="00774080" w:rsidRDefault="002B6ABF" w:rsidP="00606ED5">
      <w:pPr>
        <w:pStyle w:val="berschriftrmischBegrndung"/>
      </w:pPr>
      <w:r>
        <w:t xml:space="preserve">Ramy czasowe; ewaluacja</w:t>
      </w:r>
    </w:p>
    <w:p w14:paraId="5AE5B85D" w14:textId="77777777" w:rsidR="002B6ABF" w:rsidRPr="00774080" w:rsidRDefault="00795460" w:rsidP="00606ED5">
      <w:pPr>
        <w:pStyle w:val="Text"/>
      </w:pPr>
      <w:r>
        <w:t xml:space="preserve">Nie przewiduje się czasowego ograniczenia obowiązywania ustawy.</w:t>
      </w:r>
    </w:p>
    <w:p w14:paraId="39DEB388" w14:textId="77777777" w:rsidR="00A436AD" w:rsidRPr="00774080" w:rsidRDefault="00A436AD" w:rsidP="00606ED5">
      <w:pPr>
        <w:pStyle w:val="Text"/>
      </w:pPr>
      <w:r>
        <w:t xml:space="preserve">Niniejsza ustawa podlega ewaluacji nie później niż do dnia 1 stycznia 2027 r.</w:t>
      </w:r>
      <w:r>
        <w:t xml:space="preserve"> </w:t>
      </w:r>
      <w:r>
        <w:t xml:space="preserve">Służy to sprawdzeniu, czy cel ustawy, jakim jest zapobieganie zabijaniu piskląt kury, został osiągnięty.</w:t>
      </w:r>
      <w:r>
        <w:t xml:space="preserve"> </w:t>
      </w:r>
      <w:r>
        <w:t xml:space="preserve">Wskaźnikiem ewaluacji jest stwierdzenie niezgodności z przepisami podczas kontroli przeprowadzanych przez kraje związkowe.</w:t>
      </w:r>
      <w:r>
        <w:t xml:space="preserve"> </w:t>
      </w:r>
      <w:r>
        <w:t xml:space="preserve">Jako podstawa danych mają być wykorzystywane informacje z poszczególnych krajów związkowych.</w:t>
      </w:r>
    </w:p>
    <w:p w14:paraId="2F9A49E4" w14:textId="77777777" w:rsidR="00261248" w:rsidRPr="00774080" w:rsidRDefault="002B6ABF" w:rsidP="00774080">
      <w:pPr>
        <w:pStyle w:val="BegrndungBesondererTeil"/>
      </w:pPr>
      <w:r>
        <w:t xml:space="preserve">B. Część szczegółowa</w:t>
      </w:r>
    </w:p>
    <w:p w14:paraId="4D116F5E" w14:textId="160625C3" w:rsidR="00261248" w:rsidRPr="00774080" w:rsidRDefault="00261248" w:rsidP="00261248">
      <w:pPr>
        <w:pStyle w:val="VerweisBegrndung"/>
      </w:pPr>
      <w:r>
        <w:t xml:space="preserve">Do </w:t>
      </w:r>
      <w:r>
        <w:rPr>
          <w:rStyle w:val="Binnenverweis"/>
        </w:rPr>
        <w:t xml:space="preserve">art. 1</w:t>
      </w:r>
      <w:r>
        <w:t xml:space="preserve"> (Zmiana ustawy o ochronie zwierząt)</w:t>
      </w:r>
    </w:p>
    <w:p w14:paraId="30EA4430" w14:textId="77777777" w:rsidR="00261248" w:rsidRPr="00774080" w:rsidRDefault="00261248" w:rsidP="00261248">
      <w:pPr>
        <w:pStyle w:val="Text"/>
      </w:pPr>
      <w:r>
        <w:t xml:space="preserve">§ 4c zdanie pierwsze przewiduje zakaz zabijania piskląt kury.</w:t>
      </w:r>
      <w:r>
        <w:t xml:space="preserve"> </w:t>
      </w:r>
      <w:r>
        <w:t xml:space="preserve">Zakaz ten jest włączany do ustawy w kontekście wyroków Federalnego Sądu Administracyjnego, nr akt 3 C 28.16 i nr akt 3 C 29.16, oraz w związku z odnośnym porozumieniem docelowym koalicji rządzącej w umowie koalicyjnej w sprawie „zaprzestania zabijania jednodniowych piskląt”.</w:t>
      </w:r>
      <w:r>
        <w:t xml:space="preserve"> </w:t>
      </w:r>
      <w:r>
        <w:t xml:space="preserve">Zakaz jest konieczny, aby skutecznie zapobiegać zabijaniu piskląt kury i skutecznie to egzekwować.</w:t>
      </w:r>
      <w:r>
        <w:t xml:space="preserve"> </w:t>
      </w:r>
      <w:r>
        <w:t xml:space="preserve">Zakaz wchodzi w życie dnia 1 stycznia 2022 r.</w:t>
      </w:r>
    </w:p>
    <w:p w14:paraId="2646B384" w14:textId="77777777" w:rsidR="007A388E" w:rsidRPr="00774080" w:rsidRDefault="00FF67B0" w:rsidP="009A0CF8">
      <w:pPr>
        <w:pStyle w:val="PlainText"/>
      </w:pPr>
      <w:r>
        <w:rPr>
          <w:rFonts w:ascii="Arial" w:hAnsi="Arial"/>
        </w:rPr>
        <w:t xml:space="preserve">Zakaz obejmuje wszystkie pisklęta kury pochodzące z linii hodowlanych, które są nastawione na nieśność.</w:t>
      </w:r>
      <w:r>
        <w:rPr>
          <w:rFonts w:ascii="Arial" w:hAnsi="Arial"/>
        </w:rPr>
        <w:t xml:space="preserve"> </w:t>
      </w:r>
      <w:r>
        <w:rPr>
          <w:rFonts w:ascii="Arial" w:hAnsi="Arial"/>
        </w:rPr>
        <w:t xml:space="preserve">Objęte są nim również zwierzęta hodowlane i reprodukcyjne.</w:t>
      </w:r>
      <w:r>
        <w:rPr>
          <w:rFonts w:ascii="Arial" w:hAnsi="Arial"/>
        </w:rPr>
        <w:t xml:space="preserve"> </w:t>
      </w:r>
      <w:r>
        <w:rPr>
          <w:rFonts w:ascii="Arial" w:hAnsi="Arial"/>
        </w:rPr>
        <w:t xml:space="preserve">Zakaz obejmuje zabijanie piskląt płci żeńskiej i męskiej.</w:t>
      </w:r>
      <w:r>
        <w:rPr>
          <w:rFonts w:ascii="Arial" w:hAnsi="Arial"/>
        </w:rPr>
        <w:t xml:space="preserve"> </w:t>
      </w:r>
      <w:r>
        <w:rPr>
          <w:rFonts w:ascii="Arial" w:hAnsi="Arial"/>
        </w:rPr>
        <w:t xml:space="preserve">Systematyczne uśmiercanie piskląt płci męskiej w wylęgarniach, jak również uśmiercanie piskląt płci męskiej i żeńskiej w gospodarstwach hodowlanych i reprodukcyjnych, jest objęte zakresem stosowania regulacji.</w:t>
      </w:r>
      <w:r>
        <w:rPr>
          <w:rFonts w:ascii="Arial" w:hAnsi="Arial"/>
        </w:rPr>
        <w:t xml:space="preserve"> </w:t>
      </w:r>
      <w:r>
        <w:rPr>
          <w:rFonts w:ascii="Arial" w:hAnsi="Arial"/>
        </w:rPr>
        <w:t xml:space="preserve">Zakaz uwzględnia również pisklęta produkowane w celach hodowlanych i reprodukcyjnych, ponieważ w systemie produkcji drobiu zabijanie piskląt płci żeńskiej i męskiej ma miejsce również w zakładach hodowli i rozmnażania, gdy pisklęta kur lub kogutów danej linii nie mogą być wykorzystane w dalszej hodowli.</w:t>
      </w:r>
      <w:r>
        <w:rPr>
          <w:rFonts w:ascii="Arial" w:hAnsi="Arial"/>
        </w:rPr>
        <w:t xml:space="preserve"> </w:t>
      </w:r>
      <w:r>
        <w:rPr>
          <w:rFonts w:ascii="Arial" w:hAnsi="Arial"/>
        </w:rPr>
        <w:t xml:space="preserve">Należy również zapobiegać takiemu niezgodnemu z dobrostanem zwierząt postępowaniu na etapie hodowli i reprodukcji.</w:t>
      </w:r>
    </w:p>
    <w:p w14:paraId="01618CC6" w14:textId="77777777" w:rsidR="00261248" w:rsidRPr="00774080" w:rsidRDefault="00261248" w:rsidP="00261248">
      <w:pPr>
        <w:pStyle w:val="Text"/>
      </w:pPr>
      <w:r>
        <w:t xml:space="preserve">Zakaz zabijania piskląt nie narusza praw podstawowych, w szczególności podstawowego prawa do wolności wyboru zawodu na mocy art. 12 ustawy zasadniczej, podmiotów prowadzących wylęgarnie i hodowców.</w:t>
      </w:r>
      <w:r>
        <w:t xml:space="preserve"> </w:t>
      </w:r>
      <w:r>
        <w:t xml:space="preserve">Prowadzenie wylęgarni lub hodowli jest działalnością chronioną przez wolność wyboru zawodu; wykonywanie zawodu może być jednak regulowane ustawowo lub na podstawie ustawy (art. 12 ust. 1 zdanie drugie ustawy zasadniczej).</w:t>
      </w:r>
      <w:r>
        <w:t xml:space="preserve"> </w:t>
      </w:r>
      <w:r>
        <w:t xml:space="preserve">Zakaz zabijania piskląt przewidziany w tym projekcie ustawy nie stanowi nieuzasadnionej ingerencji w swobodę wykonywania zawodu przez podmioty prowadzące wylęgarnie lub hodowców, ponieważ wykonywanie tej działalności, w szczególności wylęgu jaj, pozostaje nadal dozwolone.</w:t>
      </w:r>
      <w:r>
        <w:t xml:space="preserve"> </w:t>
      </w:r>
      <w:r>
        <w:t xml:space="preserve">Osoba prowadząca wylęgarnię może również swobodnie decydować o tym, czy jaja z linii nieśnych, do tuczu czy do użytkowania dwukierunkowego są wylęgane w jej gospodarstwie.</w:t>
      </w:r>
      <w:r>
        <w:t xml:space="preserve"> </w:t>
      </w:r>
      <w:r>
        <w:t xml:space="preserve">Ponadto można założyć, że jako alternatywy dla zabijania piskląt, oprócz stosowania kurcząt użytkowanych dwukierunkowo oraz chowu i tuczu piskląt płci męskiej, metody określania płci w jaju będą gotowe do praktycznego zastosowania i dostępne na rynku do dnia 1 stycznia 2022 r.</w:t>
      </w:r>
      <w:r>
        <w:t xml:space="preserve"> </w:t>
      </w:r>
    </w:p>
    <w:p w14:paraId="166235CA" w14:textId="77777777" w:rsidR="00261248" w:rsidRPr="00774080" w:rsidRDefault="00261248" w:rsidP="00261248">
      <w:pPr>
        <w:pStyle w:val="Text"/>
      </w:pPr>
      <w:r>
        <w:t xml:space="preserve">Na okres od 2008 do 2020 roku władze federalne przeznaczyły około ośmiu milionów euro na promowanie wszystkich alternatyw, w tym około sześciu i pół miliona euro na rozwój metod określania płci w jajach.</w:t>
      </w:r>
    </w:p>
    <w:p w14:paraId="50B64027" w14:textId="77777777" w:rsidR="00261248" w:rsidRPr="00774080" w:rsidRDefault="00261248" w:rsidP="00261248">
      <w:pPr>
        <w:pStyle w:val="Text"/>
      </w:pPr>
      <w:r>
        <w:t xml:space="preserve">Finansowanie ze środków federalnych doprowadziło do opracowania metod, które mogą być wykorzystane do określenia płci piskląt rozwijających się w jaju z bardzo dużą dokładnością.</w:t>
      </w:r>
      <w:r>
        <w:t xml:space="preserve"> </w:t>
      </w:r>
      <w:r>
        <w:t xml:space="preserve">Różne metody określania, oparte na różnych podstawach technologicznych, umożliwiają pewne ustalenie płci pisklęcia.</w:t>
      </w:r>
      <w:r>
        <w:t xml:space="preserve"> </w:t>
      </w:r>
      <w:r>
        <w:t xml:space="preserve">Oprócz podejścia endokrynologicznego i spektroskopowego jako metody ustalono również procedury analizy genowej i seksowanie zarodków po kolorze.</w:t>
      </w:r>
    </w:p>
    <w:p w14:paraId="7AC7FF3B" w14:textId="77777777" w:rsidR="00261248" w:rsidRPr="00774080" w:rsidRDefault="00261248" w:rsidP="00261248">
      <w:pPr>
        <w:pStyle w:val="Text"/>
      </w:pPr>
      <w:r>
        <w:t xml:space="preserve">W zasadzie wszystkie te metody nadają się do powszechnego użycia w wylęgarniach w Niemczech, a niektóre z nich są już stosowane w praktyce.</w:t>
      </w:r>
      <w:r>
        <w:t xml:space="preserve"> </w:t>
      </w:r>
      <w:r>
        <w:t xml:space="preserve">Dalsza optymalizacja procesów w odpowiednich technologiach jest obecnie podejmowana przez przedsiębiorstwa we własnym interesie.</w:t>
      </w:r>
      <w:r>
        <w:t xml:space="preserve"> </w:t>
      </w:r>
    </w:p>
    <w:p w14:paraId="65976188" w14:textId="77777777" w:rsidR="000E691B" w:rsidRPr="00774080" w:rsidRDefault="007438BC" w:rsidP="00A1181A">
      <w:pPr>
        <w:pStyle w:val="Text"/>
      </w:pPr>
      <w:r>
        <w:t xml:space="preserve">Od wydania wyżej wymienionych wyroków Federalnego Sądu Administracyjnego w czerwcu 2019 r. metody określania płci w jaju ewoluowały.</w:t>
      </w:r>
      <w:r>
        <w:t xml:space="preserve"> </w:t>
      </w:r>
    </w:p>
    <w:p w14:paraId="7B859C35" w14:textId="77777777" w:rsidR="000E691B" w:rsidRPr="00774080" w:rsidRDefault="00351C68" w:rsidP="000E691B">
      <w:pPr>
        <w:pStyle w:val="Text"/>
      </w:pPr>
      <w:r>
        <w:t xml:space="preserve">Zasadniczo metody określania płci mogą być wprowadzane w samych wylęgarniach lub określanie płci może być oferowane jako usługa.</w:t>
      </w:r>
      <w:r>
        <w:t xml:space="preserve"> </w:t>
      </w:r>
      <w:r>
        <w:t xml:space="preserve">Korzystanie z usługi jest szczególnie przydatne w przypadku wylęgarni posiadających taką liczbę jaj wylęgowych, dla której instalacja techniki określania płci jest nieopłacalna ekonomicznie.</w:t>
      </w:r>
      <w:r>
        <w:t xml:space="preserve"> </w:t>
      </w:r>
      <w:r>
        <w:t xml:space="preserve">Zapewnia to możliwość zastosowania metody określania płci w jaju wylęgowym niezależnie od wielkości produkcji i genetyki.</w:t>
      </w:r>
      <w:r>
        <w:t xml:space="preserve"> </w:t>
      </w:r>
    </w:p>
    <w:p w14:paraId="4FC69C7B" w14:textId="77777777" w:rsidR="007C3950" w:rsidRPr="00774080" w:rsidRDefault="007C3950" w:rsidP="007C3950">
      <w:pPr>
        <w:pStyle w:val="Text"/>
      </w:pPr>
      <w:r>
        <w:t xml:space="preserve">Poprzez określenie płci rozwijających się piskląt, gdy są one jeszcze w jaju, możliwe jest późniejsze uniemożliwienie dalszego rozwoju i wylęgania się samców.</w:t>
      </w:r>
      <w:r>
        <w:t xml:space="preserve"> </w:t>
      </w:r>
      <w:r>
        <w:t xml:space="preserve">Potrzebne są do tego zmiany w procesie inkubacji.</w:t>
      </w:r>
      <w:r>
        <w:t xml:space="preserve"> </w:t>
      </w:r>
      <w:r>
        <w:t xml:space="preserve">W odróżnieniu od innych alternatyw określanie płci wymaga niewielkiego dostosowania etapów produkcji w górę i w dół łańcucha produkcyjnego.</w:t>
      </w:r>
      <w:r>
        <w:t xml:space="preserve"> </w:t>
      </w:r>
      <w:r>
        <w:t xml:space="preserve">Metody określania płci skutkują oszczędnościami w wylęgarniach, które są tym większe, im wcześniej odbywa się określanie płci w jaju.</w:t>
      </w:r>
      <w:r>
        <w:t xml:space="preserve"> </w:t>
      </w:r>
      <w:r>
        <w:t xml:space="preserve">Poprzez selekcjonowanie jaj, z których wyklułyby się pisklęta płci męskiej, uwalnia się możliwości wylęgowe.</w:t>
      </w:r>
      <w:r>
        <w:t xml:space="preserve"> </w:t>
      </w:r>
      <w:r>
        <w:t xml:space="preserve">Dzięki określaniu płci w jaju wylęgarnie potrzebują tylko jednej trzeciej swoich możliwości, ponieważ przynajmniej w tych metodach, w których określanie płci jest oferowane jako usługa, pozostała część inkubacji odbywa się w tzw. ośrodkach określania płci.</w:t>
      </w:r>
      <w:r>
        <w:t xml:space="preserve"> </w:t>
      </w:r>
      <w:r>
        <w:t xml:space="preserve">Ponadto nie ponosi się kosztów określania płci żywych piskląt oraz ich zabijania i recyklingu.</w:t>
      </w:r>
      <w:r>
        <w:t xml:space="preserve"> </w:t>
      </w:r>
    </w:p>
    <w:p w14:paraId="116E0503" w14:textId="77777777" w:rsidR="000E691B" w:rsidRPr="00774080" w:rsidRDefault="000E691B" w:rsidP="000E691B">
      <w:pPr>
        <w:pStyle w:val="Text"/>
      </w:pPr>
      <w:r>
        <w:t xml:space="preserve">Zakaz uśmiercania piskląt nie narusza zwalczania chorób zwierząt ani uśmiercania z konieczności chorych lub zranionych wylęgających się zwierząt zgodnie z wymogami dobrostanu zwierząt.</w:t>
      </w:r>
      <w:r>
        <w:t xml:space="preserve"> </w:t>
      </w:r>
      <w:r>
        <w:t xml:space="preserve">Podobnie zakaz nie powinien mieć zastosowania do piskląt niezdolnych do wylęgu i do kurczątek.</w:t>
      </w:r>
      <w:r>
        <w:t xml:space="preserve"> </w:t>
      </w:r>
      <w:r>
        <w:t xml:space="preserve">Termin „kurczątko” odpowiada terminowi stosowanemu w art. 1 pkt 1 lit. a) rozporządzenia Komisji (WE) nr 543/2008 z dnia 16 czerwca 2008 r. wprowadzającego szczegółowe przepisy wykonawcze do rozporządzenia Rady (WE) nr 1234/2007 w sprawie niektórych norm handlowych w odniesieniu do mięsa drobiowego.</w:t>
      </w:r>
      <w:r>
        <w:t xml:space="preserve"> </w:t>
      </w:r>
      <w:r>
        <w:t xml:space="preserve">Zgodnie z tą definicją kurczątko jest kurczakiem o masie tuszy poniżej 650 g (mierzonej bez podrobów, głowy i łap) lub kurczakiem ważącym od 650 do 750 g, jeżeli jego wiek ubojowy nie przekracza 28 dni.</w:t>
      </w:r>
      <w:r>
        <w:t xml:space="preserve"> </w:t>
      </w:r>
      <w:r>
        <w:t xml:space="preserve">Odstępstwo to obejmuje również doświadczenia na zwierzętach, ponieważ zakaz jest skierowany przeciwko systematycznemu zabijaniu piskląt i zarodków przy produkcji jaj, nie dotyczy zaś naukowo ukierunkowanych doświadczeń na pisklętach lub zarodkach.</w:t>
      </w:r>
    </w:p>
    <w:p w14:paraId="44C2EDE6" w14:textId="77777777" w:rsidR="00261248" w:rsidRPr="00774080" w:rsidRDefault="000E691B" w:rsidP="009C04C2">
      <w:pPr>
        <w:pStyle w:val="PlainText"/>
      </w:pPr>
      <w:r>
        <w:rPr>
          <w:rFonts w:ascii="Arial" w:hAnsi="Arial"/>
        </w:rPr>
        <w:t xml:space="preserve">Oprócz metod określania płci w jaju alternatywą dla zabijania jest również hodowla kogutów z tego samego lęgu lub wykorzystanie kurcząt użytkowanych dwukierunkowo.</w:t>
      </w:r>
      <w:r>
        <w:rPr>
          <w:rFonts w:ascii="Arial" w:hAnsi="Arial"/>
        </w:rPr>
        <w:t xml:space="preserve"> </w:t>
      </w:r>
      <w:r>
        <w:rPr>
          <w:rFonts w:ascii="Arial" w:hAnsi="Arial"/>
        </w:rPr>
        <w:t xml:space="preserve">W najbliższych latach rząd federalny będzie szczególnie wspierał i promował hodowlę i wykorzystanie ras użytkowanych dwukierunkowo.</w:t>
      </w:r>
      <w:r>
        <w:rPr>
          <w:rFonts w:ascii="Arial" w:hAnsi="Arial"/>
        </w:rPr>
        <w:t xml:space="preserve"> </w:t>
      </w:r>
      <w:r>
        <w:rPr>
          <w:rFonts w:ascii="Arial" w:hAnsi="Arial"/>
        </w:rPr>
        <w:t xml:space="preserve">To, jakie środki są odpowiednie do tego celu, zostanie omówione w ramach obrad sieci kompetencji w zakresie chowu i hodowli zwierząt gospodarskich, ustanowionej przez Federalne Ministerstwo Żywności i Rolnictwa.</w:t>
      </w:r>
    </w:p>
    <w:p w14:paraId="052D7809" w14:textId="0338CF53" w:rsidR="009623BC" w:rsidRPr="00774080" w:rsidRDefault="009623BC" w:rsidP="009623BC">
      <w:pPr>
        <w:pStyle w:val="VerweisBegrndung"/>
      </w:pPr>
      <w:r>
        <w:t xml:space="preserve">Do </w:t>
      </w:r>
      <w:r>
        <w:rPr>
          <w:rStyle w:val="Binnenverweis"/>
        </w:rPr>
        <w:t xml:space="preserve">art. 2</w:t>
      </w:r>
      <w:r>
        <w:t xml:space="preserve"> (Dalsza zmiana ustawy o ochronie zwierząt)</w:t>
      </w:r>
    </w:p>
    <w:p w14:paraId="3C629ED4" w14:textId="1A8DDE58" w:rsidR="00C47526" w:rsidRPr="00774080" w:rsidRDefault="00C47526" w:rsidP="00C47526">
      <w:pPr>
        <w:pStyle w:val="VerweisBegrndung"/>
      </w:pPr>
      <w:r>
        <w:t xml:space="preserve">Do </w:t>
      </w:r>
      <w:r>
        <w:rPr>
          <w:rStyle w:val="Binnenverweis"/>
        </w:rPr>
        <w:t xml:space="preserve">pkt. 1</w:t>
      </w:r>
    </w:p>
    <w:p w14:paraId="2E73EF47" w14:textId="7C550B49" w:rsidR="009623BC" w:rsidRPr="00774080" w:rsidRDefault="009623BC" w:rsidP="009623BC">
      <w:pPr>
        <w:pStyle w:val="VerweisBegrndung"/>
      </w:pPr>
      <w:r>
        <w:t xml:space="preserve">Do </w:t>
      </w:r>
      <w:r>
        <w:rPr>
          <w:rStyle w:val="Binnenverweis"/>
        </w:rPr>
        <w:t xml:space="preserve">lit. a)</w:t>
      </w:r>
    </w:p>
    <w:p w14:paraId="30AF3C7A" w14:textId="77777777" w:rsidR="009623BC" w:rsidRPr="00774080" w:rsidRDefault="00E20922" w:rsidP="002536AC">
      <w:pPr>
        <w:pStyle w:val="Text"/>
      </w:pPr>
      <w:r>
        <w:t xml:space="preserve">Regulację zakazującą z § 4c rozszerza się poprzez podział na ustępy, dlatego też dodaje się redakcyjnie oznaczenie ustępu.</w:t>
      </w:r>
    </w:p>
    <w:p w14:paraId="4DAFEB50" w14:textId="3EB46BC3" w:rsidR="009623BC" w:rsidRPr="00774080" w:rsidRDefault="009623BC" w:rsidP="009623BC">
      <w:pPr>
        <w:pStyle w:val="VerweisBegrndung"/>
        <w:rPr>
          <w:rStyle w:val="Binnenverweis"/>
        </w:rPr>
      </w:pPr>
      <w:r>
        <w:t xml:space="preserve">Do </w:t>
      </w:r>
      <w:r>
        <w:rPr>
          <w:rStyle w:val="Binnenverweis"/>
        </w:rPr>
        <w:t xml:space="preserve">lit. b)</w:t>
      </w:r>
    </w:p>
    <w:p w14:paraId="70E3317A" w14:textId="77777777" w:rsidR="009623BC" w:rsidRPr="00774080" w:rsidRDefault="009623BC" w:rsidP="009623BC">
      <w:pPr>
        <w:pStyle w:val="Text"/>
      </w:pPr>
      <w:r>
        <w:t xml:space="preserve">§ 4c ust. 2 zakazuje, począwszy od siódmego dnia inkubacji, dokonywania zabiegu na jaju kurzym lub przerywania procesu inkubacji, które powoduje śmierć zarodka kury, podczas lub po zastosowaniu metod określania płci w jaju.</w:t>
      </w:r>
      <w:r>
        <w:t xml:space="preserve"> </w:t>
      </w:r>
      <w:r>
        <w:t xml:space="preserve">Brzmienie punktów 1 i 2 ma obejmować celowe lub niecelowe zabicie zarodka kury podczas stosowania metody określania płci w jaju lub po jej zastosowaniu.</w:t>
      </w:r>
      <w:r>
        <w:t xml:space="preserve"> </w:t>
      </w:r>
      <w:r>
        <w:t xml:space="preserve">Dzień siódmy jest definiowany jako decydujący, ponieważ zgodnie z obecnym stanem wiedzy od tego dnia nie można wykluczyć rozpoczynającego się rozwoju odczuwania bólu przez zarodek kury.</w:t>
      </w:r>
    </w:p>
    <w:p w14:paraId="56EE1838" w14:textId="77777777" w:rsidR="00BF203A" w:rsidRPr="00774080" w:rsidRDefault="0029532E" w:rsidP="003555E9">
      <w:pPr>
        <w:pStyle w:val="CommentText"/>
      </w:pPr>
      <w:r>
        <w:rPr>
          <w:sz w:val="22"/>
        </w:rPr>
        <w:t xml:space="preserve">Zakaz dokonywania zabiegu na jaju kurzym lub przerwania procesu inkubacji, które powoduje śmierć zarodka kury, począwszy od siódmego dnia inkubacji podczas lub po zastosowaniu metod określania płci, nie stanowi nieuzasadnionej ingerencji w swobodę wykonywania zawodu w przedsiębiorstwach opracowujących metody określania płci w jaju.</w:t>
      </w:r>
      <w:r>
        <w:rPr>
          <w:sz w:val="22"/>
        </w:rPr>
        <w:t xml:space="preserve"> </w:t>
      </w:r>
      <w:r>
        <w:rPr>
          <w:sz w:val="22"/>
        </w:rPr>
        <w:t xml:space="preserve">Zachowane pozostaje prawo do prowadzenia działalności, w szczególności w zakresie udoskonalania istniejących lub badania i rozwoju nowych metod określania płci, stosowanych przed 7. dniem inkubacji.</w:t>
      </w:r>
    </w:p>
    <w:p w14:paraId="072402C6" w14:textId="77777777" w:rsidR="009623BC" w:rsidRPr="00774080" w:rsidRDefault="009623BC" w:rsidP="009623BC">
      <w:pPr>
        <w:pStyle w:val="Text"/>
      </w:pPr>
      <w:r>
        <w:t xml:space="preserve">W przypadku zarodków zwierzęcych, w których odczuwanie bólu rozwija się w sposób ciągły, tzn. w przypadku zarodków kurzych od pewnego momentu po szóstym dniu inkubacji, ochrona państwowego celu ochrony zwierząt zgodnie z art. 20a ustawy zasadniczej obowiązuje również przed wylęgiem lub urodzeniem.</w:t>
      </w:r>
      <w:r>
        <w:t xml:space="preserve"> </w:t>
      </w:r>
      <w:r>
        <w:t xml:space="preserve">Do końca 2023 r. powinny być gotowe do praktycznego wykorzystania i możliwe do zastosowania metody, dzięki którym płeć zarodka kury można określić już przed siódmym dniem inkubacji.</w:t>
      </w:r>
      <w:r>
        <w:t xml:space="preserve"> </w:t>
      </w:r>
      <w:r>
        <w:t xml:space="preserve">Należy unikać przy tym sytuacji, w której długi okres przejściowy stanowiłby zachętę do inwestowania w pierwszej kolejności w metody określania płci stosowane po siódmym dniu inkubacji.</w:t>
      </w:r>
      <w:r>
        <w:t xml:space="preserve"> </w:t>
      </w:r>
    </w:p>
    <w:p w14:paraId="0B8B2506" w14:textId="2B737270" w:rsidR="009623BC" w:rsidRPr="00774080" w:rsidRDefault="009623BC" w:rsidP="009623BC">
      <w:pPr>
        <w:pStyle w:val="VerweisBegrndung"/>
      </w:pPr>
      <w:r>
        <w:t xml:space="preserve">Do </w:t>
      </w:r>
      <w:r>
        <w:rPr>
          <w:rStyle w:val="Binnenverweis"/>
        </w:rPr>
        <w:t xml:space="preserve">pkt 2</w:t>
      </w:r>
    </w:p>
    <w:p w14:paraId="74180868" w14:textId="77777777" w:rsidR="009623BC" w:rsidRPr="00774080" w:rsidRDefault="009623BC" w:rsidP="009623BC">
      <w:pPr>
        <w:pStyle w:val="Text"/>
      </w:pPr>
      <w:r>
        <w:t xml:space="preserve">W § 18 ust. 1 pkt 6a reguluje się, że naruszenie zakazu określonego w § 4c ust. 2 stanowi wykroczenie administracyjne.</w:t>
      </w:r>
    </w:p>
    <w:p w14:paraId="59076495" w14:textId="273F277D" w:rsidR="00261248" w:rsidRPr="00774080" w:rsidRDefault="00261248" w:rsidP="00261248">
      <w:pPr>
        <w:pStyle w:val="VerweisBegrndung"/>
      </w:pPr>
      <w:r>
        <w:t xml:space="preserve">Do </w:t>
      </w:r>
      <w:r>
        <w:rPr>
          <w:rStyle w:val="Binnenverweis"/>
        </w:rPr>
        <w:t xml:space="preserve">art. 3</w:t>
      </w:r>
      <w:r>
        <w:t xml:space="preserve"> (Wejście w życie)</w:t>
      </w:r>
    </w:p>
    <w:p w14:paraId="0BAA8A10" w14:textId="77777777" w:rsidR="00E20922" w:rsidRPr="00774080" w:rsidRDefault="000E691B" w:rsidP="002536AC">
      <w:r>
        <w:t xml:space="preserve">Art. 3 reguluje stopniowe wejście w życie ustawy.</w:t>
      </w:r>
      <w:r>
        <w:t xml:space="preserve"> </w:t>
      </w:r>
    </w:p>
    <w:p w14:paraId="287F4ACD" w14:textId="3050158A" w:rsidR="00C47526" w:rsidRPr="00774080" w:rsidRDefault="00C47526" w:rsidP="00C47526">
      <w:pPr>
        <w:pStyle w:val="VerweisBegrndung"/>
      </w:pPr>
      <w:r>
        <w:t xml:space="preserve">Do </w:t>
      </w:r>
      <w:r>
        <w:rPr>
          <w:rStyle w:val="Binnenverweis"/>
        </w:rPr>
        <w:t xml:space="preserve">ust. 1</w:t>
      </w:r>
    </w:p>
    <w:p w14:paraId="36655CC9" w14:textId="77777777" w:rsidR="002536AC" w:rsidRPr="00774080" w:rsidRDefault="00E20922" w:rsidP="002536AC">
      <w:r>
        <w:t xml:space="preserve">Art. 1 ma wejść w życie dnia 1 stycznia 2022 r.</w:t>
      </w:r>
      <w:r>
        <w:t xml:space="preserve"> </w:t>
      </w:r>
      <w:r>
        <w:t xml:space="preserve">W celu szybkiego zmniejszenia liczby zabijanych piskląt oraz w związku z już osiągniętym postępem technicznym za właściwy uznaje się krótki okres przed wprowadzeniem zakazu zabijania piskląt.</w:t>
      </w:r>
      <w:r>
        <w:t xml:space="preserve"> </w:t>
      </w:r>
      <w:r>
        <w:t xml:space="preserve">Stan techniki sugeruje, że alternatywy mogą zostać ustalone do końca 2021 r.</w:t>
      </w:r>
      <w:r>
        <w:t xml:space="preserve"> </w:t>
      </w:r>
    </w:p>
    <w:p w14:paraId="69A55B57" w14:textId="77777777" w:rsidR="002536AC" w:rsidRPr="00774080" w:rsidRDefault="002536AC" w:rsidP="002536AC">
      <w:r>
        <w:t xml:space="preserve"> Od zainteresowanych podmiotów gospodarczych może być wymagana niezbędna zmiana sposobu funkcjonowania w okresie między ogłoszeniem a wejściem w życie.</w:t>
      </w:r>
      <w:r>
        <w:t xml:space="preserve"> </w:t>
      </w:r>
      <w:r>
        <w:t xml:space="preserve">W następstwie wyroków Federalnego Sądu Administracyjnego i rozwoju metod alternatywnych obecna praktyka uśmiercania piskląt nie może już być kontynuowana ze względu na dobrostan zwierząt.</w:t>
      </w:r>
    </w:p>
    <w:p w14:paraId="07AE0E06" w14:textId="51A48719" w:rsidR="00C47526" w:rsidRPr="00774080" w:rsidRDefault="00C47526" w:rsidP="00C47526">
      <w:pPr>
        <w:pStyle w:val="VerweisBegrndung"/>
      </w:pPr>
      <w:r>
        <w:t xml:space="preserve">Do </w:t>
      </w:r>
      <w:r>
        <w:rPr>
          <w:rStyle w:val="Binnenverweis"/>
        </w:rPr>
        <w:t xml:space="preserve">ust. 2</w:t>
      </w:r>
    </w:p>
    <w:p w14:paraId="3B5CA17F" w14:textId="77777777" w:rsidR="00E20922" w:rsidRPr="00774080" w:rsidRDefault="00E20922" w:rsidP="002536AC">
      <w:r>
        <w:t xml:space="preserve">Art. 2 ma wejść w życie dnia 1 stycznia 2024 r.</w:t>
      </w:r>
    </w:p>
    <w:p w14:paraId="6BAC4A25" w14:textId="77777777" w:rsidR="002B6ABF" w:rsidRPr="00774080" w:rsidRDefault="002536AC" w:rsidP="00C47526">
      <w:r>
        <w:t xml:space="preserve">Ponieważ określanie płci w jaju może prowadzić do późniejszego zabicia zarodków kurzych ustalonych jako samce, regulacja przewidziana w § 4c ust. 2 oznacza, że w przyszłości mogą być stosowane tylko takie metody, które określają płeć zarodka kury przed siódmym dniem inkubacji.</w:t>
      </w:r>
      <w:r>
        <w:t xml:space="preserve"> </w:t>
      </w:r>
      <w:r>
        <w:t xml:space="preserve">Wymóg ten nie jest obecnie spełniany przez metody określania płci, ale powinien być możliwy do realizacji do końca 2023 r.</w:t>
      </w:r>
      <w:r>
        <w:t xml:space="preserve"> </w:t>
      </w:r>
      <w:r>
        <w:t xml:space="preserve">W związku z tym § 4c ust. 2 ma wejść w życie dopiero dnia 1 stycznia 2024 r.</w:t>
      </w:r>
      <w:r>
        <w:t xml:space="preserve"> </w:t>
      </w:r>
      <w:r>
        <w:t xml:space="preserve">Metody, które określają płeć po szóstym dniu inkubacji, są zatem dozwolone do tego czasu jeszcze tylko jako technologie pomostowe.</w:t>
      </w:r>
      <w:r>
        <w:t xml:space="preserve"> </w:t>
      </w:r>
    </w:p>
    <w:sectPr w:rsidR="002B6ABF" w:rsidRPr="00774080" w:rsidSect="00955160">
      <w:pgSz w:w="11907" w:h="16839"/>
      <w:pgMar w:top="1134" w:right="141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1680F" w14:textId="77777777" w:rsidR="00DF1912" w:rsidRDefault="00DF1912" w:rsidP="005D1540">
      <w:pPr>
        <w:spacing w:before="0" w:after="0"/>
      </w:pPr>
      <w:r>
        <w:separator/>
      </w:r>
    </w:p>
    <w:p w14:paraId="0DB1AEB7" w14:textId="77777777" w:rsidR="00DF1912" w:rsidRDefault="00DF1912"/>
    <w:p w14:paraId="74885CD9" w14:textId="77777777" w:rsidR="00DF1912" w:rsidRDefault="00DF1912" w:rsidP="000D500B"/>
  </w:endnote>
  <w:endnote w:type="continuationSeparator" w:id="0">
    <w:p w14:paraId="086EF955" w14:textId="77777777" w:rsidR="00DF1912" w:rsidRDefault="00DF1912" w:rsidP="005D1540">
      <w:pPr>
        <w:spacing w:before="0" w:after="0"/>
      </w:pPr>
      <w:r>
        <w:continuationSeparator/>
      </w:r>
    </w:p>
    <w:p w14:paraId="245FE3C8" w14:textId="77777777" w:rsidR="00DF1912" w:rsidRDefault="00DF1912"/>
    <w:p w14:paraId="0DB24873" w14:textId="77777777" w:rsidR="00DF1912" w:rsidRDefault="00DF1912" w:rsidP="000D500B"/>
  </w:endnote>
  <w:endnote w:type="continuationNotice" w:id="1">
    <w:p w14:paraId="7FFA3A1E" w14:textId="77777777" w:rsidR="00DF1912" w:rsidRDefault="00DF1912">
      <w:pPr>
        <w:spacing w:before="0" w:after="0"/>
      </w:pPr>
    </w:p>
    <w:p w14:paraId="3D94803E" w14:textId="77777777" w:rsidR="00DF1912" w:rsidRDefault="00DF1912"/>
    <w:p w14:paraId="0508A15F" w14:textId="77777777" w:rsidR="00DF1912" w:rsidRDefault="00DF1912" w:rsidP="000D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F4FE3" w14:textId="77777777" w:rsidR="00DF1912" w:rsidRDefault="00DF1912" w:rsidP="005D1540">
      <w:pPr>
        <w:spacing w:before="0" w:after="0"/>
      </w:pPr>
      <w:r>
        <w:separator/>
      </w:r>
    </w:p>
  </w:footnote>
  <w:footnote w:type="continuationSeparator" w:id="0">
    <w:p w14:paraId="197A7AF8" w14:textId="77777777" w:rsidR="00DF1912" w:rsidRDefault="00DF1912" w:rsidP="005D1540">
      <w:pPr>
        <w:spacing w:before="0" w:after="0"/>
      </w:pPr>
      <w:r>
        <w:continuationSeparator/>
      </w:r>
    </w:p>
  </w:footnote>
  <w:footnote w:type="continuationNotice" w:id="1">
    <w:p w14:paraId="58B3C9E8" w14:textId="77777777" w:rsidR="00DF1912" w:rsidRDefault="00DF1912">
      <w:pPr>
        <w:spacing w:before="0" w:after="0"/>
      </w:pPr>
    </w:p>
    <w:p w14:paraId="04559F01" w14:textId="77777777" w:rsidR="00DF1912" w:rsidRDefault="00DF1912"/>
    <w:p w14:paraId="63C1950B" w14:textId="77777777" w:rsidR="00DF1912" w:rsidRDefault="00DF1912" w:rsidP="000D500B"/>
  </w:footnote>
  <w:footnote w:id="2">
    <w:p w14:paraId="12B47A76" w14:textId="77777777" w:rsidR="00144702" w:rsidRPr="00DC4328" w:rsidRDefault="00144702" w:rsidP="00DC4328">
      <w:pPr>
        <w:pStyle w:val="FootnoteText"/>
        <w:rPr>
          <w:szCs w:val="18"/>
        </w:rPr>
      </w:pPr>
      <w:r>
        <w:rPr>
          <w:rStyle w:val="FootnoteReference"/>
          <w:szCs w:val="18"/>
        </w:rPr>
        <w:footnoteRef/>
      </w:r>
      <w:r>
        <w:rPr>
          <w:rStyle w:val="FootnoteReference"/>
          <w:vertAlign w:val="baseline"/>
        </w:rPr>
        <w:t xml:space="preserve">)</w:t>
      </w:r>
      <w:r>
        <w:tab/>
      </w:r>
      <w:r>
        <w:t xml:space="preserve">Notyfikowano zgodnie z dyrektywą (UE) 2015/1535 Parlamentu Europejskiego i Rady z dnia 9 września 2015 r. ustanawiającą procedurę udzielania informacji w dziedzinie przepisów technicznych oraz zasad dotyczących usług społeczeństwa informacyjnego (Dz.U. L 241 z 17.9.2015, s. 1).</w:t>
      </w:r>
    </w:p>
  </w:footnote>
  <w:footnote w:id="3">
    <w:p w14:paraId="69D49864" w14:textId="26696907" w:rsidR="00106CCC" w:rsidRPr="00DC4328" w:rsidRDefault="00106CCC" w:rsidP="00DC4328">
      <w:pPr>
        <w:pStyle w:val="NormalWeb"/>
        <w:spacing w:before="0" w:beforeAutospacing="0" w:after="0" w:afterAutospacing="0"/>
        <w:ind w:left="720" w:hanging="720"/>
        <w:rPr>
          <w:sz w:val="18"/>
          <w:szCs w:val="18"/>
          <w:rFonts w:ascii="Arial" w:hAnsi="Arial" w:cs="Arial"/>
        </w:rPr>
      </w:pPr>
      <w:r>
        <w:rPr>
          <w:rStyle w:val="FootnoteReference"/>
          <w:rFonts w:ascii="Arial" w:hAnsi="Arial" w:cs="Arial"/>
          <w:sz w:val="18"/>
          <w:szCs w:val="18"/>
        </w:rPr>
        <w:footnoteRef/>
      </w:r>
      <w:r>
        <w:rPr>
          <w:sz w:val="18"/>
          <w:rFonts w:ascii="Arial" w:hAnsi="Arial"/>
        </w:rPr>
        <w:t xml:space="preserve">)</w:t>
      </w:r>
      <w:r>
        <w:rPr>
          <w:sz w:val="18"/>
          <w:rFonts w:ascii="Arial" w:hAnsi="Arial"/>
        </w:rPr>
        <w:tab/>
      </w:r>
      <w:r>
        <w:rPr>
          <w:sz w:val="18"/>
          <w:rFonts w:ascii="Arial" w:hAnsi="Arial"/>
        </w:rPr>
        <w:t xml:space="preserve">Bartels, Thomas / Wilk, Inga / Schrader, Lars:</w:t>
      </w:r>
      <w:r>
        <w:rPr>
          <w:sz w:val="18"/>
          <w:rFonts w:ascii="Arial" w:hAnsi="Arial"/>
        </w:rPr>
        <w:t xml:space="preserve"> </w:t>
      </w:r>
      <w:r>
        <w:rPr>
          <w:sz w:val="18"/>
          <w:rFonts w:ascii="Arial" w:hAnsi="Arial"/>
        </w:rPr>
        <w:t xml:space="preserve">Entwicklung von Nozizeption und Schmerzempfinden bei Hühnerembryonen [Rozwój nocycepcji i odczuwania bólu u zarodków kurzych].</w:t>
      </w:r>
      <w:r>
        <w:rPr>
          <w:sz w:val="18"/>
          <w:rFonts w:ascii="Arial" w:hAnsi="Arial"/>
        </w:rPr>
        <w:t xml:space="preserve"> </w:t>
      </w:r>
      <w:r>
        <w:rPr>
          <w:sz w:val="18"/>
          <w:rFonts w:ascii="Arial" w:hAnsi="Arial"/>
        </w:rPr>
        <w:t xml:space="preserve">[Opinia FLI].</w:t>
      </w:r>
      <w:r>
        <w:rPr>
          <w:sz w:val="18"/>
          <w:rFonts w:ascii="Arial" w:hAnsi="Arial"/>
        </w:rPr>
        <w:t xml:space="preserve"> </w:t>
      </w:r>
      <w:r>
        <w:rPr>
          <w:sz w:val="18"/>
          <w:rFonts w:ascii="Arial" w:hAnsi="Arial"/>
        </w:rPr>
        <w:t xml:space="preserve">Greifswald - Riems Island 2020.</w:t>
      </w:r>
      <w:r>
        <w:rPr>
          <w:sz w:val="18"/>
          <w:rFonts w:ascii="Arial" w:hAnsi="Arial"/>
        </w:rPr>
        <w:t xml:space="preserve"> </w:t>
      </w:r>
      <w:r>
        <w:rPr>
          <w:sz w:val="18"/>
          <w:rFonts w:ascii="Arial" w:hAnsi="Arial"/>
        </w:rPr>
        <w:t xml:space="preserve">Instytut Friedricha Loefflera [FLI]</w:t>
      </w:r>
      <w:r>
        <w:rPr>
          <w:sz w:val="18"/>
          <w:rStyle w:val="oa-notelocationcorp-meta"/>
          <w:rFonts w:ascii="Arial" w:hAnsi="Arial"/>
        </w:rPr>
        <w:t xml:space="preserve">, Instytut Ochrony i Hodowli Zwierząt</w:t>
      </w:r>
      <w:r>
        <w:rPr>
          <w:sz w:val="18"/>
          <w:rFonts w:ascii="Arial" w:hAnsi="Arial"/>
        </w:rPr>
        <w:t xml:space="preserve">.</w:t>
      </w:r>
    </w:p>
  </w:footnote>
  <w:footnote w:id="4">
    <w:p w14:paraId="1BE723D3"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 xml:space="preserve">)</w:t>
      </w:r>
      <w:r>
        <w:tab/>
      </w:r>
      <w:r>
        <w:t xml:space="preserve">https</w:t>
      </w:r>
      <w:r>
        <w:rPr>
          <w:u w:val="single"/>
        </w:rPr>
        <w:t xml:space="preserve">:</w:t>
      </w:r>
      <w:r>
        <w:t xml:space="preserve">//www.seleggt.de/wp-content/uploads/2018/04/SELEGGT_FAQs_D.pdf.</w:t>
      </w:r>
    </w:p>
  </w:footnote>
  <w:footnote w:id="5">
    <w:p w14:paraId="0D5613EC"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 xml:space="preserve">)</w:t>
      </w:r>
      <w:r>
        <w:tab/>
      </w:r>
      <w:r>
        <w:t xml:space="preserve">Von der Crone, Caspar &amp; Gault, Matthias &amp; Mau, Markus &amp; Lang, Horst.</w:t>
      </w:r>
      <w:r>
        <w:t xml:space="preserve"> </w:t>
      </w:r>
      <w:r>
        <w:t xml:space="preserve">(2020).</w:t>
      </w:r>
      <w:r>
        <w:t xml:space="preserve"> </w:t>
      </w:r>
      <w:r>
        <w:t xml:space="preserve">Gazdaság &amp; Társadalom - Journal of Economy &amp; Society - 11.</w:t>
      </w:r>
      <w:r>
        <w:t xml:space="preserve"> </w:t>
      </w:r>
      <w:r>
        <w:t xml:space="preserve">ÉVFOLYAM 2018.</w:t>
      </w:r>
      <w:r>
        <w:t xml:space="preserve"> </w:t>
      </w:r>
      <w:r>
        <w:t xml:space="preserve">3-4.</w:t>
      </w:r>
      <w:r>
        <w:t xml:space="preserve"> </w:t>
      </w:r>
      <w:r>
        <w:t xml:space="preserve">SZÁM Ausstieg aus dem Verfahren des Tötens männlicher Küken Umsetzung und Möglichkeiten, Kriterien und Standards für ökologische und konventionelle Aufzucht [Stopniowe wycofywanie procedury zabijania piskląt płci męskiej. Wdrożenie i możliwości, kryteria i standardy chowu ekologicznego i konwencjonalnego].</w:t>
      </w:r>
      <w:r>
        <w:t xml:space="preserve"> </w:t>
      </w:r>
      <w:r>
        <w:t xml:space="preserve">11.</w:t>
      </w:r>
      <w:r>
        <w:t xml:space="preserve"> </w:t>
      </w:r>
      <w:r>
        <w:t xml:space="preserve">ÉVFOLYAM.</w:t>
      </w:r>
      <w:r>
        <w:t xml:space="preserve"> </w:t>
      </w:r>
      <w:r>
        <w:t xml:space="preserve">108.</w:t>
      </w:r>
      <w:r>
        <w:t xml:space="preserve"> </w:t>
      </w:r>
      <w:r>
        <w:t xml:space="preserve">10.21637/GT.2018.3-4.07.</w:t>
      </w:r>
    </w:p>
  </w:footnote>
  <w:footnote w:id="6">
    <w:p w14:paraId="3A46F60A"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 xml:space="preserve">)</w:t>
      </w:r>
      <w:r>
        <w:tab/>
      </w:r>
      <w:r>
        <w:t xml:space="preserve">https://www.bmel-statistik.de/fileadmin/daten/DFB-0100200-2019.pdf, s. 3.</w:t>
      </w:r>
    </w:p>
  </w:footnote>
  <w:footnote w:id="7">
    <w:p w14:paraId="4F59A50A" w14:textId="77777777" w:rsidR="00B35BD4" w:rsidRPr="00DC4328" w:rsidRDefault="00B35BD4" w:rsidP="00DC4328">
      <w:pPr>
        <w:pStyle w:val="FootnoteText"/>
        <w:rPr>
          <w:szCs w:val="18"/>
        </w:rPr>
      </w:pPr>
      <w:r>
        <w:rPr>
          <w:rStyle w:val="FootnoteReference"/>
          <w:szCs w:val="18"/>
        </w:rPr>
        <w:footnoteRef/>
      </w:r>
      <w:r>
        <w:rPr>
          <w:rStyle w:val="FootnoteReference"/>
          <w:vertAlign w:val="baseline"/>
        </w:rPr>
        <w:t xml:space="preserve">)</w:t>
      </w:r>
      <w:r>
        <w:tab/>
      </w:r>
      <w:r>
        <w:t xml:space="preserve">https://www.bmel-statistik.de/fileadmin/daten/DFB-0100200-2019.pdf, s. 3.</w:t>
      </w:r>
    </w:p>
  </w:footnote>
  <w:footnote w:id="8">
    <w:p w14:paraId="3D1D4E72" w14:textId="77777777" w:rsidR="00CC02F5" w:rsidRPr="00DC4328" w:rsidRDefault="00CC02F5" w:rsidP="00DC4328">
      <w:pPr>
        <w:pStyle w:val="FootnoteText"/>
        <w:rPr>
          <w:szCs w:val="18"/>
        </w:rPr>
      </w:pPr>
      <w:r>
        <w:rPr>
          <w:rStyle w:val="FootnoteReference"/>
          <w:szCs w:val="18"/>
        </w:rPr>
        <w:footnoteRef/>
      </w:r>
      <w:r>
        <w:rPr>
          <w:rStyle w:val="FootnoteReference"/>
          <w:vertAlign w:val="baseline"/>
        </w:rPr>
        <w:t xml:space="preserve">)</w:t>
      </w:r>
      <w:r>
        <w:tab/>
      </w:r>
      <w:r>
        <w:t xml:space="preserve">Opinia Instytutu Thünena z 2017 r. (Einzelbetriebliche Auswirkungen einer spektroskopischen Methode zur Geschlechtsbestimmung von befruchteten Hühnereiern [Wpływ spektroskopowej metody określania płci zapłodnionych jaj kurzych na pojedyncze gospodarstwo]).</w:t>
      </w:r>
      <w:r>
        <w:t xml:space="preserve"> </w:t>
      </w:r>
    </w:p>
  </w:footnote>
  <w:footnote w:id="9">
    <w:p w14:paraId="28572EC7" w14:textId="77777777" w:rsidR="00CC02F5" w:rsidRPr="00DC4328" w:rsidRDefault="00CC02F5" w:rsidP="00DC4328">
      <w:pPr>
        <w:pStyle w:val="PlainText"/>
        <w:ind w:left="720" w:hanging="720"/>
        <w:rPr>
          <w:sz w:val="18"/>
          <w:szCs w:val="18"/>
          <w:rFonts w:ascii="Arial" w:hAnsi="Arial" w:cs="Arial"/>
        </w:rPr>
      </w:pPr>
      <w:r>
        <w:rPr>
          <w:rStyle w:val="FootnoteReference"/>
          <w:rFonts w:ascii="Arial" w:hAnsi="Arial" w:cs="Arial"/>
          <w:sz w:val="18"/>
          <w:szCs w:val="18"/>
        </w:rPr>
        <w:footnoteRef/>
      </w:r>
      <w:r>
        <w:rPr>
          <w:sz w:val="18"/>
          <w:rFonts w:ascii="Arial" w:hAnsi="Arial"/>
        </w:rPr>
        <w:t xml:space="preserve">)</w:t>
      </w:r>
      <w:r>
        <w:rPr>
          <w:sz w:val="18"/>
          <w:rFonts w:ascii="Arial" w:hAnsi="Arial"/>
        </w:rPr>
        <w:tab/>
      </w:r>
      <w:r>
        <w:rPr>
          <w:sz w:val="18"/>
          <w:rFonts w:ascii="Arial" w:hAnsi="Arial"/>
        </w:rPr>
        <w:t xml:space="preserve">http://apps2.bvl.bund.de/bltu.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D9839" w14:textId="5493E58F" w:rsidR="00B35BD4" w:rsidRPr="00955160" w:rsidRDefault="00955160" w:rsidP="00955160">
    <w:pPr>
      <w:pStyle w:val="Header"/>
    </w:pPr>
    <w:r>
      <w:tab/>
    </w:r>
    <w:r>
      <w:t xml:space="preserve">- </w:t>
    </w:r>
    <w:r>
      <w:fldChar w:fldCharType="begin"/>
    </w:r>
    <w:r>
      <w:instrText xml:space="preserve"> PAGE  \* MERGEFORMAT </w:instrText>
    </w:r>
    <w:r>
      <w:fldChar w:fldCharType="separate"/>
    </w:r>
    <w:r w:rsidR="007965D0">
      <w:t>15</w:t>
    </w:r>
    <w:r>
      <w:fldChar w:fldCharType="end"/>
    </w:r>
    <w:r>
      <w:t xml:space="preserve"> -</w:t>
    </w:r>
    <w:r>
      <w:tab/>
    </w:r>
    <w:r>
      <w:rPr>
        <w:sz w:val="18"/>
      </w:rPr>
      <w:t xml:space="preserve">Stan opracowania:</w:t>
    </w:r>
    <w:r>
      <w:rPr>
        <w:sz w:val="18"/>
      </w:rPr>
      <w:t xml:space="preserve"> </w:t>
    </w:r>
    <w:r>
      <w:rPr>
        <w:sz w:val="18"/>
      </w:rPr>
      <w:t xml:space="preserve">6.1.2021 godz. 09:47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B2D9" w14:textId="00A64B91" w:rsidR="00B35BD4" w:rsidRPr="00955160" w:rsidRDefault="00955160" w:rsidP="00DC4328">
    <w:pPr>
      <w:pStyle w:val="Header"/>
      <w:jc w:val="right"/>
    </w:pPr>
    <w:r>
      <w:rPr>
        <w:sz w:val="18"/>
      </w:rPr>
      <w:t xml:space="preserve">Stan opracowania:</w:t>
    </w:r>
    <w:r>
      <w:rPr>
        <w:sz w:val="18"/>
      </w:rPr>
      <w:t xml:space="preserve"> </w:t>
    </w:r>
    <w:r>
      <w:rPr>
        <w:sz w:val="18"/>
      </w:rPr>
      <w:t xml:space="preserve">6.1.2021 godz. 09:47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0027A2F"/>
    <w:multiLevelType w:val="hybridMultilevel"/>
    <w:tmpl w:val="C5862952"/>
    <w:lvl w:ilvl="0" w:tplc="0407000F">
      <w:start w:val="1"/>
      <w:numFmt w:val="decimal"/>
      <w:lvlText w:val="%1."/>
      <w:lvlJc w:val="left"/>
      <w:pPr>
        <w:ind w:left="785" w:hanging="360"/>
      </w:pPr>
      <w:rPr>
        <w:rFonts w:hint="default"/>
      </w:rPr>
    </w:lvl>
    <w:lvl w:ilvl="1" w:tplc="04070019" w:tentative="1">
      <w:start w:val="1"/>
      <w:numFmt w:val="lowerLetter"/>
      <w:lvlText w:val="%2."/>
      <w:lvlJc w:val="left"/>
      <w:pPr>
        <w:ind w:left="1505" w:hanging="360"/>
      </w:pPr>
    </w:lvl>
    <w:lvl w:ilvl="2" w:tplc="0407001B" w:tentative="1">
      <w:start w:val="1"/>
      <w:numFmt w:val="lowerRoman"/>
      <w:lvlText w:val="%3."/>
      <w:lvlJc w:val="right"/>
      <w:pPr>
        <w:ind w:left="2225" w:hanging="180"/>
      </w:pPr>
    </w:lvl>
    <w:lvl w:ilvl="3" w:tplc="0407000F" w:tentative="1">
      <w:start w:val="1"/>
      <w:numFmt w:val="decimal"/>
      <w:lvlText w:val="%4."/>
      <w:lvlJc w:val="left"/>
      <w:pPr>
        <w:ind w:left="2945" w:hanging="360"/>
      </w:pPr>
    </w:lvl>
    <w:lvl w:ilvl="4" w:tplc="04070019" w:tentative="1">
      <w:start w:val="1"/>
      <w:numFmt w:val="lowerLetter"/>
      <w:lvlText w:val="%5."/>
      <w:lvlJc w:val="left"/>
      <w:pPr>
        <w:ind w:left="3665" w:hanging="360"/>
      </w:pPr>
    </w:lvl>
    <w:lvl w:ilvl="5" w:tplc="0407001B" w:tentative="1">
      <w:start w:val="1"/>
      <w:numFmt w:val="lowerRoman"/>
      <w:lvlText w:val="%6."/>
      <w:lvlJc w:val="right"/>
      <w:pPr>
        <w:ind w:left="4385" w:hanging="180"/>
      </w:pPr>
    </w:lvl>
    <w:lvl w:ilvl="6" w:tplc="0407000F" w:tentative="1">
      <w:start w:val="1"/>
      <w:numFmt w:val="decimal"/>
      <w:lvlText w:val="%7."/>
      <w:lvlJc w:val="left"/>
      <w:pPr>
        <w:ind w:left="5105" w:hanging="360"/>
      </w:pPr>
    </w:lvl>
    <w:lvl w:ilvl="7" w:tplc="04070019" w:tentative="1">
      <w:start w:val="1"/>
      <w:numFmt w:val="lowerLetter"/>
      <w:lvlText w:val="%8."/>
      <w:lvlJc w:val="left"/>
      <w:pPr>
        <w:ind w:left="5825" w:hanging="360"/>
      </w:pPr>
    </w:lvl>
    <w:lvl w:ilvl="8" w:tplc="0407001B" w:tentative="1">
      <w:start w:val="1"/>
      <w:numFmt w:val="lowerRoman"/>
      <w:lvlText w:val="%9."/>
      <w:lvlJc w:val="right"/>
      <w:pPr>
        <w:ind w:left="6545" w:hanging="180"/>
      </w:pPr>
    </w:lvl>
  </w:abstractNum>
  <w:abstractNum w:abstractNumId="12"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4"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5"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6" w15:restartNumberingAfterBreak="0">
    <w:nsid w:val="50910653"/>
    <w:multiLevelType w:val="multilevel"/>
    <w:tmpl w:val="0C8A6BDA"/>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1"/>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8"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9"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2"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4"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5"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1"/>
  </w:num>
  <w:num w:numId="2">
    <w:abstractNumId w:val="5"/>
  </w:num>
  <w:num w:numId="3">
    <w:abstractNumId w:val="18"/>
  </w:num>
  <w:num w:numId="4">
    <w:abstractNumId w:val="25"/>
  </w:num>
  <w:num w:numId="5">
    <w:abstractNumId w:val="17"/>
  </w:num>
  <w:num w:numId="6">
    <w:abstractNumId w:val="3"/>
  </w:num>
  <w:num w:numId="7">
    <w:abstractNumId w:val="10"/>
  </w:num>
  <w:num w:numId="8">
    <w:abstractNumId w:val="0"/>
  </w:num>
  <w:num w:numId="9">
    <w:abstractNumId w:val="24"/>
  </w:num>
  <w:num w:numId="10">
    <w:abstractNumId w:val="12"/>
  </w:num>
  <w:num w:numId="11">
    <w:abstractNumId w:val="20"/>
  </w:num>
  <w:num w:numId="12">
    <w:abstractNumId w:val="2"/>
  </w:num>
  <w:num w:numId="13">
    <w:abstractNumId w:val="16"/>
  </w:num>
  <w:num w:numId="14">
    <w:abstractNumId w:val="7"/>
  </w:num>
  <w:num w:numId="15">
    <w:abstractNumId w:val="6"/>
  </w:num>
  <w:num w:numId="16">
    <w:abstractNumId w:val="15"/>
  </w:num>
  <w:num w:numId="17">
    <w:abstractNumId w:val="21"/>
  </w:num>
  <w:num w:numId="18">
    <w:abstractNumId w:val="8"/>
  </w:num>
  <w:num w:numId="19">
    <w:abstractNumId w:val="13"/>
  </w:num>
  <w:num w:numId="20">
    <w:abstractNumId w:val="1"/>
  </w:num>
  <w:num w:numId="21">
    <w:abstractNumId w:val="14"/>
  </w:num>
  <w:num w:numId="22">
    <w:abstractNumId w:val="4"/>
  </w:num>
  <w:num w:numId="23">
    <w:abstractNumId w:val="23"/>
  </w:num>
  <w:num w:numId="24">
    <w:abstractNumId w:val="22"/>
  </w:num>
  <w:num w:numId="25">
    <w:abstractNumId w:val="9"/>
  </w:num>
  <w:num w:numId="26">
    <w:abstractNumId w:val="19"/>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21ms"/>
    <w:docVar w:name="BefehlsKontext_SpeichernOOXML_Schnitt" w:val="221ms"/>
    <w:docVar w:name="DQCDateTime" w:val="05.01.2021 14:12:42"/>
    <w:docVar w:name="DQCHighlighting" w:val="100"/>
    <w:docVar w:name="DQCPart_Begruendung" w:val="0"/>
    <w:docVar w:name="DQCPart_Dokument" w:val="0"/>
    <w:docVar w:name="DQCPart_Regelungsteil" w:val="0"/>
    <w:docVar w:name="DQCPart_Vorblatt" w:val="0"/>
    <w:docVar w:name="DQCResult_Aenderungsbefehl" w:val="0;1"/>
    <w:docVar w:name="DQCResult_Binnenverweise" w:val="0;0"/>
    <w:docVar w:name="DQCResult_Citations" w:val="0;0"/>
    <w:docVar w:name="DQCResult_EinzelneRegelungsteile" w:val="1;3"/>
    <w:docVar w:name="DQCResult_EmbeddedObjects" w:val="0;0"/>
    <w:docVar w:name="DQCResult_Gliederung" w:val="4;0"/>
    <w:docVar w:name="DQCResult_Marker" w:val="0;0"/>
    <w:docVar w:name="DQCResult_Metadata" w:val="0;0"/>
    <w:docVar w:name="DQCResult_ModifiedCharFormat" w:val="0;3"/>
    <w:docVar w:name="DQCResult_ModifiedMargins" w:val="2;0"/>
    <w:docVar w:name="DQCResult_ModifiedNumbering" w:val="3;0"/>
    <w:docVar w:name="DQCResult_StructureCheck" w:val="0;0"/>
    <w:docVar w:name="DQCResult_SuperfluousWhitespace" w:val="5;0"/>
    <w:docVar w:name="DQCResult_TermsAndDiction" w:val="0;1"/>
    <w:docVar w:name="DQCResult_Verweise" w:val="0;0"/>
    <w:docVar w:name="DQCWithWarnings" w:val="1"/>
    <w:docVar w:name="EN_DocFileDateTimeAtOpen" w:val="06.01.2021 09:47:05"/>
    <w:docVar w:name="eNorm_Property_Save_Classification" w:val=" "/>
    <w:docVar w:name="eNorm_Property_Save_Created using" w:val="LW 5.4, Build 20200526"/>
    <w:docVar w:name="eNorm_Property_Save_eNorm-Version Erstellung" w:val="4.1.5, Bundesregierung, [20200526]"/>
    <w:docVar w:name="eNorm_Property_Save_eNorm-Version letzte Bearbeitung" w:val="4.1.5 Bundesregierung [20200526]"/>
    <w:docVar w:name="eNorm_Property_Save_eNorm-Version letzte DQP" w:val="4.1.5, Bundesregierung, [20200526]"/>
    <w:docVar w:name="eNorm_Property_Save_eNorm-Version vorherige Bearbeitung" w:val="4.1.5 Bundesregierung [20200526]"/>
    <w:docVar w:name="eNorm_Property_Save_Kategorie" w:val="AENDER/ARTGES"/>
    <w:docVar w:name="eNorm_Property_Save_Last edited using" w:val="LW 5.4, Build 20200526"/>
    <w:docVar w:name="eNorm_Property_Save_Version" w:val="4.1.4.0"/>
    <w:docVar w:name="eNorm_Template_Save" w:val="AENDER.dotm"/>
    <w:docVar w:name="eNorm_Variable_Save_BMJ" w:val="True"/>
    <w:docVar w:name="eNorm_Variable_Save_CUSTOMER" w:val="8"/>
    <w:docVar w:name="eNorm_Variable_Save_LW_DocType" w:val="AENDER"/>
    <w:docVar w:name="eNorm_Variable_Save_LWCons_Langue" w:val="DE"/>
    <w:docVar w:name="eNV_1956463BA01D4BF4B7FCB32ABCB79A91" w:val="Artikel 1"/>
    <w:docVar w:name="eNV_1956463BA01D4BF4B7FCB32ABCB79A91_Struct" w:val="Artikel 1;6;Struktur:1;CheckSums:-1;eNV_1956463BA01D4BF4B7FCB32ABCB79A91_1@@2"/>
    <w:docVar w:name="eNV_1A835861DC804640B7C4E5FDB9A8BCC9" w:val="Artikel 2"/>
    <w:docVar w:name="eNV_1A835861DC804640B7C4E5FDB9A8BCC9_Struct" w:val="Artikel 2;6;Struktur:2;CheckSums:-1;eNV_1A835861DC804640B7C4E5FDB9A8BCC9_1@@2"/>
    <w:docVar w:name="eNV_4325967B1F3246748D5D5AEB13055FC4_Struct" w:val="Artikel 1 Nummer 3;6;Struktur:1/0/3;CheckSums:-1/-1/-1;eNV_4325967B1F3246748D5D5AEB13055FC4_1@@2"/>
    <w:docVar w:name="eNV_59D6734847AE440D9452C864BF45BAE5_Struct" w:val="Artikel 1 Nummer 2 Buchstabe a;6;Struktur:1/0/2/1;CheckSums:-1/-1/-1/-1;eNV_59D6734847AE440D9452C864BF45BAE5_1@@2"/>
    <w:docVar w:name="eNV_5B97843B51EF475A87493A8A2BD72D0F" w:val="Absatz 2"/>
    <w:docVar w:name="eNV_5B97843B51EF475A87493A8A2BD72D0F_Struct" w:val="Artikel 3 Absatz 2;6;Struktur:3/2;CheckSums:-1/-1;eNV_5B97843B51EF475A87493A8A2BD72D0F_1@@2"/>
    <w:docVar w:name="eNV_6F646989D6C440D587DEAE854A7F0E75" w:val="Buchstabe b"/>
    <w:docVar w:name="eNV_6F646989D6C440D587DEAE854A7F0E75_Struct" w:val="Artikel 2 Nummer 1 Buchstabe b;6;Struktur:2/0/1/2;CheckSums:-1/-1/-1/-1;eNV_6F646989D6C440D587DEAE854A7F0E75_1@@2"/>
    <w:docVar w:name="eNV_7F5829AFA2604517866D51B856CCAD43_Struct" w:val="Artikel 1 Nummer 2;6;Struktur:1/0/2;CheckSums:-1/-1/-1;eNV_7F5829AFA2604517866D51B856CCAD43_1@@2"/>
    <w:docVar w:name="eNV_8AD56271B6E247A1A853A360D76099E9_Struct" w:val="Artikel 1 Nummer 2 Buchstabe b;6;Struktur:1/0/2/2;CheckSums:-1/-1/-1/-1;eNV_8AD56271B6E247A1A853A360D76099E9_1@@2"/>
    <w:docVar w:name="eNV_8B15A0CDE7F447B3AF7F24D16DF10B22_Struct" w:val="Artikel 1 Nummer 1;6;Struktur:1/0/1;CheckSums:-1/-1/-1;eNV_8B15A0CDE7F447B3AF7F24D16DF10B22_1@@2"/>
    <w:docVar w:name="eNV_ABDE3140379247D784499221B58061C8_Struct" w:val="Artikel 1 Nummer 2;6;Struktur:1/0/2;CheckSums:-1/-1/-1;eNV_ABDE3140379247D784499221B58061C8_1@@2"/>
    <w:docVar w:name="eNV_BA8AFCDD63D24939AD4DF617B879A263" w:val="Buchstabe a"/>
    <w:docVar w:name="eNV_BA8AFCDD63D24939AD4DF617B879A263_Struct" w:val="Artikel 2 Nummer 1 Buchstabe a;6;Struktur:2/0/1/1;CheckSums:-1/-1/-1/-1;eNV_BA8AFCDD63D24939AD4DF617B879A263_1@@2"/>
    <w:docVar w:name="eNV_D758C0E230D34A27AFC34C098A7F2532" w:val="Absatz 1"/>
    <w:docVar w:name="eNV_D758C0E230D34A27AFC34C098A7F2532_Struct" w:val="Artikel 3 Absatz 1;6;Struktur:3/1;CheckSums:-1/-1;eNV_D758C0E230D34A27AFC34C098A7F2532_1@@2"/>
    <w:docVar w:name="eNV_DED250CE468E43A7B211B78ECD93E01A_Struct" w:val="Artikel 2 Nummer 2;6;Struktur:2/0/2;CheckSums:-1/-1/-1;eNV_DED250CE468E43A7B211B78ECD93E01A_1@@2"/>
    <w:docVar w:name="eNV_E4F21131AAF4463F8020D827DC7930DE" w:val="Artikel 3"/>
    <w:docVar w:name="eNV_E4F21131AAF4463F8020D827DC7930DE_Struct" w:val="Artikel 3;6;Struktur:3;CheckSums:-1;eNV_E4F21131AAF4463F8020D827DC7930DE_1@@2"/>
    <w:docVar w:name="eNV_ED2F2D54BCBE4F2AB902D963DD596EA8" w:val="Nummer 1"/>
    <w:docVar w:name="eNV_ED2F2D54BCBE4F2AB902D963DD596EA8_Struct" w:val="Artikel 2 Nummer 1;6;Struktur:2/0/1;CheckSums:-1/-1/-1;eNV_ED2F2D54BCBE4F2AB902D963DD596EA8_1@@2"/>
    <w:docVar w:name="eNV_F90E7B57E71542ECBDF319E48025521F" w:val="Nummer 3"/>
    <w:docVar w:name="eNV_F90E7B57E71542ECBDF319E48025521F_Struct" w:val="Artikel 2 Nummer 3;6;Struktur:2/0/3;CheckSums:-1/-1/-1;eNV_F90E7B57E71542ECBDF319E48025521F_1@@2"/>
  </w:docVars>
  <w:rsids>
    <w:rsidRoot w:val="002B6ABF"/>
    <w:rsid w:val="00000F75"/>
    <w:rsid w:val="00002FF8"/>
    <w:rsid w:val="00004292"/>
    <w:rsid w:val="00007C3B"/>
    <w:rsid w:val="00013ED2"/>
    <w:rsid w:val="00014894"/>
    <w:rsid w:val="00020B4D"/>
    <w:rsid w:val="00022783"/>
    <w:rsid w:val="00023D3D"/>
    <w:rsid w:val="00037E0A"/>
    <w:rsid w:val="00041370"/>
    <w:rsid w:val="000503BB"/>
    <w:rsid w:val="00052049"/>
    <w:rsid w:val="00054BFF"/>
    <w:rsid w:val="00061CC5"/>
    <w:rsid w:val="00077A2E"/>
    <w:rsid w:val="00081A31"/>
    <w:rsid w:val="00084533"/>
    <w:rsid w:val="000849CD"/>
    <w:rsid w:val="0008599A"/>
    <w:rsid w:val="00092734"/>
    <w:rsid w:val="00096EE6"/>
    <w:rsid w:val="00097C27"/>
    <w:rsid w:val="000A09E4"/>
    <w:rsid w:val="000A2210"/>
    <w:rsid w:val="000A6689"/>
    <w:rsid w:val="000A6FED"/>
    <w:rsid w:val="000B45BA"/>
    <w:rsid w:val="000D04A8"/>
    <w:rsid w:val="000D1395"/>
    <w:rsid w:val="000D3078"/>
    <w:rsid w:val="000D500B"/>
    <w:rsid w:val="000D6757"/>
    <w:rsid w:val="000E149E"/>
    <w:rsid w:val="000E691B"/>
    <w:rsid w:val="00106CCC"/>
    <w:rsid w:val="00107247"/>
    <w:rsid w:val="001205F9"/>
    <w:rsid w:val="001216CA"/>
    <w:rsid w:val="00122351"/>
    <w:rsid w:val="00135F5B"/>
    <w:rsid w:val="00142FDA"/>
    <w:rsid w:val="00144702"/>
    <w:rsid w:val="00146A8C"/>
    <w:rsid w:val="00151D17"/>
    <w:rsid w:val="00151D1A"/>
    <w:rsid w:val="0015210A"/>
    <w:rsid w:val="00153D3F"/>
    <w:rsid w:val="00157DBF"/>
    <w:rsid w:val="00162F1A"/>
    <w:rsid w:val="00164BDC"/>
    <w:rsid w:val="0016605B"/>
    <w:rsid w:val="001762AA"/>
    <w:rsid w:val="00177641"/>
    <w:rsid w:val="00182835"/>
    <w:rsid w:val="00190D44"/>
    <w:rsid w:val="001A750D"/>
    <w:rsid w:val="001B0915"/>
    <w:rsid w:val="001B1CA1"/>
    <w:rsid w:val="001B4D9E"/>
    <w:rsid w:val="001B5C2D"/>
    <w:rsid w:val="001B7CB5"/>
    <w:rsid w:val="001B7F16"/>
    <w:rsid w:val="001C1489"/>
    <w:rsid w:val="001D001A"/>
    <w:rsid w:val="001D01E4"/>
    <w:rsid w:val="001D1AA9"/>
    <w:rsid w:val="001D2960"/>
    <w:rsid w:val="001D5CEA"/>
    <w:rsid w:val="001D6AF3"/>
    <w:rsid w:val="001E2965"/>
    <w:rsid w:val="001E35CB"/>
    <w:rsid w:val="001E723E"/>
    <w:rsid w:val="001F0861"/>
    <w:rsid w:val="001F23F6"/>
    <w:rsid w:val="001F2C35"/>
    <w:rsid w:val="001F5645"/>
    <w:rsid w:val="0020069A"/>
    <w:rsid w:val="002029F8"/>
    <w:rsid w:val="0020671E"/>
    <w:rsid w:val="002143EF"/>
    <w:rsid w:val="00216D5A"/>
    <w:rsid w:val="00217379"/>
    <w:rsid w:val="002206BD"/>
    <w:rsid w:val="00234F57"/>
    <w:rsid w:val="002357B6"/>
    <w:rsid w:val="0024108E"/>
    <w:rsid w:val="00242023"/>
    <w:rsid w:val="00246169"/>
    <w:rsid w:val="00250713"/>
    <w:rsid w:val="00252223"/>
    <w:rsid w:val="002536AC"/>
    <w:rsid w:val="00256D94"/>
    <w:rsid w:val="00261248"/>
    <w:rsid w:val="00261F90"/>
    <w:rsid w:val="00263A3C"/>
    <w:rsid w:val="002659D4"/>
    <w:rsid w:val="00270762"/>
    <w:rsid w:val="0027388F"/>
    <w:rsid w:val="00274BB8"/>
    <w:rsid w:val="00275036"/>
    <w:rsid w:val="00276B29"/>
    <w:rsid w:val="00276D53"/>
    <w:rsid w:val="00283C1C"/>
    <w:rsid w:val="00284279"/>
    <w:rsid w:val="00285F8A"/>
    <w:rsid w:val="00293B75"/>
    <w:rsid w:val="002947EA"/>
    <w:rsid w:val="0029532E"/>
    <w:rsid w:val="00297555"/>
    <w:rsid w:val="002977C4"/>
    <w:rsid w:val="002A6BF4"/>
    <w:rsid w:val="002B09C6"/>
    <w:rsid w:val="002B27A8"/>
    <w:rsid w:val="002B2F89"/>
    <w:rsid w:val="002B5DA5"/>
    <w:rsid w:val="002B62F5"/>
    <w:rsid w:val="002B6ABF"/>
    <w:rsid w:val="002C3D24"/>
    <w:rsid w:val="002C74F4"/>
    <w:rsid w:val="002D023A"/>
    <w:rsid w:val="002D07F8"/>
    <w:rsid w:val="002D2BC0"/>
    <w:rsid w:val="002D5600"/>
    <w:rsid w:val="002D6C46"/>
    <w:rsid w:val="002E2CE6"/>
    <w:rsid w:val="002E489E"/>
    <w:rsid w:val="002F0B62"/>
    <w:rsid w:val="002F3800"/>
    <w:rsid w:val="002F60FB"/>
    <w:rsid w:val="00300B1B"/>
    <w:rsid w:val="003020DF"/>
    <w:rsid w:val="00304384"/>
    <w:rsid w:val="00304D58"/>
    <w:rsid w:val="00310097"/>
    <w:rsid w:val="00313E82"/>
    <w:rsid w:val="00321A38"/>
    <w:rsid w:val="00327DC3"/>
    <w:rsid w:val="00331D5E"/>
    <w:rsid w:val="00332190"/>
    <w:rsid w:val="0033244A"/>
    <w:rsid w:val="00335C3A"/>
    <w:rsid w:val="00346282"/>
    <w:rsid w:val="00351C68"/>
    <w:rsid w:val="003555E9"/>
    <w:rsid w:val="003662FD"/>
    <w:rsid w:val="00373723"/>
    <w:rsid w:val="00373744"/>
    <w:rsid w:val="00374761"/>
    <w:rsid w:val="00374A13"/>
    <w:rsid w:val="00387B35"/>
    <w:rsid w:val="00395427"/>
    <w:rsid w:val="00395C59"/>
    <w:rsid w:val="00395C7A"/>
    <w:rsid w:val="0039651A"/>
    <w:rsid w:val="00396772"/>
    <w:rsid w:val="003A261F"/>
    <w:rsid w:val="003A6909"/>
    <w:rsid w:val="003B40FD"/>
    <w:rsid w:val="003B7EF1"/>
    <w:rsid w:val="003C19FF"/>
    <w:rsid w:val="003C24B0"/>
    <w:rsid w:val="003C3445"/>
    <w:rsid w:val="003C6535"/>
    <w:rsid w:val="003D5789"/>
    <w:rsid w:val="003E306B"/>
    <w:rsid w:val="003E36B3"/>
    <w:rsid w:val="003E45E0"/>
    <w:rsid w:val="003E53DB"/>
    <w:rsid w:val="003F1D83"/>
    <w:rsid w:val="003F1EF0"/>
    <w:rsid w:val="00404E6F"/>
    <w:rsid w:val="00405E64"/>
    <w:rsid w:val="00407077"/>
    <w:rsid w:val="00417DC8"/>
    <w:rsid w:val="004217CC"/>
    <w:rsid w:val="0042278E"/>
    <w:rsid w:val="004237AB"/>
    <w:rsid w:val="00426E85"/>
    <w:rsid w:val="004312C4"/>
    <w:rsid w:val="00434445"/>
    <w:rsid w:val="00444039"/>
    <w:rsid w:val="00447CDC"/>
    <w:rsid w:val="00450104"/>
    <w:rsid w:val="004518C9"/>
    <w:rsid w:val="004519E9"/>
    <w:rsid w:val="00451BE0"/>
    <w:rsid w:val="00454302"/>
    <w:rsid w:val="00457FE5"/>
    <w:rsid w:val="00463762"/>
    <w:rsid w:val="00467DF7"/>
    <w:rsid w:val="00471FBA"/>
    <w:rsid w:val="00473B25"/>
    <w:rsid w:val="004773C2"/>
    <w:rsid w:val="004818AC"/>
    <w:rsid w:val="00482CED"/>
    <w:rsid w:val="00485133"/>
    <w:rsid w:val="00485340"/>
    <w:rsid w:val="00485DDD"/>
    <w:rsid w:val="004918C0"/>
    <w:rsid w:val="004A0120"/>
    <w:rsid w:val="004A0326"/>
    <w:rsid w:val="004B1389"/>
    <w:rsid w:val="004B1EAC"/>
    <w:rsid w:val="004B3CC7"/>
    <w:rsid w:val="004C60CD"/>
    <w:rsid w:val="004D05A5"/>
    <w:rsid w:val="004D2693"/>
    <w:rsid w:val="004E0AF9"/>
    <w:rsid w:val="004E0CF6"/>
    <w:rsid w:val="004E1D47"/>
    <w:rsid w:val="004E778B"/>
    <w:rsid w:val="004F1F90"/>
    <w:rsid w:val="004F4501"/>
    <w:rsid w:val="004F60D2"/>
    <w:rsid w:val="0050449F"/>
    <w:rsid w:val="0051743F"/>
    <w:rsid w:val="00517CD9"/>
    <w:rsid w:val="00517FB4"/>
    <w:rsid w:val="0052736D"/>
    <w:rsid w:val="00531BE9"/>
    <w:rsid w:val="0053368C"/>
    <w:rsid w:val="005350A8"/>
    <w:rsid w:val="005376B9"/>
    <w:rsid w:val="005405EB"/>
    <w:rsid w:val="00542D8B"/>
    <w:rsid w:val="00553EE5"/>
    <w:rsid w:val="00556F37"/>
    <w:rsid w:val="00560036"/>
    <w:rsid w:val="0056104F"/>
    <w:rsid w:val="00561226"/>
    <w:rsid w:val="00566DE3"/>
    <w:rsid w:val="00567F08"/>
    <w:rsid w:val="0057146A"/>
    <w:rsid w:val="00571B26"/>
    <w:rsid w:val="00571BB2"/>
    <w:rsid w:val="00590454"/>
    <w:rsid w:val="005911C7"/>
    <w:rsid w:val="00592EEE"/>
    <w:rsid w:val="00596E74"/>
    <w:rsid w:val="005979CF"/>
    <w:rsid w:val="005A2297"/>
    <w:rsid w:val="005A30F7"/>
    <w:rsid w:val="005A366E"/>
    <w:rsid w:val="005B0D2B"/>
    <w:rsid w:val="005B197E"/>
    <w:rsid w:val="005C319C"/>
    <w:rsid w:val="005C55FE"/>
    <w:rsid w:val="005C6E31"/>
    <w:rsid w:val="005C7F4B"/>
    <w:rsid w:val="005D1540"/>
    <w:rsid w:val="005D3F64"/>
    <w:rsid w:val="005D5772"/>
    <w:rsid w:val="005E0168"/>
    <w:rsid w:val="005E65A6"/>
    <w:rsid w:val="005E66F0"/>
    <w:rsid w:val="005F42F0"/>
    <w:rsid w:val="00600E9A"/>
    <w:rsid w:val="00604D26"/>
    <w:rsid w:val="00605AC9"/>
    <w:rsid w:val="00606ED5"/>
    <w:rsid w:val="00611C8E"/>
    <w:rsid w:val="006234C4"/>
    <w:rsid w:val="00627F4E"/>
    <w:rsid w:val="0063009B"/>
    <w:rsid w:val="0063152D"/>
    <w:rsid w:val="00632681"/>
    <w:rsid w:val="00632ADE"/>
    <w:rsid w:val="00652332"/>
    <w:rsid w:val="006705B2"/>
    <w:rsid w:val="00670A91"/>
    <w:rsid w:val="0067588D"/>
    <w:rsid w:val="00682004"/>
    <w:rsid w:val="00685AA7"/>
    <w:rsid w:val="00691114"/>
    <w:rsid w:val="00694272"/>
    <w:rsid w:val="00694525"/>
    <w:rsid w:val="0069507F"/>
    <w:rsid w:val="006B4C97"/>
    <w:rsid w:val="006C14AA"/>
    <w:rsid w:val="006C6C83"/>
    <w:rsid w:val="006D5F55"/>
    <w:rsid w:val="006D7DE4"/>
    <w:rsid w:val="006E1E84"/>
    <w:rsid w:val="006E71E8"/>
    <w:rsid w:val="006E77ED"/>
    <w:rsid w:val="006F3192"/>
    <w:rsid w:val="006F435C"/>
    <w:rsid w:val="006F6F3F"/>
    <w:rsid w:val="00700013"/>
    <w:rsid w:val="0070074D"/>
    <w:rsid w:val="0070358B"/>
    <w:rsid w:val="00704CEC"/>
    <w:rsid w:val="007135D3"/>
    <w:rsid w:val="007216F6"/>
    <w:rsid w:val="007225D5"/>
    <w:rsid w:val="00722DC4"/>
    <w:rsid w:val="00726D55"/>
    <w:rsid w:val="00726EAA"/>
    <w:rsid w:val="00730C92"/>
    <w:rsid w:val="00730EBA"/>
    <w:rsid w:val="00732F81"/>
    <w:rsid w:val="00734159"/>
    <w:rsid w:val="00735C5B"/>
    <w:rsid w:val="00740C48"/>
    <w:rsid w:val="00741274"/>
    <w:rsid w:val="007438BC"/>
    <w:rsid w:val="007457A2"/>
    <w:rsid w:val="00746662"/>
    <w:rsid w:val="00747449"/>
    <w:rsid w:val="00757B0D"/>
    <w:rsid w:val="00761C51"/>
    <w:rsid w:val="00765627"/>
    <w:rsid w:val="00766F51"/>
    <w:rsid w:val="0077041D"/>
    <w:rsid w:val="00770ECA"/>
    <w:rsid w:val="00774080"/>
    <w:rsid w:val="00775F7F"/>
    <w:rsid w:val="007768AF"/>
    <w:rsid w:val="00776AA5"/>
    <w:rsid w:val="00780143"/>
    <w:rsid w:val="0078163F"/>
    <w:rsid w:val="007832EC"/>
    <w:rsid w:val="00786E59"/>
    <w:rsid w:val="00792B6D"/>
    <w:rsid w:val="00792EA3"/>
    <w:rsid w:val="00793A16"/>
    <w:rsid w:val="007948E7"/>
    <w:rsid w:val="00795460"/>
    <w:rsid w:val="007965D0"/>
    <w:rsid w:val="00796FE3"/>
    <w:rsid w:val="007A388E"/>
    <w:rsid w:val="007A3AB4"/>
    <w:rsid w:val="007C0494"/>
    <w:rsid w:val="007C3950"/>
    <w:rsid w:val="007D19A1"/>
    <w:rsid w:val="007D6EFD"/>
    <w:rsid w:val="007E2300"/>
    <w:rsid w:val="007E2F88"/>
    <w:rsid w:val="007F0282"/>
    <w:rsid w:val="007F7194"/>
    <w:rsid w:val="008003C0"/>
    <w:rsid w:val="008006E0"/>
    <w:rsid w:val="008017D3"/>
    <w:rsid w:val="00803B8C"/>
    <w:rsid w:val="0080470A"/>
    <w:rsid w:val="00811183"/>
    <w:rsid w:val="00817793"/>
    <w:rsid w:val="008236E0"/>
    <w:rsid w:val="008347F3"/>
    <w:rsid w:val="00834BD9"/>
    <w:rsid w:val="00837160"/>
    <w:rsid w:val="00841F16"/>
    <w:rsid w:val="00842701"/>
    <w:rsid w:val="00842829"/>
    <w:rsid w:val="00843799"/>
    <w:rsid w:val="0084380E"/>
    <w:rsid w:val="0084652A"/>
    <w:rsid w:val="00850A9F"/>
    <w:rsid w:val="00851EE9"/>
    <w:rsid w:val="00854AD6"/>
    <w:rsid w:val="00865405"/>
    <w:rsid w:val="00873D53"/>
    <w:rsid w:val="00876E9D"/>
    <w:rsid w:val="008A3128"/>
    <w:rsid w:val="008B2B4B"/>
    <w:rsid w:val="008C1508"/>
    <w:rsid w:val="008C5C07"/>
    <w:rsid w:val="008D3415"/>
    <w:rsid w:val="008F459A"/>
    <w:rsid w:val="008F6B15"/>
    <w:rsid w:val="00902C21"/>
    <w:rsid w:val="00903084"/>
    <w:rsid w:val="00903260"/>
    <w:rsid w:val="00903498"/>
    <w:rsid w:val="00903F6C"/>
    <w:rsid w:val="0090794F"/>
    <w:rsid w:val="00912B2A"/>
    <w:rsid w:val="00916717"/>
    <w:rsid w:val="00917A86"/>
    <w:rsid w:val="0092011F"/>
    <w:rsid w:val="00921404"/>
    <w:rsid w:val="00926AB1"/>
    <w:rsid w:val="00927E6B"/>
    <w:rsid w:val="00934CCA"/>
    <w:rsid w:val="00941D08"/>
    <w:rsid w:val="00942B9C"/>
    <w:rsid w:val="00945475"/>
    <w:rsid w:val="009465FD"/>
    <w:rsid w:val="00946989"/>
    <w:rsid w:val="00947D48"/>
    <w:rsid w:val="0095343D"/>
    <w:rsid w:val="00954AF9"/>
    <w:rsid w:val="00955160"/>
    <w:rsid w:val="009623BC"/>
    <w:rsid w:val="00966D42"/>
    <w:rsid w:val="00967433"/>
    <w:rsid w:val="009679E6"/>
    <w:rsid w:val="009731E3"/>
    <w:rsid w:val="0098201F"/>
    <w:rsid w:val="009825F9"/>
    <w:rsid w:val="00983F12"/>
    <w:rsid w:val="00984304"/>
    <w:rsid w:val="0098574F"/>
    <w:rsid w:val="0098689C"/>
    <w:rsid w:val="0099375B"/>
    <w:rsid w:val="0099472B"/>
    <w:rsid w:val="00995604"/>
    <w:rsid w:val="009A0CF8"/>
    <w:rsid w:val="009A0E7B"/>
    <w:rsid w:val="009A17A4"/>
    <w:rsid w:val="009B26B3"/>
    <w:rsid w:val="009B541F"/>
    <w:rsid w:val="009C04C2"/>
    <w:rsid w:val="009C2031"/>
    <w:rsid w:val="009C5B02"/>
    <w:rsid w:val="009C6007"/>
    <w:rsid w:val="009D070D"/>
    <w:rsid w:val="009D080D"/>
    <w:rsid w:val="009D32B1"/>
    <w:rsid w:val="009D4590"/>
    <w:rsid w:val="009D75EF"/>
    <w:rsid w:val="009E15C6"/>
    <w:rsid w:val="009E3FF4"/>
    <w:rsid w:val="009F3112"/>
    <w:rsid w:val="00A008F1"/>
    <w:rsid w:val="00A04F4E"/>
    <w:rsid w:val="00A10826"/>
    <w:rsid w:val="00A1181A"/>
    <w:rsid w:val="00A11B54"/>
    <w:rsid w:val="00A11BCD"/>
    <w:rsid w:val="00A130A0"/>
    <w:rsid w:val="00A133BA"/>
    <w:rsid w:val="00A147E3"/>
    <w:rsid w:val="00A236FE"/>
    <w:rsid w:val="00A25A31"/>
    <w:rsid w:val="00A3144F"/>
    <w:rsid w:val="00A36874"/>
    <w:rsid w:val="00A414D1"/>
    <w:rsid w:val="00A436AD"/>
    <w:rsid w:val="00A45A9D"/>
    <w:rsid w:val="00A464AC"/>
    <w:rsid w:val="00A51C3B"/>
    <w:rsid w:val="00A5296D"/>
    <w:rsid w:val="00A5407D"/>
    <w:rsid w:val="00A57B26"/>
    <w:rsid w:val="00A62D6C"/>
    <w:rsid w:val="00A667AF"/>
    <w:rsid w:val="00A67211"/>
    <w:rsid w:val="00A679F2"/>
    <w:rsid w:val="00A75A00"/>
    <w:rsid w:val="00A77042"/>
    <w:rsid w:val="00A8021C"/>
    <w:rsid w:val="00A84296"/>
    <w:rsid w:val="00A9324D"/>
    <w:rsid w:val="00A97D83"/>
    <w:rsid w:val="00AA1500"/>
    <w:rsid w:val="00AA174A"/>
    <w:rsid w:val="00AA5ECA"/>
    <w:rsid w:val="00AB1A09"/>
    <w:rsid w:val="00AB36D9"/>
    <w:rsid w:val="00AB63D6"/>
    <w:rsid w:val="00AC061D"/>
    <w:rsid w:val="00AD02B2"/>
    <w:rsid w:val="00AD1364"/>
    <w:rsid w:val="00AD4D3D"/>
    <w:rsid w:val="00AD68D8"/>
    <w:rsid w:val="00AE633B"/>
    <w:rsid w:val="00AE7967"/>
    <w:rsid w:val="00AE798D"/>
    <w:rsid w:val="00B0316D"/>
    <w:rsid w:val="00B043E4"/>
    <w:rsid w:val="00B05098"/>
    <w:rsid w:val="00B13AD3"/>
    <w:rsid w:val="00B17085"/>
    <w:rsid w:val="00B2425E"/>
    <w:rsid w:val="00B2572B"/>
    <w:rsid w:val="00B30904"/>
    <w:rsid w:val="00B33D63"/>
    <w:rsid w:val="00B35BD4"/>
    <w:rsid w:val="00B52DF7"/>
    <w:rsid w:val="00B609B4"/>
    <w:rsid w:val="00B619B4"/>
    <w:rsid w:val="00B63AC9"/>
    <w:rsid w:val="00B63EF8"/>
    <w:rsid w:val="00B66407"/>
    <w:rsid w:val="00B673B4"/>
    <w:rsid w:val="00B702CE"/>
    <w:rsid w:val="00B7117D"/>
    <w:rsid w:val="00B74AA8"/>
    <w:rsid w:val="00B75523"/>
    <w:rsid w:val="00B7598A"/>
    <w:rsid w:val="00B778B2"/>
    <w:rsid w:val="00B80D14"/>
    <w:rsid w:val="00B82899"/>
    <w:rsid w:val="00B85CFB"/>
    <w:rsid w:val="00B87012"/>
    <w:rsid w:val="00B947AF"/>
    <w:rsid w:val="00BA72BF"/>
    <w:rsid w:val="00BB0A58"/>
    <w:rsid w:val="00BB1400"/>
    <w:rsid w:val="00BB734B"/>
    <w:rsid w:val="00BC2675"/>
    <w:rsid w:val="00BE5A02"/>
    <w:rsid w:val="00BF0879"/>
    <w:rsid w:val="00BF203A"/>
    <w:rsid w:val="00BF3387"/>
    <w:rsid w:val="00BF3AE7"/>
    <w:rsid w:val="00BF48C8"/>
    <w:rsid w:val="00BF50AA"/>
    <w:rsid w:val="00BF62F0"/>
    <w:rsid w:val="00C0136C"/>
    <w:rsid w:val="00C1116E"/>
    <w:rsid w:val="00C1128B"/>
    <w:rsid w:val="00C130D8"/>
    <w:rsid w:val="00C224CB"/>
    <w:rsid w:val="00C23946"/>
    <w:rsid w:val="00C23C43"/>
    <w:rsid w:val="00C315B9"/>
    <w:rsid w:val="00C32A29"/>
    <w:rsid w:val="00C34B8A"/>
    <w:rsid w:val="00C360CC"/>
    <w:rsid w:val="00C37492"/>
    <w:rsid w:val="00C41227"/>
    <w:rsid w:val="00C429E7"/>
    <w:rsid w:val="00C43356"/>
    <w:rsid w:val="00C46691"/>
    <w:rsid w:val="00C46C86"/>
    <w:rsid w:val="00C47526"/>
    <w:rsid w:val="00C5219C"/>
    <w:rsid w:val="00C55ABB"/>
    <w:rsid w:val="00C6040F"/>
    <w:rsid w:val="00C62039"/>
    <w:rsid w:val="00C72F15"/>
    <w:rsid w:val="00C76698"/>
    <w:rsid w:val="00C80BD3"/>
    <w:rsid w:val="00C81478"/>
    <w:rsid w:val="00C8233E"/>
    <w:rsid w:val="00C82540"/>
    <w:rsid w:val="00C91318"/>
    <w:rsid w:val="00C92109"/>
    <w:rsid w:val="00C969CF"/>
    <w:rsid w:val="00C96A51"/>
    <w:rsid w:val="00CA1431"/>
    <w:rsid w:val="00CA1C2B"/>
    <w:rsid w:val="00CA4CCB"/>
    <w:rsid w:val="00CB0ECF"/>
    <w:rsid w:val="00CB38FD"/>
    <w:rsid w:val="00CB51A2"/>
    <w:rsid w:val="00CB55CB"/>
    <w:rsid w:val="00CB7D49"/>
    <w:rsid w:val="00CC02F5"/>
    <w:rsid w:val="00CC0443"/>
    <w:rsid w:val="00CD27FF"/>
    <w:rsid w:val="00CD7C4C"/>
    <w:rsid w:val="00CE1757"/>
    <w:rsid w:val="00CF1349"/>
    <w:rsid w:val="00CF5D30"/>
    <w:rsid w:val="00D02079"/>
    <w:rsid w:val="00D0342A"/>
    <w:rsid w:val="00D034D3"/>
    <w:rsid w:val="00D10747"/>
    <w:rsid w:val="00D138C4"/>
    <w:rsid w:val="00D13AD3"/>
    <w:rsid w:val="00D172CF"/>
    <w:rsid w:val="00D178D1"/>
    <w:rsid w:val="00D2364F"/>
    <w:rsid w:val="00D2773C"/>
    <w:rsid w:val="00D34057"/>
    <w:rsid w:val="00D3581D"/>
    <w:rsid w:val="00D411AE"/>
    <w:rsid w:val="00D4249C"/>
    <w:rsid w:val="00D431C9"/>
    <w:rsid w:val="00D43967"/>
    <w:rsid w:val="00D43DFD"/>
    <w:rsid w:val="00D5660A"/>
    <w:rsid w:val="00D67A68"/>
    <w:rsid w:val="00D71FF4"/>
    <w:rsid w:val="00D7263A"/>
    <w:rsid w:val="00D74413"/>
    <w:rsid w:val="00D7479E"/>
    <w:rsid w:val="00D776F5"/>
    <w:rsid w:val="00D77A2B"/>
    <w:rsid w:val="00D82A9F"/>
    <w:rsid w:val="00D82D69"/>
    <w:rsid w:val="00D84913"/>
    <w:rsid w:val="00D84EE7"/>
    <w:rsid w:val="00D909F9"/>
    <w:rsid w:val="00D90D22"/>
    <w:rsid w:val="00D92F03"/>
    <w:rsid w:val="00D94408"/>
    <w:rsid w:val="00D95C21"/>
    <w:rsid w:val="00DA07C6"/>
    <w:rsid w:val="00DA5B5A"/>
    <w:rsid w:val="00DA74C4"/>
    <w:rsid w:val="00DA7D9B"/>
    <w:rsid w:val="00DB2A6B"/>
    <w:rsid w:val="00DB2E86"/>
    <w:rsid w:val="00DB304A"/>
    <w:rsid w:val="00DB4A50"/>
    <w:rsid w:val="00DB5B0A"/>
    <w:rsid w:val="00DC35BD"/>
    <w:rsid w:val="00DC4328"/>
    <w:rsid w:val="00DC4EC8"/>
    <w:rsid w:val="00DD2370"/>
    <w:rsid w:val="00DE7BEF"/>
    <w:rsid w:val="00DF1912"/>
    <w:rsid w:val="00DF31C3"/>
    <w:rsid w:val="00DF77AF"/>
    <w:rsid w:val="00DF7C70"/>
    <w:rsid w:val="00E05B14"/>
    <w:rsid w:val="00E11559"/>
    <w:rsid w:val="00E12749"/>
    <w:rsid w:val="00E1428F"/>
    <w:rsid w:val="00E142B8"/>
    <w:rsid w:val="00E14C3F"/>
    <w:rsid w:val="00E20922"/>
    <w:rsid w:val="00E21B8C"/>
    <w:rsid w:val="00E2285E"/>
    <w:rsid w:val="00E3065D"/>
    <w:rsid w:val="00E3109D"/>
    <w:rsid w:val="00E34AA9"/>
    <w:rsid w:val="00E35578"/>
    <w:rsid w:val="00E36A9B"/>
    <w:rsid w:val="00E50124"/>
    <w:rsid w:val="00E517A0"/>
    <w:rsid w:val="00E567BC"/>
    <w:rsid w:val="00E5799D"/>
    <w:rsid w:val="00E67E8E"/>
    <w:rsid w:val="00E75E7B"/>
    <w:rsid w:val="00E767B6"/>
    <w:rsid w:val="00E7745E"/>
    <w:rsid w:val="00E82FAC"/>
    <w:rsid w:val="00E854CC"/>
    <w:rsid w:val="00E92544"/>
    <w:rsid w:val="00E92A16"/>
    <w:rsid w:val="00E94391"/>
    <w:rsid w:val="00E9495A"/>
    <w:rsid w:val="00E977FC"/>
    <w:rsid w:val="00EB1F49"/>
    <w:rsid w:val="00EB2E77"/>
    <w:rsid w:val="00EB5CFA"/>
    <w:rsid w:val="00EC5337"/>
    <w:rsid w:val="00EC6692"/>
    <w:rsid w:val="00ED31F4"/>
    <w:rsid w:val="00ED7938"/>
    <w:rsid w:val="00EE3ECA"/>
    <w:rsid w:val="00EE70E2"/>
    <w:rsid w:val="00EF31E7"/>
    <w:rsid w:val="00EF383E"/>
    <w:rsid w:val="00EF70C8"/>
    <w:rsid w:val="00F00494"/>
    <w:rsid w:val="00F02560"/>
    <w:rsid w:val="00F17415"/>
    <w:rsid w:val="00F20407"/>
    <w:rsid w:val="00F2075B"/>
    <w:rsid w:val="00F25F4E"/>
    <w:rsid w:val="00F300E8"/>
    <w:rsid w:val="00F31119"/>
    <w:rsid w:val="00F31605"/>
    <w:rsid w:val="00F316A3"/>
    <w:rsid w:val="00F344CD"/>
    <w:rsid w:val="00F35A0B"/>
    <w:rsid w:val="00F4024D"/>
    <w:rsid w:val="00F43247"/>
    <w:rsid w:val="00F46BAD"/>
    <w:rsid w:val="00F527DD"/>
    <w:rsid w:val="00F555D7"/>
    <w:rsid w:val="00F55EF3"/>
    <w:rsid w:val="00F565A0"/>
    <w:rsid w:val="00F5689C"/>
    <w:rsid w:val="00F62817"/>
    <w:rsid w:val="00F6304A"/>
    <w:rsid w:val="00F6351F"/>
    <w:rsid w:val="00F66F86"/>
    <w:rsid w:val="00F67969"/>
    <w:rsid w:val="00F70F40"/>
    <w:rsid w:val="00F72785"/>
    <w:rsid w:val="00F74AB8"/>
    <w:rsid w:val="00F825AD"/>
    <w:rsid w:val="00F856CC"/>
    <w:rsid w:val="00F92062"/>
    <w:rsid w:val="00FA04A9"/>
    <w:rsid w:val="00FA3F4C"/>
    <w:rsid w:val="00FA423E"/>
    <w:rsid w:val="00FA73C7"/>
    <w:rsid w:val="00FA7890"/>
    <w:rsid w:val="00FA7E81"/>
    <w:rsid w:val="00FB1591"/>
    <w:rsid w:val="00FC3434"/>
    <w:rsid w:val="00FC4EB8"/>
    <w:rsid w:val="00FD2CAF"/>
    <w:rsid w:val="00FD4E11"/>
    <w:rsid w:val="00FE1CE0"/>
    <w:rsid w:val="00FE388D"/>
    <w:rsid w:val="00FF13B0"/>
    <w:rsid w:val="00FF5F7A"/>
    <w:rsid w:val="00FF67B0"/>
    <w:rsid w:val="00FF7AD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E87601"/>
  <w15:docId w15:val="{01081B5B-631E-4729-9995-3A2DA2F72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2"/>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2"/>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2"/>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2"/>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6ABF"/>
    <w:rPr>
      <w:color w:val="0000FF"/>
      <w:u w:val="single"/>
    </w:rPr>
  </w:style>
  <w:style w:type="character" w:styleId="CommentReference">
    <w:name w:val="annotation reference"/>
    <w:basedOn w:val="DefaultParagraphFont"/>
    <w:uiPriority w:val="99"/>
    <w:semiHidden/>
    <w:unhideWhenUsed/>
    <w:rsid w:val="00BB0A58"/>
    <w:rPr>
      <w:sz w:val="16"/>
      <w:szCs w:val="16"/>
    </w:rPr>
  </w:style>
  <w:style w:type="paragraph" w:styleId="CommentText">
    <w:name w:val="annotation text"/>
    <w:basedOn w:val="Normal"/>
    <w:link w:val="CommentTextChar"/>
    <w:uiPriority w:val="99"/>
    <w:unhideWhenUsed/>
    <w:rsid w:val="00BB0A58"/>
    <w:rPr>
      <w:sz w:val="20"/>
      <w:szCs w:val="20"/>
    </w:rPr>
  </w:style>
  <w:style w:type="character" w:customStyle="1" w:styleId="CommentTextChar">
    <w:name w:val="Comment Text Char"/>
    <w:basedOn w:val="DefaultParagraphFont"/>
    <w:link w:val="CommentText"/>
    <w:uiPriority w:val="99"/>
    <w:rsid w:val="00BB0A5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BB0A58"/>
    <w:rPr>
      <w:b/>
      <w:bCs/>
    </w:rPr>
  </w:style>
  <w:style w:type="character" w:customStyle="1" w:styleId="CommentSubjectChar">
    <w:name w:val="Comment Subject Char"/>
    <w:basedOn w:val="CommentTextChar"/>
    <w:link w:val="CommentSubject"/>
    <w:uiPriority w:val="99"/>
    <w:semiHidden/>
    <w:rsid w:val="00BB0A58"/>
    <w:rPr>
      <w:rFonts w:ascii="Arial" w:hAnsi="Arial" w:cs="Arial"/>
      <w:b/>
      <w:bCs/>
      <w:sz w:val="20"/>
      <w:szCs w:val="20"/>
    </w:rPr>
  </w:style>
  <w:style w:type="paragraph" w:styleId="BalloonText">
    <w:name w:val="Balloon Text"/>
    <w:basedOn w:val="Normal"/>
    <w:link w:val="BalloonTextChar"/>
    <w:uiPriority w:val="99"/>
    <w:semiHidden/>
    <w:unhideWhenUsed/>
    <w:rsid w:val="00E9254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544"/>
    <w:rPr>
      <w:rFonts w:ascii="Segoe UI" w:hAnsi="Segoe UI" w:cs="Segoe UI"/>
      <w:sz w:val="18"/>
      <w:szCs w:val="18"/>
    </w:rPr>
  </w:style>
  <w:style w:type="paragraph" w:styleId="Revision">
    <w:name w:val="Revision"/>
    <w:hidden/>
    <w:uiPriority w:val="99"/>
    <w:semiHidden/>
    <w:rsid w:val="004312C4"/>
    <w:pPr>
      <w:spacing w:after="0" w:line="240" w:lineRule="auto"/>
    </w:pPr>
    <w:rPr>
      <w:rFonts w:ascii="Arial" w:hAnsi="Arial" w:cs="Arial"/>
    </w:rPr>
  </w:style>
  <w:style w:type="character" w:customStyle="1" w:styleId="acopre">
    <w:name w:val="acopre"/>
    <w:basedOn w:val="DefaultParagraphFont"/>
    <w:rsid w:val="00084533"/>
  </w:style>
  <w:style w:type="character" w:styleId="Emphasis">
    <w:name w:val="Emphasis"/>
    <w:basedOn w:val="DefaultParagraphFont"/>
    <w:uiPriority w:val="20"/>
    <w:qFormat/>
    <w:rsid w:val="00084533"/>
    <w:rPr>
      <w:i/>
      <w:iCs/>
    </w:rPr>
  </w:style>
  <w:style w:type="character" w:customStyle="1" w:styleId="target">
    <w:name w:val="target"/>
    <w:basedOn w:val="DefaultParagraphFont"/>
    <w:rsid w:val="00CB51A2"/>
  </w:style>
  <w:style w:type="character" w:customStyle="1" w:styleId="highlight">
    <w:name w:val="highlight"/>
    <w:basedOn w:val="DefaultParagraphFont"/>
    <w:rsid w:val="007768AF"/>
  </w:style>
  <w:style w:type="paragraph" w:styleId="PlainText">
    <w:name w:val="Plain Text"/>
    <w:basedOn w:val="Normal"/>
    <w:link w:val="PlainTextChar"/>
    <w:uiPriority w:val="99"/>
    <w:unhideWhenUsed/>
    <w:rsid w:val="00AE798D"/>
    <w:pPr>
      <w:spacing w:before="0" w:after="0"/>
      <w:jc w:val="left"/>
    </w:pPr>
    <w:rPr>
      <w:rFonts w:ascii="Calibri" w:hAnsi="Calibri" w:cstheme="minorBidi"/>
      <w:szCs w:val="21"/>
    </w:rPr>
  </w:style>
  <w:style w:type="character" w:customStyle="1" w:styleId="PlainTextChar">
    <w:name w:val="Plain Text Char"/>
    <w:basedOn w:val="DefaultParagraphFont"/>
    <w:link w:val="PlainText"/>
    <w:uiPriority w:val="99"/>
    <w:rsid w:val="00AE798D"/>
    <w:rPr>
      <w:rFonts w:ascii="Calibri" w:hAnsi="Calibri"/>
      <w:szCs w:val="21"/>
    </w:rPr>
  </w:style>
  <w:style w:type="paragraph" w:customStyle="1" w:styleId="Default">
    <w:name w:val="Default"/>
    <w:rsid w:val="0048513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E3065D"/>
    <w:pPr>
      <w:spacing w:before="100" w:beforeAutospacing="1" w:after="100" w:afterAutospacing="1"/>
      <w:jc w:val="left"/>
    </w:pPr>
    <w:rPr>
      <w:rFonts w:ascii="Times New Roman" w:eastAsia="Times New Roman" w:hAnsi="Times New Roman" w:cs="Times New Roman"/>
      <w:sz w:val="24"/>
      <w:szCs w:val="24"/>
      <w:lang w:eastAsia="de-DE"/>
    </w:rPr>
  </w:style>
  <w:style w:type="character" w:customStyle="1" w:styleId="oa-notelocationcorp-meta">
    <w:name w:val="oa-notelocationcorp-meta"/>
    <w:basedOn w:val="DefaultParagraphFont"/>
    <w:rsid w:val="00E3065D"/>
  </w:style>
  <w:style w:type="paragraph" w:styleId="ListParagraph">
    <w:name w:val="List Paragraph"/>
    <w:basedOn w:val="Normal"/>
    <w:uiPriority w:val="34"/>
    <w:qFormat/>
    <w:rsid w:val="00EF383E"/>
    <w:pPr>
      <w:ind w:left="720"/>
      <w:contextualSpacing/>
    </w:p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8"/>
      </w:numPr>
      <w:spacing w:before="60" w:after="60"/>
    </w:pPr>
    <w:rPr>
      <w:sz w:val="18"/>
    </w:rPr>
  </w:style>
  <w:style w:type="paragraph" w:customStyle="1" w:styleId="TabelleListe">
    <w:name w:val="Tabelle Liste"/>
    <w:basedOn w:val="Normal"/>
    <w:rsid w:val="00A147E3"/>
    <w:pPr>
      <w:numPr>
        <w:numId w:val="9"/>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outlineLvl w:val="2"/>
    </w:pPr>
    <w:rPr>
      <w:b/>
      <w:noProof/>
    </w:rPr>
  </w:style>
  <w:style w:type="paragraph" w:customStyle="1" w:styleId="ListeStufe1">
    <w:name w:val="Liste (Stufe 1)"/>
    <w:basedOn w:val="Normal"/>
    <w:rsid w:val="00A147E3"/>
    <w:pPr>
      <w:numPr>
        <w:numId w:val="7"/>
      </w:numPr>
      <w:tabs>
        <w:tab w:val="left" w:pos="0"/>
      </w:tabs>
    </w:pPr>
  </w:style>
  <w:style w:type="paragraph" w:customStyle="1" w:styleId="ListeFolgeabsatzStufe1">
    <w:name w:val="Liste Folgeabsatz (Stufe 1)"/>
    <w:basedOn w:val="Normal"/>
    <w:rsid w:val="00A147E3"/>
    <w:pPr>
      <w:numPr>
        <w:ilvl w:val="1"/>
        <w:numId w:val="7"/>
      </w:numPr>
    </w:pPr>
  </w:style>
  <w:style w:type="paragraph" w:customStyle="1" w:styleId="ListeStufe2">
    <w:name w:val="Liste (Stufe 2)"/>
    <w:basedOn w:val="Normal"/>
    <w:rsid w:val="00A147E3"/>
    <w:pPr>
      <w:numPr>
        <w:ilvl w:val="2"/>
        <w:numId w:val="7"/>
      </w:numPr>
    </w:pPr>
  </w:style>
  <w:style w:type="paragraph" w:customStyle="1" w:styleId="ListeFolgeabsatzStufe2">
    <w:name w:val="Liste Folgeabsatz (Stufe 2)"/>
    <w:basedOn w:val="Normal"/>
    <w:rsid w:val="00A147E3"/>
    <w:pPr>
      <w:numPr>
        <w:ilvl w:val="3"/>
        <w:numId w:val="7"/>
      </w:numPr>
    </w:pPr>
  </w:style>
  <w:style w:type="paragraph" w:customStyle="1" w:styleId="ListeStufe3">
    <w:name w:val="Liste (Stufe 3)"/>
    <w:basedOn w:val="Normal"/>
    <w:rsid w:val="00A147E3"/>
    <w:pPr>
      <w:numPr>
        <w:ilvl w:val="4"/>
        <w:numId w:val="7"/>
      </w:numPr>
    </w:pPr>
  </w:style>
  <w:style w:type="paragraph" w:customStyle="1" w:styleId="ListeFolgeabsatzStufe3">
    <w:name w:val="Liste Folgeabsatz (Stufe 3)"/>
    <w:basedOn w:val="Normal"/>
    <w:rsid w:val="00A147E3"/>
    <w:pPr>
      <w:numPr>
        <w:ilvl w:val="5"/>
        <w:numId w:val="7"/>
      </w:numPr>
    </w:pPr>
  </w:style>
  <w:style w:type="paragraph" w:customStyle="1" w:styleId="ListeStufe4">
    <w:name w:val="Liste (Stufe 4)"/>
    <w:basedOn w:val="Normal"/>
    <w:rsid w:val="00A147E3"/>
    <w:pPr>
      <w:numPr>
        <w:ilvl w:val="6"/>
        <w:numId w:val="7"/>
      </w:numPr>
    </w:pPr>
  </w:style>
  <w:style w:type="paragraph" w:customStyle="1" w:styleId="ListeFolgeabsatzStufe4">
    <w:name w:val="Liste Folgeabsatz (Stufe 4)"/>
    <w:basedOn w:val="Normal"/>
    <w:rsid w:val="00A147E3"/>
    <w:pPr>
      <w:numPr>
        <w:ilvl w:val="7"/>
        <w:numId w:val="7"/>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2"/>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3"/>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4"/>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5"/>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6"/>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semiHidden/>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2"/>
      </w:numPr>
      <w:outlineLvl w:val="5"/>
    </w:pPr>
  </w:style>
  <w:style w:type="paragraph" w:customStyle="1" w:styleId="NummerierungStufe2">
    <w:name w:val="Nummerierung (Stufe 2)"/>
    <w:basedOn w:val="Normal"/>
    <w:rsid w:val="00A147E3"/>
    <w:pPr>
      <w:numPr>
        <w:ilvl w:val="4"/>
        <w:numId w:val="22"/>
      </w:numPr>
    </w:pPr>
  </w:style>
  <w:style w:type="paragraph" w:customStyle="1" w:styleId="NummerierungStufe3">
    <w:name w:val="Nummerierung (Stufe 3)"/>
    <w:basedOn w:val="Normal"/>
    <w:rsid w:val="00A147E3"/>
    <w:pPr>
      <w:numPr>
        <w:ilvl w:val="5"/>
        <w:numId w:val="22"/>
      </w:numPr>
    </w:pPr>
  </w:style>
  <w:style w:type="paragraph" w:customStyle="1" w:styleId="NummerierungStufe4">
    <w:name w:val="Nummerierung (Stufe 4)"/>
    <w:basedOn w:val="Normal"/>
    <w:rsid w:val="00A147E3"/>
    <w:pPr>
      <w:numPr>
        <w:ilvl w:val="6"/>
        <w:numId w:val="22"/>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0"/>
      </w:numPr>
      <w:spacing w:before="240"/>
      <w:jc w:val="right"/>
      <w:outlineLvl w:val="2"/>
    </w:pPr>
    <w:rPr>
      <w:b/>
      <w:sz w:val="26"/>
    </w:rPr>
  </w:style>
  <w:style w:type="paragraph" w:customStyle="1" w:styleId="AnlageBezeichnernichtnummeriert">
    <w:name w:val="Anlage Bezeichner (nicht nummeriert)"/>
    <w:basedOn w:val="Normal"/>
    <w:next w:val="AnlageVerweis"/>
    <w:rsid w:val="00A147E3"/>
    <w:pPr>
      <w:numPr>
        <w:numId w:val="11"/>
      </w:numPr>
      <w:spacing w:before="240"/>
      <w:jc w:val="right"/>
      <w:outlineLvl w:val="2"/>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outlineLvl w:val="2"/>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outlineLvl w:val="1"/>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3"/>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2"/>
      </w:numPr>
      <w:spacing w:before="480"/>
      <w:jc w:val="center"/>
      <w:outlineLvl w:val="3"/>
    </w:pPr>
  </w:style>
  <w:style w:type="paragraph" w:customStyle="1" w:styleId="Paragraphberschrift">
    <w:name w:val="Paragraph Überschrift"/>
    <w:basedOn w:val="Normal"/>
    <w:next w:val="JuristischerAbsatznummeriert"/>
    <w:rsid w:val="00A147E3"/>
    <w:pPr>
      <w:keepNext/>
      <w:jc w:val="center"/>
      <w:outlineLvl w:val="3"/>
    </w:pPr>
    <w:rPr>
      <w:b/>
    </w:rPr>
  </w:style>
  <w:style w:type="paragraph" w:customStyle="1" w:styleId="JuristischerAbsatznummeriert">
    <w:name w:val="Juristischer Absatz (nummeriert)"/>
    <w:basedOn w:val="Normal"/>
    <w:rsid w:val="00A147E3"/>
    <w:pPr>
      <w:numPr>
        <w:ilvl w:val="2"/>
        <w:numId w:val="22"/>
      </w:numPr>
      <w:outlineLvl w:val="4"/>
    </w:pPr>
  </w:style>
  <w:style w:type="paragraph" w:customStyle="1" w:styleId="JuristischerAbsatznichtnummeriert">
    <w:name w:val="Juristischer Absatz (nicht nummeriert)"/>
    <w:basedOn w:val="Normal"/>
    <w:next w:val="NummerierungStufe1"/>
    <w:rsid w:val="00A147E3"/>
    <w:pPr>
      <w:ind w:firstLine="425"/>
      <w:outlineLvl w:val="4"/>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4"/>
      </w:numPr>
      <w:spacing w:before="480"/>
      <w:jc w:val="center"/>
      <w:outlineLvl w:val="2"/>
    </w:pPr>
    <w:rPr>
      <w:b/>
      <w:sz w:val="26"/>
    </w:rPr>
  </w:style>
  <w:style w:type="paragraph" w:customStyle="1" w:styleId="Buchberschrift">
    <w:name w:val="Buch Überschrift"/>
    <w:basedOn w:val="Normal"/>
    <w:next w:val="ParagraphBezeichner"/>
    <w:rsid w:val="00A147E3"/>
    <w:pPr>
      <w:keepNext/>
      <w:numPr>
        <w:numId w:val="25"/>
      </w:numPr>
      <w:spacing w:after="240"/>
      <w:jc w:val="center"/>
      <w:outlineLvl w:val="2"/>
    </w:pPr>
    <w:rPr>
      <w:b/>
      <w:sz w:val="26"/>
    </w:rPr>
  </w:style>
  <w:style w:type="paragraph" w:customStyle="1" w:styleId="TeilBezeichner">
    <w:name w:val="Teil Bezeichner"/>
    <w:basedOn w:val="Normal"/>
    <w:next w:val="Teilberschrift"/>
    <w:rsid w:val="00A147E3"/>
    <w:pPr>
      <w:keepNext/>
      <w:numPr>
        <w:ilvl w:val="1"/>
        <w:numId w:val="24"/>
      </w:numPr>
      <w:spacing w:before="480"/>
      <w:jc w:val="center"/>
      <w:outlineLvl w:val="2"/>
    </w:pPr>
    <w:rPr>
      <w:spacing w:val="60"/>
      <w:sz w:val="26"/>
    </w:rPr>
  </w:style>
  <w:style w:type="paragraph" w:customStyle="1" w:styleId="Teilberschrift">
    <w:name w:val="Teil Überschrift"/>
    <w:basedOn w:val="Normal"/>
    <w:next w:val="ParagraphBezeichner"/>
    <w:rsid w:val="00A147E3"/>
    <w:pPr>
      <w:keepNext/>
      <w:numPr>
        <w:ilvl w:val="1"/>
        <w:numId w:val="25"/>
      </w:numPr>
      <w:spacing w:after="240"/>
      <w:jc w:val="center"/>
      <w:outlineLvl w:val="2"/>
    </w:pPr>
    <w:rPr>
      <w:spacing w:val="60"/>
      <w:sz w:val="26"/>
    </w:rPr>
  </w:style>
  <w:style w:type="paragraph" w:customStyle="1" w:styleId="KapitelBezeichner">
    <w:name w:val="Kapitel Bezeichner"/>
    <w:basedOn w:val="Normal"/>
    <w:next w:val="Kapitelberschrift"/>
    <w:rsid w:val="00A147E3"/>
    <w:pPr>
      <w:keepNext/>
      <w:numPr>
        <w:ilvl w:val="2"/>
        <w:numId w:val="24"/>
      </w:numPr>
      <w:spacing w:before="480"/>
      <w:jc w:val="center"/>
      <w:outlineLvl w:val="2"/>
    </w:pPr>
    <w:rPr>
      <w:sz w:val="26"/>
    </w:rPr>
  </w:style>
  <w:style w:type="paragraph" w:customStyle="1" w:styleId="Kapitelberschrift">
    <w:name w:val="Kapitel Überschrift"/>
    <w:basedOn w:val="Normal"/>
    <w:next w:val="ParagraphBezeichner"/>
    <w:rsid w:val="00A147E3"/>
    <w:pPr>
      <w:keepNext/>
      <w:numPr>
        <w:ilvl w:val="2"/>
        <w:numId w:val="25"/>
      </w:numPr>
      <w:spacing w:after="240"/>
      <w:jc w:val="center"/>
      <w:outlineLvl w:val="2"/>
    </w:pPr>
    <w:rPr>
      <w:sz w:val="26"/>
    </w:rPr>
  </w:style>
  <w:style w:type="paragraph" w:customStyle="1" w:styleId="AbschnittBezeichner">
    <w:name w:val="Abschnitt Bezeichner"/>
    <w:basedOn w:val="Normal"/>
    <w:next w:val="Abschnittberschrift"/>
    <w:rsid w:val="00A147E3"/>
    <w:pPr>
      <w:keepNext/>
      <w:numPr>
        <w:ilvl w:val="3"/>
        <w:numId w:val="24"/>
      </w:numPr>
      <w:spacing w:before="480"/>
      <w:jc w:val="center"/>
      <w:outlineLvl w:val="2"/>
    </w:pPr>
    <w:rPr>
      <w:b/>
      <w:spacing w:val="60"/>
    </w:rPr>
  </w:style>
  <w:style w:type="paragraph" w:customStyle="1" w:styleId="Abschnittberschrift">
    <w:name w:val="Abschnitt Überschrift"/>
    <w:basedOn w:val="Normal"/>
    <w:next w:val="ParagraphBezeichner"/>
    <w:rsid w:val="00A147E3"/>
    <w:pPr>
      <w:keepNext/>
      <w:numPr>
        <w:ilvl w:val="3"/>
        <w:numId w:val="25"/>
      </w:numPr>
      <w:spacing w:after="240"/>
      <w:jc w:val="center"/>
      <w:outlineLvl w:val="2"/>
    </w:pPr>
    <w:rPr>
      <w:b/>
      <w:spacing w:val="60"/>
    </w:rPr>
  </w:style>
  <w:style w:type="paragraph" w:customStyle="1" w:styleId="UnterabschnittBezeichner">
    <w:name w:val="Unterabschnitt Bezeichner"/>
    <w:basedOn w:val="Normal"/>
    <w:next w:val="Unterabschnittberschrift"/>
    <w:rsid w:val="00A147E3"/>
    <w:pPr>
      <w:keepNext/>
      <w:numPr>
        <w:ilvl w:val="4"/>
        <w:numId w:val="24"/>
      </w:numPr>
      <w:spacing w:before="480"/>
      <w:jc w:val="center"/>
      <w:outlineLvl w:val="2"/>
    </w:pPr>
  </w:style>
  <w:style w:type="paragraph" w:customStyle="1" w:styleId="Unterabschnittberschrift">
    <w:name w:val="Unterabschnitt Überschrift"/>
    <w:basedOn w:val="Normal"/>
    <w:next w:val="ParagraphBezeichner"/>
    <w:rsid w:val="00A147E3"/>
    <w:pPr>
      <w:keepNext/>
      <w:numPr>
        <w:ilvl w:val="4"/>
        <w:numId w:val="25"/>
      </w:numPr>
      <w:spacing w:after="240"/>
      <w:jc w:val="center"/>
      <w:outlineLvl w:val="2"/>
    </w:pPr>
  </w:style>
  <w:style w:type="paragraph" w:customStyle="1" w:styleId="TitelBezeichner">
    <w:name w:val="Titel Bezeichner"/>
    <w:basedOn w:val="Normal"/>
    <w:next w:val="Titelberschrift"/>
    <w:rsid w:val="00A147E3"/>
    <w:pPr>
      <w:keepNext/>
      <w:numPr>
        <w:ilvl w:val="5"/>
        <w:numId w:val="24"/>
      </w:numPr>
      <w:spacing w:before="480"/>
      <w:jc w:val="center"/>
      <w:outlineLvl w:val="2"/>
    </w:pPr>
    <w:rPr>
      <w:spacing w:val="60"/>
    </w:rPr>
  </w:style>
  <w:style w:type="paragraph" w:customStyle="1" w:styleId="Titelberschrift">
    <w:name w:val="Titel Überschrift"/>
    <w:basedOn w:val="Normal"/>
    <w:next w:val="ParagraphBezeichner"/>
    <w:rsid w:val="00A147E3"/>
    <w:pPr>
      <w:keepNext/>
      <w:numPr>
        <w:ilvl w:val="5"/>
        <w:numId w:val="25"/>
      </w:numPr>
      <w:spacing w:after="240"/>
      <w:jc w:val="center"/>
      <w:outlineLvl w:val="2"/>
    </w:pPr>
    <w:rPr>
      <w:spacing w:val="60"/>
    </w:rPr>
  </w:style>
  <w:style w:type="paragraph" w:customStyle="1" w:styleId="UntertitelBezeichner">
    <w:name w:val="Untertitel Bezeichner"/>
    <w:basedOn w:val="Normal"/>
    <w:next w:val="Untertitelberschrift"/>
    <w:rsid w:val="00A147E3"/>
    <w:pPr>
      <w:keepNext/>
      <w:numPr>
        <w:ilvl w:val="6"/>
        <w:numId w:val="24"/>
      </w:numPr>
      <w:spacing w:before="480"/>
      <w:jc w:val="center"/>
      <w:outlineLvl w:val="2"/>
    </w:pPr>
    <w:rPr>
      <w:b/>
    </w:rPr>
  </w:style>
  <w:style w:type="paragraph" w:customStyle="1" w:styleId="Untertitelberschrift">
    <w:name w:val="Untertitel Überschrift"/>
    <w:basedOn w:val="Normal"/>
    <w:next w:val="ParagraphBezeichner"/>
    <w:rsid w:val="00A147E3"/>
    <w:pPr>
      <w:keepNext/>
      <w:numPr>
        <w:ilvl w:val="6"/>
        <w:numId w:val="25"/>
      </w:numPr>
      <w:spacing w:after="240"/>
      <w:jc w:val="center"/>
      <w:outlineLvl w:val="2"/>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outlineLvl w:val="4"/>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outlineLvl w:val="0"/>
    </w:pPr>
    <w:rPr>
      <w:b/>
      <w:kern w:val="32"/>
      <w:sz w:val="26"/>
    </w:rPr>
  </w:style>
  <w:style w:type="paragraph" w:customStyle="1" w:styleId="BegrndungAllgemeinerTeil">
    <w:name w:val="Begründung (Allgemeiner Teil)"/>
    <w:basedOn w:val="Normal"/>
    <w:next w:val="Text"/>
    <w:rsid w:val="00A147E3"/>
    <w:pPr>
      <w:keepNext/>
      <w:spacing w:before="480" w:after="160"/>
      <w:outlineLvl w:val="1"/>
    </w:pPr>
    <w:rPr>
      <w:b/>
    </w:rPr>
  </w:style>
  <w:style w:type="paragraph" w:customStyle="1" w:styleId="BegrndungBesondererTeil">
    <w:name w:val="Begründung (Besonderer Teil)"/>
    <w:basedOn w:val="Normal"/>
    <w:next w:val="Text"/>
    <w:rsid w:val="00A147E3"/>
    <w:pPr>
      <w:keepNext/>
      <w:spacing w:before="480" w:after="160"/>
      <w:outlineLvl w:val="1"/>
    </w:pPr>
    <w:rPr>
      <w:b/>
    </w:rPr>
  </w:style>
  <w:style w:type="paragraph" w:customStyle="1" w:styleId="berschriftrmischBegrndung">
    <w:name w:val="Überschrift römisch (Begründung)"/>
    <w:basedOn w:val="Normal"/>
    <w:next w:val="Text"/>
    <w:rsid w:val="00A147E3"/>
    <w:pPr>
      <w:keepNext/>
      <w:numPr>
        <w:numId w:val="26"/>
      </w:numPr>
      <w:spacing w:before="360"/>
      <w:outlineLvl w:val="2"/>
    </w:pPr>
    <w:rPr>
      <w:b/>
    </w:rPr>
  </w:style>
  <w:style w:type="paragraph" w:customStyle="1" w:styleId="berschriftarabischBegrndung">
    <w:name w:val="Überschrift arabisch (Begründung)"/>
    <w:basedOn w:val="Normal"/>
    <w:next w:val="Text"/>
    <w:rsid w:val="00A147E3"/>
    <w:pPr>
      <w:keepNext/>
      <w:numPr>
        <w:ilvl w:val="1"/>
        <w:numId w:val="26"/>
      </w:numPr>
      <w:outlineLvl w:val="3"/>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pPr>
      <w:outlineLvl w:val="0"/>
    </w:pPr>
    <w:rPr>
      <w:b/>
      <w:sz w:val="26"/>
    </w:rPr>
  </w:style>
  <w:style w:type="paragraph" w:customStyle="1" w:styleId="VorblattTitelProblemundZiel">
    <w:name w:val="Vorblatt Titel (Problem und Ziel)"/>
    <w:basedOn w:val="Normal"/>
    <w:next w:val="Text"/>
    <w:rsid w:val="00A147E3"/>
    <w:pPr>
      <w:keepNext/>
      <w:spacing w:before="360"/>
      <w:outlineLvl w:val="1"/>
    </w:pPr>
    <w:rPr>
      <w:b/>
      <w:sz w:val="26"/>
    </w:rPr>
  </w:style>
  <w:style w:type="paragraph" w:customStyle="1" w:styleId="VorblattTitelLsung">
    <w:name w:val="Vorblatt Titel (Lösung)"/>
    <w:basedOn w:val="Normal"/>
    <w:next w:val="Text"/>
    <w:rsid w:val="00A147E3"/>
    <w:pPr>
      <w:keepNext/>
      <w:spacing w:before="360"/>
      <w:outlineLvl w:val="1"/>
    </w:pPr>
    <w:rPr>
      <w:b/>
      <w:sz w:val="26"/>
    </w:rPr>
  </w:style>
  <w:style w:type="paragraph" w:customStyle="1" w:styleId="VorblattTitelAlternativen">
    <w:name w:val="Vorblatt Titel (Alternativen)"/>
    <w:basedOn w:val="Normal"/>
    <w:next w:val="Text"/>
    <w:rsid w:val="00A147E3"/>
    <w:pPr>
      <w:keepNext/>
      <w:spacing w:before="360"/>
      <w:outlineLvl w:val="1"/>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keepNext/>
      <w:spacing w:before="360"/>
      <w:outlineLvl w:val="1"/>
    </w:pPr>
    <w:rPr>
      <w:b/>
      <w:sz w:val="26"/>
    </w:rPr>
  </w:style>
  <w:style w:type="paragraph" w:customStyle="1" w:styleId="VorblattTitelErfllungsaufwand">
    <w:name w:val="Vorblatt Titel (Erfüllungsaufwand)"/>
    <w:basedOn w:val="Normal"/>
    <w:next w:val="Text"/>
    <w:rsid w:val="00A147E3"/>
    <w:pPr>
      <w:keepNext/>
      <w:spacing w:before="360"/>
      <w:outlineLvl w:val="1"/>
    </w:pPr>
    <w:rPr>
      <w:b/>
      <w:sz w:val="26"/>
    </w:rPr>
  </w:style>
  <w:style w:type="paragraph" w:customStyle="1" w:styleId="VorblattTitelErfllungsaufwandBrgerinnenundBrger">
    <w:name w:val="Vorblatt Titel (Erfüllungsaufwand Bürgerinnen und Bürger)"/>
    <w:basedOn w:val="Normal"/>
    <w:next w:val="Text"/>
    <w:rsid w:val="00A147E3"/>
    <w:pPr>
      <w:keepNext/>
      <w:spacing w:before="360"/>
      <w:outlineLvl w:val="2"/>
    </w:pPr>
    <w:rPr>
      <w:b/>
      <w:sz w:val="26"/>
    </w:rPr>
  </w:style>
  <w:style w:type="paragraph" w:customStyle="1" w:styleId="VorblattTitelErfllungsaufwandWirtschaft">
    <w:name w:val="Vorblatt Titel (Erfüllungsaufwand Wirtschaft)"/>
    <w:basedOn w:val="Normal"/>
    <w:next w:val="Text"/>
    <w:rsid w:val="00A147E3"/>
    <w:pPr>
      <w:keepNext/>
      <w:spacing w:before="360"/>
      <w:outlineLvl w:val="2"/>
    </w:pPr>
    <w:rPr>
      <w:b/>
      <w:sz w:val="26"/>
    </w:rPr>
  </w:style>
  <w:style w:type="paragraph" w:customStyle="1" w:styleId="VorblattTitelBrokratiekostenausInformationspflichten">
    <w:name w:val="Vorblatt Titel (Bürokratiekosten aus Informationspflichten)"/>
    <w:basedOn w:val="Normal"/>
    <w:next w:val="Text"/>
    <w:rsid w:val="00A147E3"/>
    <w:pPr>
      <w:keepNext/>
      <w:spacing w:before="360"/>
      <w:outlineLvl w:val="3"/>
    </w:pPr>
    <w:rPr>
      <w:sz w:val="26"/>
    </w:rPr>
  </w:style>
  <w:style w:type="paragraph" w:customStyle="1" w:styleId="VorblattTitelErfllungsaufwandVerwaltung">
    <w:name w:val="Vorblatt Titel (Erfüllungsaufwand Verwaltung)"/>
    <w:basedOn w:val="Normal"/>
    <w:next w:val="Text"/>
    <w:rsid w:val="00A147E3"/>
    <w:pPr>
      <w:keepNext/>
      <w:spacing w:before="360"/>
      <w:outlineLvl w:val="2"/>
    </w:pPr>
    <w:rPr>
      <w:b/>
      <w:sz w:val="26"/>
    </w:rPr>
  </w:style>
  <w:style w:type="paragraph" w:customStyle="1" w:styleId="VorblattTitelWeitereKosten">
    <w:name w:val="Vorblatt Titel (Weitere Kosten)"/>
    <w:basedOn w:val="Normal"/>
    <w:next w:val="Text"/>
    <w:rsid w:val="00A147E3"/>
    <w:pPr>
      <w:keepNext/>
      <w:spacing w:before="360"/>
      <w:outlineLvl w:val="1"/>
    </w:pPr>
    <w:rPr>
      <w:b/>
      <w:sz w:val="26"/>
    </w:rPr>
  </w:style>
  <w:style w:type="paragraph" w:customStyle="1" w:styleId="RevisionJuristischerAbsatz">
    <w:name w:val="Revision Juristischer Absatz"/>
    <w:basedOn w:val="Normal"/>
    <w:rsid w:val="00A147E3"/>
    <w:pPr>
      <w:numPr>
        <w:ilvl w:val="2"/>
        <w:numId w:val="13"/>
      </w:numPr>
      <w:outlineLvl w:val="8"/>
    </w:pPr>
    <w:rPr>
      <w:color w:val="800000"/>
    </w:rPr>
  </w:style>
  <w:style w:type="paragraph" w:customStyle="1" w:styleId="RevisionJuristischerAbsatzmanuell">
    <w:name w:val="Revision Juristischer Absatz (manuell)"/>
    <w:basedOn w:val="Normal"/>
    <w:rsid w:val="00A147E3"/>
    <w:pPr>
      <w:tabs>
        <w:tab w:val="left" w:pos="850"/>
      </w:tabs>
      <w:ind w:firstLine="425"/>
      <w:outlineLvl w:val="8"/>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3"/>
      </w:numPr>
    </w:pPr>
    <w:rPr>
      <w:color w:val="800000"/>
    </w:rPr>
  </w:style>
  <w:style w:type="paragraph" w:customStyle="1" w:styleId="RevisionNummerierungStufe2">
    <w:name w:val="Revision Nummerierung (Stufe 2)"/>
    <w:basedOn w:val="Normal"/>
    <w:rsid w:val="00A147E3"/>
    <w:pPr>
      <w:numPr>
        <w:ilvl w:val="4"/>
        <w:numId w:val="13"/>
      </w:numPr>
    </w:pPr>
    <w:rPr>
      <w:color w:val="800000"/>
    </w:rPr>
  </w:style>
  <w:style w:type="paragraph" w:customStyle="1" w:styleId="RevisionNummerierungStufe3">
    <w:name w:val="Revision Nummerierung (Stufe 3)"/>
    <w:basedOn w:val="Normal"/>
    <w:rsid w:val="00A147E3"/>
    <w:pPr>
      <w:numPr>
        <w:ilvl w:val="5"/>
        <w:numId w:val="13"/>
      </w:numPr>
    </w:pPr>
    <w:rPr>
      <w:color w:val="800000"/>
    </w:rPr>
  </w:style>
  <w:style w:type="paragraph" w:customStyle="1" w:styleId="RevisionNummerierungStufe4">
    <w:name w:val="Revision Nummerierung (Stufe 4)"/>
    <w:basedOn w:val="Normal"/>
    <w:rsid w:val="00A147E3"/>
    <w:pPr>
      <w:numPr>
        <w:ilvl w:val="6"/>
        <w:numId w:val="13"/>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3"/>
      </w:numPr>
      <w:spacing w:before="480"/>
      <w:jc w:val="center"/>
      <w:outlineLvl w:val="7"/>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outlineLvl w:val="7"/>
    </w:pPr>
    <w:rPr>
      <w:color w:val="800000"/>
    </w:rPr>
  </w:style>
  <w:style w:type="paragraph" w:customStyle="1" w:styleId="RevisionParagraphberschrift">
    <w:name w:val="Revision Paragraph Überschrift"/>
    <w:basedOn w:val="Normal"/>
    <w:next w:val="RevisionJuristischerAbsatz"/>
    <w:rsid w:val="00A147E3"/>
    <w:pPr>
      <w:keepNext/>
      <w:jc w:val="center"/>
      <w:outlineLvl w:val="7"/>
    </w:pPr>
    <w:rPr>
      <w:color w:val="800000"/>
    </w:rPr>
  </w:style>
  <w:style w:type="paragraph" w:customStyle="1" w:styleId="RevisionBuchBezeichner">
    <w:name w:val="Revision Buch Bezeichner"/>
    <w:basedOn w:val="Normal"/>
    <w:next w:val="RevisionBuchberschrift"/>
    <w:rsid w:val="00A147E3"/>
    <w:pPr>
      <w:keepNext/>
      <w:spacing w:before="480"/>
      <w:jc w:val="center"/>
      <w:outlineLvl w:val="6"/>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outlineLvl w:val="6"/>
    </w:pPr>
    <w:rPr>
      <w:color w:val="800000"/>
      <w:sz w:val="26"/>
    </w:rPr>
  </w:style>
  <w:style w:type="paragraph" w:customStyle="1" w:styleId="RevisionTeilBezeichner">
    <w:name w:val="Revision Teil Bezeichner"/>
    <w:basedOn w:val="Normal"/>
    <w:next w:val="RevisionTeilberschrift"/>
    <w:rsid w:val="00A147E3"/>
    <w:pPr>
      <w:keepNext/>
      <w:spacing w:before="480"/>
      <w:jc w:val="center"/>
      <w:outlineLvl w:val="6"/>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outlineLvl w:val="6"/>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outlineLvl w:val="6"/>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outlineLvl w:val="6"/>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outlineLvl w:val="6"/>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outlineLvl w:val="6"/>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outlineLvl w:val="6"/>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outlineLvl w:val="6"/>
    </w:pPr>
    <w:rPr>
      <w:color w:val="800000"/>
    </w:rPr>
  </w:style>
  <w:style w:type="paragraph" w:customStyle="1" w:styleId="RevisionTitelBezeichner">
    <w:name w:val="Revision Titel Bezeichner"/>
    <w:basedOn w:val="Normal"/>
    <w:next w:val="RevisionTitelberschrift"/>
    <w:rsid w:val="00A147E3"/>
    <w:pPr>
      <w:keepNext/>
      <w:spacing w:before="480"/>
      <w:jc w:val="center"/>
      <w:outlineLvl w:val="6"/>
    </w:pPr>
    <w:rPr>
      <w:color w:val="800000"/>
    </w:rPr>
  </w:style>
  <w:style w:type="paragraph" w:customStyle="1" w:styleId="RevisionTitelberschrift">
    <w:name w:val="Revision Titel Überschrift"/>
    <w:basedOn w:val="Normal"/>
    <w:next w:val="RevisionParagraphBezeichner"/>
    <w:rsid w:val="00A147E3"/>
    <w:pPr>
      <w:keepNext/>
      <w:spacing w:after="240"/>
      <w:jc w:val="center"/>
      <w:outlineLvl w:val="6"/>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outlineLvl w:val="6"/>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outlineLvl w:val="6"/>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outlineLvl w:val="7"/>
    </w:pPr>
    <w:rPr>
      <w:color w:val="800000"/>
      <w:sz w:val="28"/>
    </w:rPr>
  </w:style>
  <w:style w:type="paragraph" w:customStyle="1" w:styleId="RevisionArtikelBezeichner">
    <w:name w:val="Revision Artikel Bezeichner"/>
    <w:basedOn w:val="Normal"/>
    <w:next w:val="RevisionArtikelberschrift"/>
    <w:rsid w:val="00A147E3"/>
    <w:pPr>
      <w:keepNext/>
      <w:numPr>
        <w:numId w:val="13"/>
      </w:numPr>
      <w:spacing w:before="480" w:after="240"/>
      <w:jc w:val="center"/>
      <w:outlineLvl w:val="7"/>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outlineLvl w:val="7"/>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outlineLvl w:val="6"/>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0"/>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outlineLvl w:val="6"/>
    </w:pPr>
    <w:rPr>
      <w:color w:val="800000"/>
      <w:sz w:val="26"/>
    </w:rPr>
  </w:style>
  <w:style w:type="paragraph" w:customStyle="1" w:styleId="RevisionAnlageberschrift">
    <w:name w:val="Revision Anlage Überschrift"/>
    <w:basedOn w:val="Normal"/>
    <w:next w:val="RevisionAnlageText"/>
    <w:rsid w:val="00A147E3"/>
    <w:pPr>
      <w:jc w:val="center"/>
      <w:outlineLvl w:val="6"/>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4"/>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4"/>
      </w:numPr>
    </w:pPr>
    <w:rPr>
      <w:color w:val="800000"/>
    </w:rPr>
  </w:style>
  <w:style w:type="paragraph" w:customStyle="1" w:styleId="RevisionListeStufe2">
    <w:name w:val="Revision Liste (Stufe 2)"/>
    <w:basedOn w:val="Normal"/>
    <w:rsid w:val="00A147E3"/>
    <w:pPr>
      <w:numPr>
        <w:ilvl w:val="2"/>
        <w:numId w:val="14"/>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4"/>
      </w:numPr>
    </w:pPr>
    <w:rPr>
      <w:color w:val="800000"/>
    </w:rPr>
  </w:style>
  <w:style w:type="paragraph" w:customStyle="1" w:styleId="RevisionListeStufe3">
    <w:name w:val="Revision Liste (Stufe 3)"/>
    <w:basedOn w:val="Normal"/>
    <w:rsid w:val="00A147E3"/>
    <w:pPr>
      <w:numPr>
        <w:ilvl w:val="4"/>
        <w:numId w:val="14"/>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4"/>
      </w:numPr>
    </w:pPr>
    <w:rPr>
      <w:color w:val="800000"/>
    </w:rPr>
  </w:style>
  <w:style w:type="paragraph" w:customStyle="1" w:styleId="RevisionListeStufe4">
    <w:name w:val="Revision Liste (Stufe 4)"/>
    <w:basedOn w:val="Normal"/>
    <w:rsid w:val="00A147E3"/>
    <w:pPr>
      <w:numPr>
        <w:ilvl w:val="6"/>
        <w:numId w:val="14"/>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4"/>
      </w:numPr>
    </w:pPr>
    <w:rPr>
      <w:color w:val="800000"/>
    </w:rPr>
  </w:style>
  <w:style w:type="paragraph" w:customStyle="1" w:styleId="RevisionAufzhlungStufe1">
    <w:name w:val="Revision Aufzählung (Stufe 1)"/>
    <w:basedOn w:val="Normal"/>
    <w:rsid w:val="00A147E3"/>
    <w:pPr>
      <w:numPr>
        <w:numId w:val="15"/>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16"/>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17"/>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18"/>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19"/>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outlineLvl w:val="0"/>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1"/>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2"/>
      </w:numPr>
      <w:spacing w:before="480" w:after="240"/>
      <w:jc w:val="center"/>
      <w:outlineLvl w:val="1"/>
    </w:pPr>
    <w:rPr>
      <w:b/>
      <w:sz w:val="28"/>
    </w:rPr>
  </w:style>
  <w:style w:type="paragraph" w:customStyle="1" w:styleId="Artikelberschrift">
    <w:name w:val="Artikel Überschrift"/>
    <w:basedOn w:val="Normal"/>
    <w:next w:val="JuristischerAbsatznummeriert"/>
    <w:rsid w:val="00A147E3"/>
    <w:pPr>
      <w:keepNext/>
      <w:spacing w:after="240"/>
      <w:jc w:val="center"/>
      <w:outlineLvl w:val="1"/>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188090">
      <w:bodyDiv w:val="1"/>
      <w:marLeft w:val="0"/>
      <w:marRight w:val="0"/>
      <w:marTop w:val="0"/>
      <w:marBottom w:val="0"/>
      <w:divBdr>
        <w:top w:val="none" w:sz="0" w:space="0" w:color="auto"/>
        <w:left w:val="none" w:sz="0" w:space="0" w:color="auto"/>
        <w:bottom w:val="none" w:sz="0" w:space="0" w:color="auto"/>
        <w:right w:val="none" w:sz="0" w:space="0" w:color="auto"/>
      </w:divBdr>
    </w:div>
    <w:div w:id="1617176805">
      <w:bodyDiv w:val="1"/>
      <w:marLeft w:val="0"/>
      <w:marRight w:val="0"/>
      <w:marTop w:val="0"/>
      <w:marBottom w:val="0"/>
      <w:divBdr>
        <w:top w:val="none" w:sz="0" w:space="0" w:color="auto"/>
        <w:left w:val="none" w:sz="0" w:space="0" w:color="auto"/>
        <w:bottom w:val="none" w:sz="0" w:space="0" w:color="auto"/>
        <w:right w:val="none" w:sz="0" w:space="0" w:color="auto"/>
      </w:divBdr>
      <w:divsChild>
        <w:div w:id="1326934773">
          <w:marLeft w:val="0"/>
          <w:marRight w:val="0"/>
          <w:marTop w:val="0"/>
          <w:marBottom w:val="0"/>
          <w:divBdr>
            <w:top w:val="none" w:sz="0" w:space="0" w:color="auto"/>
            <w:left w:val="none" w:sz="0" w:space="0" w:color="auto"/>
            <w:bottom w:val="none" w:sz="0" w:space="0" w:color="auto"/>
            <w:right w:val="none" w:sz="0" w:space="0" w:color="auto"/>
          </w:divBdr>
        </w:div>
      </w:divsChild>
    </w:div>
    <w:div w:id="1835149098">
      <w:bodyDiv w:val="1"/>
      <w:marLeft w:val="0"/>
      <w:marRight w:val="0"/>
      <w:marTop w:val="0"/>
      <w:marBottom w:val="0"/>
      <w:divBdr>
        <w:top w:val="none" w:sz="0" w:space="0" w:color="auto"/>
        <w:left w:val="none" w:sz="0" w:space="0" w:color="auto"/>
        <w:bottom w:val="none" w:sz="0" w:space="0" w:color="auto"/>
        <w:right w:val="none" w:sz="0" w:space="0" w:color="auto"/>
      </w:divBdr>
    </w:div>
    <w:div w:id="196727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922CD-A3FB-442D-BF78-CAA20B2B7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5808</Words>
  <Characters>33109</Characters>
  <Application>Microsoft Office Word</Application>
  <DocSecurity>0</DocSecurity>
  <Lines>275</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Schäfer, Dr. Simone</dc:creator>
  <cp:keywords/>
  <dc:description/>
  <cp:lastModifiedBy>Liu, Lei</cp:lastModifiedBy>
  <cp:revision>5</cp:revision>
  <cp:lastPrinted>2021-01-05T15:59:00Z</cp:lastPrinted>
  <dcterms:created xsi:type="dcterms:W3CDTF">2021-01-12T20:09:00Z</dcterms:created>
  <dcterms:modified xsi:type="dcterms:W3CDTF">2021-01-13T08:26:00Z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_Initiant">
    <vt:lpwstr>Bundesministerium fÃ¼r ErnÃ¤hrung und Landwirtschaft</vt:lpwstr>
  </property>
  <property fmtid="{D5CDD505-2E9C-101B-9397-08002B2CF9AE}" pid="3" name="Bearbeitungsstand">
    <vt:lpwstr>Bearbeitungsstand: 06.01.2021  9:47 Uhr</vt:lpwstr>
  </property>
  <property fmtid="{D5CDD505-2E9C-101B-9397-08002B2CF9AE}" pid="4" name="DQP-Ergebnis für Version 4">
    <vt:lpwstr>15 Fehler, 8 Warnungen</vt:lpwstr>
  </property>
  <property fmtid="{D5CDD505-2E9C-101B-9397-08002B2CF9AE}" pid="5" name="Meta_Bezeichnung">
    <vt:lpwstr>Gesetz zur Änderung des Tierschutzgesetzes – Verbot des Kükentötens</vt:lpwstr>
  </property>
  <property fmtid="{D5CDD505-2E9C-101B-9397-08002B2CF9AE}" pid="6" name="Meta_Kurzbezeichnung">
    <vt:lpwstr/>
  </property>
  <property fmtid="{D5CDD505-2E9C-101B-9397-08002B2CF9AE}" pid="7" name="Meta_Abkürzung">
    <vt:lpwstr/>
  </property>
  <property fmtid="{D5CDD505-2E9C-101B-9397-08002B2CF9AE}" pid="8" name="Meta_Typ der Vorschrift">
    <vt:lpwstr>Artikelgesetz</vt:lpwstr>
  </property>
  <property fmtid="{D5CDD505-2E9C-101B-9397-08002B2CF9AE}" pid="9" name="Meta_Federführung">
    <vt:lpwstr/>
  </property>
  <property fmtid="{D5CDD505-2E9C-101B-9397-08002B2CF9AE}" pid="10"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11" name="Meta_Umsetzung von EU-Recht_2">
    <vt:lpwstr>Bl. L 241 vom 17.9.2015, S. 1).</vt:lpwstr>
  </property>
  <property fmtid="{D5CDD505-2E9C-101B-9397-08002B2CF9AE}" pid="12" name="Meta_Anlagen">
    <vt:lpwstr/>
  </property>
</Properties>
</file>