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F774" w14:textId="7DEFCC7F" w:rsidR="00E526B5" w:rsidRDefault="00B670F2" w:rsidP="00CC0ADF">
      <w:pPr>
        <w:ind w:left="709" w:hanging="720"/>
        <w:jc w:val="both"/>
        <w:outlineLvl w:val="3"/>
      </w:pPr>
      <w:r>
        <w:rPr>
          <w:sz w:val="22"/>
        </w:rPr>
        <w:t xml:space="preserve">ГЛАВА 4:</w:t>
      </w:r>
      <w:r>
        <w:rPr>
          <w:sz w:val="22"/>
        </w:rPr>
        <w:t xml:space="preserve"> </w:t>
      </w:r>
      <w:r>
        <w:rPr>
          <w:sz w:val="22"/>
        </w:rPr>
        <w:t xml:space="preserve">Достъпност до транспортни средства</w:t>
      </w:r>
    </w:p>
    <w:p w14:paraId="456422CC" w14:textId="551AF3E3" w:rsidR="00CC0ADF" w:rsidRPr="00CC0ADF" w:rsidRDefault="00CC0ADF" w:rsidP="000F4434">
      <w:pPr>
        <w:pStyle w:val="ListParagraph"/>
        <w:numPr>
          <w:ilvl w:val="1"/>
          <w:numId w:val="2"/>
        </w:numPr>
        <w:ind w:left="709"/>
        <w:jc w:val="both"/>
        <w:outlineLvl w:val="3"/>
        <w:rPr>
          <w:bCs/>
          <w:sz w:val="22"/>
          <w:szCs w:val="22"/>
          <w:rFonts w:cs="Arial"/>
        </w:rPr>
      </w:pPr>
      <w:r>
        <w:rPr>
          <w:sz w:val="22"/>
        </w:rPr>
        <w:t xml:space="preserve">Когато таксиметрова услуга се предлага чрез резервации по телефона, тази услуга трябва да разшири средствата за заявка, като използва нови технологии, приложения, интернет, текстови съобщения, факсове или други подобни средства, така че всички потребители, включително тези с увреден слух, да могат да заявят услугата самостоятелно.</w:t>
      </w:r>
    </w:p>
    <w:p w14:paraId="2D97C4D3" w14:textId="77777777" w:rsidR="00CC0ADF" w:rsidRPr="000F0A63" w:rsidRDefault="00CC0ADF" w:rsidP="000F4434">
      <w:pPr>
        <w:pStyle w:val="ListParagraph"/>
        <w:numPr>
          <w:ilvl w:val="1"/>
          <w:numId w:val="2"/>
        </w:numPr>
        <w:ind w:left="709"/>
        <w:jc w:val="both"/>
        <w:outlineLvl w:val="3"/>
        <w:rPr>
          <w:bCs/>
          <w:sz w:val="22"/>
          <w:szCs w:val="22"/>
          <w:rFonts w:cs="Arial"/>
        </w:rPr>
      </w:pPr>
      <w:r>
        <w:rPr>
          <w:sz w:val="22"/>
        </w:rPr>
        <w:t xml:space="preserve">Когато услугата „такси по заявка“ има уебсайт, тя трябва да бъде достъпна, поне на ниво АА съгласно насоките на WCAG 2.1.</w:t>
      </w:r>
      <w:r>
        <w:rPr>
          <w:sz w:val="22"/>
        </w:rPr>
        <w:t xml:space="preserve"> </w:t>
      </w:r>
    </w:p>
    <w:p w14:paraId="4AEFA1EE" w14:textId="2FEB6DE3" w:rsidR="00CC0ADF" w:rsidRDefault="00CC0ADF" w:rsidP="000F4434">
      <w:pPr>
        <w:pStyle w:val="ListParagraph"/>
        <w:numPr>
          <w:ilvl w:val="1"/>
          <w:numId w:val="3"/>
        </w:numPr>
        <w:ind w:left="709" w:hanging="709"/>
        <w:jc w:val="both"/>
        <w:outlineLvl w:val="3"/>
        <w:rPr>
          <w:bCs/>
          <w:sz w:val="22"/>
          <w:szCs w:val="22"/>
          <w:rFonts w:cs="Arial"/>
        </w:rPr>
      </w:pPr>
      <w:r>
        <w:rPr>
          <w:sz w:val="22"/>
        </w:rPr>
        <w:t xml:space="preserve">Наемането на такси, което е достъпно за лица с намалена подвижност по телефона, чрез интернет или мобилно приложение, не може да бъде предмет на добавка към очаквано търсене.</w:t>
      </w:r>
      <w:r>
        <w:rPr>
          <w:sz w:val="22"/>
        </w:rPr>
        <w:t xml:space="preserve"> </w:t>
      </w:r>
      <w:r>
        <w:rPr>
          <w:sz w:val="22"/>
        </w:rPr>
        <w:t xml:space="preserve">Картата за инвалидност служи като доказателство, в случай че бъде поискана.</w:t>
      </w:r>
    </w:p>
    <w:p w14:paraId="3615AB3D" w14:textId="77777777" w:rsidR="00E526B5" w:rsidRPr="00CC0ADF" w:rsidRDefault="00E526B5" w:rsidP="00E526B5">
      <w:pPr>
        <w:pStyle w:val="ListParagraph"/>
        <w:ind w:left="709"/>
        <w:jc w:val="both"/>
        <w:outlineLvl w:val="3"/>
        <w:rPr>
          <w:rFonts w:cs="Arial"/>
          <w:bCs/>
          <w:sz w:val="22"/>
          <w:szCs w:val="22"/>
          <w:lang w:val="es-ES"/>
        </w:rPr>
      </w:pPr>
    </w:p>
    <w:p w14:paraId="7A0F7A5F" w14:textId="6B83C219" w:rsidR="000B6FCF" w:rsidRDefault="00B670F2">
      <w:r>
        <w:rPr>
          <w:sz w:val="22"/>
        </w:rPr>
        <w:t xml:space="preserve">ГЛАВА 5:</w:t>
      </w:r>
      <w:r>
        <w:rPr>
          <w:sz w:val="22"/>
        </w:rPr>
        <w:t xml:space="preserve"> </w:t>
      </w:r>
      <w:r>
        <w:rPr>
          <w:sz w:val="22"/>
        </w:rPr>
        <w:t xml:space="preserve">Достъпност на продуктите</w:t>
      </w:r>
    </w:p>
    <w:p w14:paraId="183BC7CF" w14:textId="76471CF5" w:rsidR="00CC0ADF" w:rsidRPr="000F0A63" w:rsidRDefault="00CC0ADF" w:rsidP="00CC0ADF">
      <w:pPr>
        <w:keepNext/>
        <w:jc w:val="both"/>
        <w:outlineLvl w:val="2"/>
        <w:rPr>
          <w:bCs/>
          <w:sz w:val="22"/>
          <w:szCs w:val="22"/>
          <w:rFonts w:cs="Arial"/>
        </w:rPr>
      </w:pPr>
      <w:bookmarkStart w:id="0" w:name="_Ref447791242"/>
      <w:r>
        <w:rPr>
          <w:sz w:val="22"/>
        </w:rPr>
        <w:t xml:space="preserve">Член 116.</w:t>
      </w:r>
      <w:r>
        <w:rPr>
          <w:sz w:val="22"/>
        </w:rPr>
        <w:tab/>
      </w:r>
      <w:r>
        <w:rPr>
          <w:sz w:val="22"/>
        </w:rPr>
        <w:t xml:space="preserve">Потребителски продукти</w:t>
      </w:r>
      <w:bookmarkEnd w:id="0"/>
      <w:r>
        <w:rPr>
          <w:sz w:val="22"/>
        </w:rPr>
        <w:t xml:space="preserve"> </w:t>
      </w:r>
    </w:p>
    <w:p w14:paraId="486D059F" w14:textId="75EDE98D" w:rsidR="00CC0ADF" w:rsidRPr="00CC0ADF" w:rsidRDefault="00CC0ADF" w:rsidP="000F4434">
      <w:pPr>
        <w:pStyle w:val="ListParagraph"/>
        <w:numPr>
          <w:ilvl w:val="1"/>
          <w:numId w:val="8"/>
        </w:numPr>
        <w:jc w:val="both"/>
        <w:outlineLvl w:val="3"/>
        <w:rPr>
          <w:bCs/>
          <w:sz w:val="22"/>
          <w:szCs w:val="22"/>
          <w:rFonts w:cs="Arial"/>
        </w:rPr>
      </w:pPr>
      <w:r>
        <w:rPr>
          <w:sz w:val="22"/>
        </w:rPr>
        <w:t xml:space="preserve">Даден продукт се счита за достъпен, когато отговаря на следните условия:</w:t>
      </w:r>
    </w:p>
    <w:p w14:paraId="197D9229"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Той има достъпен етикет, съобразен с неговите характеристики, който позволява да бъде идентифициран, с името и най-подходящата информация.</w:t>
      </w:r>
    </w:p>
    <w:p w14:paraId="015CE9DE"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Дизайнът му следва универсални критерии за проектиране, с подходящи условия за употреба и условия за безопасност за всеки потребител.</w:t>
      </w:r>
    </w:p>
    <w:p w14:paraId="64849B40"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Допълнителна информация, инструкции или проспекти могат да бъдат консултирани чрез интернет, приложения за устройства и използване на нови технологии, като достъпното съдържание отговаря на условията на параграфи 25 и 26 от приложение 5а.</w:t>
      </w:r>
    </w:p>
    <w:p w14:paraId="4E44C98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Дружествата, които предлагат даден продукт на пазара, са отговорни да гарантират, че условията за достъп, които се прилагат за него, са изпълнени.</w:t>
      </w:r>
    </w:p>
    <w:p w14:paraId="3FF43F32"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Фармацевтичните продукти и опасните продукти трябва да включват елементи от данни и системи, така че слепите или глухонемите хора да имат достъп до следната информация:</w:t>
      </w:r>
      <w:r>
        <w:rPr>
          <w:sz w:val="22"/>
        </w:rPr>
        <w:t xml:space="preserve"> </w:t>
      </w:r>
    </w:p>
    <w:p w14:paraId="1829445F"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Идентификация на наименованието на продукта върху опаковката с помощта на брайловата азбука и иконографията.</w:t>
      </w:r>
    </w:p>
    <w:p w14:paraId="0230B6E0"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Срока на годност върху опаковката с помощта на брайловата азбука и иконографията или други алтернативни ресурси, които осигуряват същите характеристики.</w:t>
      </w:r>
      <w:r>
        <w:rPr>
          <w:sz w:val="22"/>
        </w:rPr>
        <w:t xml:space="preserve"> </w:t>
      </w:r>
    </w:p>
    <w:p w14:paraId="21E451FE" w14:textId="77777777" w:rsidR="00CC0ADF" w:rsidRPr="000F0A63" w:rsidRDefault="00CC0ADF" w:rsidP="000F4434">
      <w:pPr>
        <w:numPr>
          <w:ilvl w:val="0"/>
          <w:numId w:val="5"/>
        </w:numPr>
        <w:tabs>
          <w:tab w:val="clear" w:pos="372"/>
          <w:tab w:val="left" w:pos="284"/>
          <w:tab w:val="num" w:pos="426"/>
        </w:tabs>
        <w:ind w:left="0" w:firstLine="0"/>
        <w:jc w:val="both"/>
        <w:rPr>
          <w:i/>
          <w:sz w:val="22"/>
          <w:szCs w:val="22"/>
          <w:rFonts w:cs="Arial"/>
        </w:rPr>
      </w:pPr>
      <w:r>
        <w:rPr>
          <w:sz w:val="22"/>
        </w:rPr>
        <w:t xml:space="preserve">Основните характеристики на продукта, като например неговия състав и съхранение, наред с другото, чрез аудио търсене по интернет или по друг начин, който позволява нови технологии със същата ефективност, по заявка на асоциации за хора със зрителни увреждания.</w:t>
      </w:r>
      <w:r>
        <w:rPr>
          <w:sz w:val="22"/>
        </w:rPr>
        <w:t xml:space="preserve"> </w:t>
      </w:r>
    </w:p>
    <w:p w14:paraId="4F2A53F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Веригите супермаркети и дружествата с хранителни или смесени обекти, на всички места, където имат помещения с полезна площ над 250 m² за обществено ползване, по искане на незрящо лице или на негов роднина, трябва да гарантират следните условия:</w:t>
      </w:r>
    </w:p>
    <w:p w14:paraId="25E421A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Поне един от обектите в населеното място да извършва етикетиране на наименованията и срока на годност на брайлова азбука върху бързоразвалящите се продукти или продуктите, които могат да предизвикат объркване, посредством принтери или системи, позволяващи такова етикетиране на брайлова азбука, в самия обект.</w:t>
      </w:r>
    </w:p>
    <w:p w14:paraId="3BEB7488"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Продуктите, продавани онлайн и доставяни до домовете, също да са етикетирани на брайлова азбука, както е посочено в точката по-горе.</w:t>
      </w:r>
    </w:p>
    <w:p w14:paraId="52E26B1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Търговското разпространение, извършвано по интернет или по друг начин, да предоставя информация в достъпен формат, в която помещенията са тези, които предлагат възможност за етикетиране на продуктите на брайлова азбука.</w:t>
      </w:r>
    </w:p>
    <w:p w14:paraId="5332F12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В общините с над 50 000 жители всеки квартал се счита за различен териториален район и се приравнява на населено място за целите на прилагането на предходния параграф.</w:t>
      </w:r>
      <w:r>
        <w:rPr>
          <w:sz w:val="22"/>
        </w:rPr>
        <w:t xml:space="preserve"> </w:t>
      </w:r>
    </w:p>
    <w:p w14:paraId="6459331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Администрацията на Generalitat трябва непрекъснато да разработва технически инструкции, които да включват новите технологични постижения, и да определя спецификациите, сроковете, характеристиките и критериите за достъпно етикетиране, както и универсалните насоки за проектиране, приложими за продуктите в различните търговски сектори.</w:t>
      </w:r>
      <w:r>
        <w:rPr>
          <w:sz w:val="22"/>
        </w:rPr>
        <w:t xml:space="preserve"> </w:t>
      </w:r>
    </w:p>
    <w:p w14:paraId="4D08CFD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Слепите и глухонемите потребители имат право на достъп до една и съща информация за продукта, която всички потребители и ползватели получават от етикета му самостоятелно, обикновено, лесно, незабавно и при равни условия.</w:t>
      </w:r>
      <w:r>
        <w:rPr>
          <w:sz w:val="22"/>
        </w:rPr>
        <w:t xml:space="preserve"> </w:t>
      </w:r>
      <w:r>
        <w:rPr>
          <w:sz w:val="22"/>
        </w:rPr>
        <w:t xml:space="preserve">За тази цел достъпното етикетиране трябва да отговаря на следните условия:</w:t>
      </w:r>
    </w:p>
    <w:p w14:paraId="661B566E"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То трябва да предоставя възможно най-много информация, като предоставя на потребителите с увреждания същите условия като на останалите потребители.</w:t>
      </w:r>
    </w:p>
    <w:p w14:paraId="41CFB18C"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То трябва да позволява информацията да се получава независимо, бързо, удобно, пряко и по стандартизиран начин, без да се изискват големи технически познания или използване на технологични средства.</w:t>
      </w:r>
    </w:p>
    <w:p w14:paraId="57DB1DC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То не трябва да налага допълнителни разходи за потребителите с увреждания.</w:t>
      </w:r>
    </w:p>
    <w:p w14:paraId="0C13286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То не трябва да генерира недопустими разходи за дружества.</w:t>
      </w:r>
    </w:p>
    <w:p w14:paraId="5602A71A"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Задължените дружества, които предлагат електронни търговски услуги, трябва да включат в съответния уебсайт възможността закупените по този начин продукти да бъдат доставени с достъпното етикетиране.</w:t>
      </w:r>
    </w:p>
    <w:p w14:paraId="3ED1718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Системата за арбитраж на потребителите и нейните процедури и процеси трябва да бъдат достъпни за хората с увреждания.</w:t>
      </w:r>
    </w:p>
    <w:p w14:paraId="03FE17A7"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Публичните и частните служби за обслужване на потребителите трябва да предприемат мерки за улесняване на достъпността на комуникацията за хората с увреден слух, които общуват на жестомимичен език и устно, с достатъчно средства за подкрепа.</w:t>
      </w:r>
      <w:r>
        <w:rPr>
          <w:sz w:val="22"/>
        </w:rPr>
        <w:t xml:space="preserve"> </w:t>
      </w:r>
      <w:r>
        <w:rPr>
          <w:sz w:val="22"/>
        </w:rPr>
        <w:t xml:space="preserve">Освен това те трябва да имат инсталиран слухова уредба в 20 % от бюрата за обществени услуги и техният персонал трябва да е готов да предоставя информация на хората с увреждания от всякакъв вид в рамките на максимален срок от 3 години от влизането в сила на настоящия кодекс.</w:t>
      </w:r>
    </w:p>
    <w:p w14:paraId="178D066A" w14:textId="77777777" w:rsidR="00CC0ADF" w:rsidRDefault="00CC0ADF">
      <w:pPr>
        <w:rPr>
          <w:lang w:val="es-ES"/>
        </w:rPr>
      </w:pPr>
    </w:p>
    <w:p w14:paraId="3EF53236" w14:textId="476D7F11" w:rsidR="00E526B5" w:rsidRDefault="00B670F2">
      <w:r>
        <w:rPr>
          <w:sz w:val="22"/>
        </w:rPr>
        <w:t xml:space="preserve">ГЛАВА 6:</w:t>
      </w:r>
      <w:r>
        <w:rPr>
          <w:sz w:val="22"/>
        </w:rPr>
        <w:t xml:space="preserve"> </w:t>
      </w:r>
      <w:r>
        <w:rPr>
          <w:sz w:val="22"/>
        </w:rPr>
        <w:t xml:space="preserve">Достъпност на услугите</w:t>
      </w:r>
    </w:p>
    <w:p w14:paraId="7DEC37FB" w14:textId="27CCD605" w:rsidR="00CC0ADF" w:rsidRPr="00CC0ADF" w:rsidRDefault="00CC0ADF" w:rsidP="000F4434">
      <w:pPr>
        <w:pStyle w:val="ListParagraph"/>
        <w:numPr>
          <w:ilvl w:val="1"/>
          <w:numId w:val="9"/>
        </w:numPr>
        <w:ind w:left="0" w:firstLine="0"/>
        <w:jc w:val="both"/>
        <w:outlineLvl w:val="3"/>
        <w:rPr>
          <w:bCs/>
          <w:sz w:val="22"/>
          <w:szCs w:val="22"/>
          <w:rFonts w:cs="Arial"/>
        </w:rPr>
      </w:pPr>
      <w:r>
        <w:rPr>
          <w:sz w:val="22"/>
        </w:rPr>
        <w:t xml:space="preserve">Обществените услуги, които имат отворени за обществеността уебсайтове, трябва да предоставят информация относно достъпността на тези услуги, както и относно техните връзки, средства и процедури.</w:t>
      </w:r>
    </w:p>
    <w:p w14:paraId="6A2C95FC" w14:textId="77777777" w:rsidR="00CC0ADF" w:rsidRPr="000F0A63" w:rsidRDefault="00CC0ADF" w:rsidP="000F4434">
      <w:pPr>
        <w:pStyle w:val="ListParagraph"/>
        <w:numPr>
          <w:ilvl w:val="1"/>
          <w:numId w:val="9"/>
        </w:numPr>
        <w:ind w:left="0" w:firstLine="0"/>
        <w:jc w:val="both"/>
        <w:outlineLvl w:val="3"/>
        <w:rPr>
          <w:bCs/>
          <w:sz w:val="22"/>
          <w:szCs w:val="22"/>
          <w:rFonts w:cs="Arial"/>
        </w:rPr>
      </w:pPr>
      <w:r>
        <w:rPr>
          <w:sz w:val="22"/>
        </w:rPr>
        <w:t xml:space="preserve">Уебсайтовете, приложенията за мобилни устройства и други продукти и услуги на информационните и комуникационните технологии, предлагани от обществените услуги, трябва да отговарят на условията, посочени в приложение 5а към настоящия кодекс, и на стандарт UNE-EN 301549:2022 или на този, който го заменя, в съответствие с Директива (ЕС) 2016/2102 на Европейския парламент и на Съвета и транспонирането, извършено с Кралски указ 112/2018 от 7 септември 2018 г. относно достъпността на уебсайтовете и приложенията за мобилни устройства в публичния сектор, без да се засяга регламентът на компетентния орган по този въпрос в Каталуния.</w:t>
      </w:r>
      <w:r>
        <w:rPr>
          <w:sz w:val="22"/>
        </w:rPr>
        <w:t xml:space="preserve"> </w:t>
      </w:r>
    </w:p>
    <w:p w14:paraId="452D824A" w14:textId="77777777" w:rsidR="00CC0ADF" w:rsidRDefault="00CC0ADF">
      <w:pPr>
        <w:rPr>
          <w:lang w:val="es-ES"/>
        </w:rPr>
      </w:pPr>
    </w:p>
    <w:p w14:paraId="0F5A1CE0" w14:textId="332F976A" w:rsidR="003920DF" w:rsidRPr="003920DF" w:rsidRDefault="003920DF" w:rsidP="000F4434">
      <w:pPr>
        <w:pStyle w:val="ListParagraph"/>
        <w:numPr>
          <w:ilvl w:val="1"/>
          <w:numId w:val="11"/>
        </w:numPr>
        <w:ind w:left="0" w:firstLine="0"/>
        <w:jc w:val="both"/>
        <w:outlineLvl w:val="3"/>
        <w:rPr>
          <w:sz w:val="22"/>
          <w:szCs w:val="22"/>
          <w:rFonts w:cs="Arial"/>
        </w:rPr>
      </w:pPr>
      <w:r>
        <w:rPr>
          <w:sz w:val="22"/>
        </w:rPr>
        <w:t xml:space="preserve">Уебсайтовете и мобилните приложения на вериги супермаркети и хранителни или смесени обекти с полезна площ за обществено ползване над 500 m², предлагащи възможност за закупуване онлайн и получаване на продукти чрез доставка по домовете, трябва да бъдат достъпни, в съответствие с условията на параграфи 25 и 26 от приложение 5а, и да постигат най-малко двойно ниво на съответствие по отношение на достъпността А (АА) в съответствие с насоките на WCAG 2.1, в следните ситуации:</w:t>
      </w:r>
    </w:p>
    <w:p w14:paraId="0F1270C7"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когато става въпрос за новосъздадени страници или приложения;</w:t>
      </w:r>
      <w:r>
        <w:rPr>
          <w:sz w:val="22"/>
        </w:rPr>
        <w:t xml:space="preserve"> </w:t>
      </w:r>
    </w:p>
    <w:p w14:paraId="517D4CFF"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когато се променят съществуващите страници или приложения;</w:t>
      </w:r>
    </w:p>
    <w:p w14:paraId="4EFFB026"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когато сроковете, посочени в параграф 4 от приложение 6б, са спазени чрез адаптиране на съществуващите страници и заявления.</w:t>
      </w:r>
    </w:p>
    <w:p w14:paraId="5888B379" w14:textId="77777777" w:rsidR="003920DF" w:rsidRDefault="003920DF">
      <w:pPr>
        <w:rPr>
          <w:lang w:val="es-ES"/>
        </w:rPr>
      </w:pPr>
    </w:p>
    <w:p w14:paraId="2D93A064" w14:textId="707F6457" w:rsidR="003920DF" w:rsidRPr="003920DF" w:rsidRDefault="003920DF" w:rsidP="000F4434">
      <w:pPr>
        <w:pStyle w:val="ListParagraph"/>
        <w:numPr>
          <w:ilvl w:val="1"/>
          <w:numId w:val="13"/>
        </w:numPr>
        <w:ind w:left="0" w:firstLine="0"/>
        <w:jc w:val="both"/>
        <w:outlineLvl w:val="3"/>
        <w:rPr>
          <w:bCs/>
          <w:sz w:val="22"/>
          <w:szCs w:val="22"/>
          <w:rFonts w:cs="Arial"/>
        </w:rPr>
      </w:pPr>
      <w:r>
        <w:rPr>
          <w:sz w:val="22"/>
        </w:rPr>
        <w:t xml:space="preserve">Уебстраниците и приложенията за мобилни устройства, които позволяват банкиране, договаряне или всякакъв друг вид управление или консултация по отношение на продукти, договорени във физически офис, трябва да бъдат достъпни в съответствие с условията на параграфи 25 и 26 от приложение 5а и да постигат най-малко двойно ниво на съответствие по отношение на достъпността А (АА) в съответствие с насоките на WCAG 2.1 в следните ситуации:</w:t>
      </w:r>
    </w:p>
    <w:p w14:paraId="137CE6E3"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когато става въпрос за новосъздадени страници или приложения;</w:t>
      </w:r>
      <w:r>
        <w:rPr>
          <w:sz w:val="22"/>
        </w:rPr>
        <w:t xml:space="preserve"> </w:t>
      </w:r>
    </w:p>
    <w:p w14:paraId="39B23BAD"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когато се променят съществуващите страници или приложения;</w:t>
      </w:r>
    </w:p>
    <w:p w14:paraId="05A831F2"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когато сроковете, посочени в параграф 5 от приложение 6б, са спазени чрез адаптиране на съществуващите страници и заявления.</w:t>
      </w:r>
    </w:p>
    <w:p w14:paraId="23C18109" w14:textId="77777777" w:rsidR="003920DF" w:rsidRDefault="003920DF">
      <w:pPr>
        <w:rPr>
          <w:lang w:val="es-ES"/>
        </w:rPr>
      </w:pPr>
    </w:p>
    <w:p w14:paraId="202F2283" w14:textId="6CDFB804" w:rsidR="003920DF" w:rsidRPr="003920DF" w:rsidRDefault="003920DF" w:rsidP="000F4434">
      <w:pPr>
        <w:pStyle w:val="ListParagraph"/>
        <w:numPr>
          <w:ilvl w:val="1"/>
          <w:numId w:val="15"/>
        </w:numPr>
        <w:ind w:left="0" w:firstLine="0"/>
        <w:jc w:val="both"/>
        <w:outlineLvl w:val="3"/>
        <w:rPr>
          <w:bCs/>
          <w:sz w:val="22"/>
          <w:szCs w:val="22"/>
          <w:rFonts w:cs="Arial"/>
        </w:rPr>
      </w:pPr>
      <w:r>
        <w:rPr>
          <w:sz w:val="22"/>
        </w:rPr>
        <w:t xml:space="preserve">Уебсайтовете и мобилните приложения на хотелски вериги и обекти с капацитет над 100 места, които позволяват сключването на договори за настаняване и онлайн услуги, трябва да бъдат достъпни в съответствие с условията на параграфи 25 и 26 от приложение 5а и да постигат най-малко двойно ниво на съответствие по отношение на достъпността А (АА) в съответствие с насоките на WCAG 2.1 в следните ситуации:</w:t>
      </w:r>
    </w:p>
    <w:p w14:paraId="4B4BC252"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когато става въпрос за новосъздадени страници или приложения;</w:t>
      </w:r>
      <w:r>
        <w:rPr>
          <w:sz w:val="22"/>
        </w:rPr>
        <w:t xml:space="preserve"> </w:t>
      </w:r>
    </w:p>
    <w:p w14:paraId="346AAF9D"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когато се променят съществуващите страници или приложения;</w:t>
      </w:r>
    </w:p>
    <w:p w14:paraId="7BDFDC1E"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когато са спазени сроковете, посочени в параграф 7 от приложение 6б за адаптиране на съществуващите страници и заявления.</w:t>
      </w:r>
    </w:p>
    <w:p w14:paraId="16B5C42E" w14:textId="77777777" w:rsidR="003920DF" w:rsidRDefault="003920DF">
      <w:pPr>
        <w:rPr>
          <w:lang w:val="es-ES"/>
        </w:rPr>
      </w:pPr>
    </w:p>
    <w:p w14:paraId="7EEF18CE" w14:textId="6C8336B5" w:rsidR="003920DF" w:rsidRPr="003920DF" w:rsidRDefault="003920DF" w:rsidP="000F4434">
      <w:pPr>
        <w:pStyle w:val="ListParagraph"/>
        <w:keepLines/>
        <w:numPr>
          <w:ilvl w:val="1"/>
          <w:numId w:val="17"/>
        </w:numPr>
        <w:ind w:left="0" w:firstLine="0"/>
        <w:jc w:val="both"/>
        <w:outlineLvl w:val="3"/>
        <w:rPr>
          <w:sz w:val="22"/>
          <w:szCs w:val="22"/>
          <w:rFonts w:cs="Arial"/>
        </w:rPr>
      </w:pPr>
      <w:r>
        <w:rPr>
          <w:sz w:val="22"/>
        </w:rPr>
        <w:t xml:space="preserve">Уебсайтовете и мобилните приложения на обектите или сдруженията на обектите трябва да бъдат достъпни в съответствие с условията, посочени в параграфи 25 и 26 от приложение 5а;</w:t>
      </w:r>
      <w:r>
        <w:rPr>
          <w:sz w:val="22"/>
        </w:rPr>
        <w:t xml:space="preserve"> </w:t>
      </w:r>
      <w:r>
        <w:rPr>
          <w:sz w:val="22"/>
        </w:rPr>
        <w:t xml:space="preserve">да постигат най-малко двойно ниво на съответствие по отношение на достъпността A (AA) в съответствие с насоките на WCAG 2.1 и предоставяне на информацията, посочена в предходните параграфи, в следните ситуации:</w:t>
      </w:r>
    </w:p>
    <w:p w14:paraId="3597983D"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когато става въпрос за новосъздадени страници или приложения;</w:t>
      </w:r>
      <w:r>
        <w:rPr>
          <w:sz w:val="22"/>
        </w:rPr>
        <w:t xml:space="preserve"> </w:t>
      </w:r>
    </w:p>
    <w:p w14:paraId="13B82A50"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когато се променят съществуващите страници или приложения;</w:t>
      </w:r>
    </w:p>
    <w:p w14:paraId="1B3C03D9"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когато са спазени сроковете, посочени в параграф 3 от приложение 6б за адаптиране на съществуващите страници и заявления.</w:t>
      </w:r>
    </w:p>
    <w:p w14:paraId="0BFDF341" w14:textId="77777777" w:rsidR="003920DF" w:rsidRDefault="003920DF">
      <w:pPr>
        <w:rPr>
          <w:lang w:val="es-ES"/>
        </w:rPr>
      </w:pPr>
    </w:p>
    <w:p w14:paraId="14B92CA4" w14:textId="6C4DF49D" w:rsidR="003920DF" w:rsidRPr="003920DF" w:rsidRDefault="003920DF" w:rsidP="000F4434">
      <w:pPr>
        <w:pStyle w:val="ListParagraph"/>
        <w:keepLines/>
        <w:numPr>
          <w:ilvl w:val="1"/>
          <w:numId w:val="18"/>
        </w:numPr>
        <w:ind w:left="0" w:firstLine="0"/>
        <w:jc w:val="both"/>
        <w:outlineLvl w:val="3"/>
        <w:rPr>
          <w:bCs/>
          <w:sz w:val="22"/>
          <w:szCs w:val="22"/>
          <w:rFonts w:cs="Arial"/>
        </w:rPr>
      </w:pPr>
      <w:r>
        <w:rPr>
          <w:sz w:val="22"/>
        </w:rPr>
        <w:t xml:space="preserve">Уебсайтовете и мобилните приложения на спортните заведения и клубовете, които предлагат продажба на билети за шоута на място, трябва да бъдат достъпни и да предоставят необходимата информация при същите условия като посочените в член 133 за услугите, свързани със сценичните изкуства.</w:t>
      </w:r>
    </w:p>
    <w:p w14:paraId="01221CD8" w14:textId="77777777" w:rsidR="003920DF" w:rsidRDefault="003920DF">
      <w:pPr>
        <w:rPr>
          <w:lang w:val="es-ES"/>
        </w:rPr>
      </w:pPr>
    </w:p>
    <w:p w14:paraId="5122FB6C" w14:textId="3D7CFC92" w:rsidR="003920DF" w:rsidRPr="003920DF" w:rsidRDefault="003920DF" w:rsidP="000F4434">
      <w:pPr>
        <w:pStyle w:val="ListParagraph"/>
        <w:numPr>
          <w:ilvl w:val="1"/>
          <w:numId w:val="20"/>
        </w:numPr>
        <w:ind w:left="0" w:firstLine="0"/>
        <w:jc w:val="both"/>
        <w:outlineLvl w:val="3"/>
        <w:rPr>
          <w:bCs/>
          <w:sz w:val="22"/>
          <w:szCs w:val="22"/>
          <w:rFonts w:cs="Arial"/>
        </w:rPr>
      </w:pPr>
      <w:r>
        <w:rPr>
          <w:sz w:val="22"/>
        </w:rPr>
        <w:t xml:space="preserve">Уебсайтовете и мобилните приложения на учебните заведения, предоставящи официално образование, трябва да бъдат достъпни в съответствие с условията на параграфи 25 и 26 от приложение 5а и да постигат най-малко двойно ниво на съответствие по отношение на достъпността А (АА) в съответствие с насоките на WCAG 2.1 в следните ситуации:</w:t>
      </w:r>
    </w:p>
    <w:p w14:paraId="46144290"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когато става въпрос за новосъздадени страници или приложения;</w:t>
      </w:r>
      <w:r>
        <w:rPr>
          <w:sz w:val="22"/>
        </w:rPr>
        <w:t xml:space="preserve"> </w:t>
      </w:r>
    </w:p>
    <w:p w14:paraId="124A7079"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когато се променят съществуващите страници или приложения;</w:t>
      </w:r>
    </w:p>
    <w:p w14:paraId="4CC9837C"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когато сроковете, посочени в параграф 8 от приложение 6б, са спазени чрез адаптиране на съществуващите страници и заявления.</w:t>
      </w:r>
    </w:p>
    <w:p w14:paraId="64EC1D0A" w14:textId="77777777" w:rsidR="003920DF" w:rsidRDefault="003920DF">
      <w:pPr>
        <w:rPr>
          <w:lang w:val="es-ES"/>
        </w:rPr>
      </w:pPr>
    </w:p>
    <w:p w14:paraId="2CF98FEF" w14:textId="37293E06" w:rsidR="003920DF" w:rsidRPr="000F0A63" w:rsidRDefault="003920DF" w:rsidP="003920DF">
      <w:pPr>
        <w:keepNext/>
        <w:jc w:val="both"/>
        <w:outlineLvl w:val="2"/>
        <w:rPr>
          <w:bCs/>
          <w:sz w:val="22"/>
          <w:szCs w:val="22"/>
          <w:rFonts w:cs="Arial"/>
        </w:rPr>
      </w:pPr>
      <w:bookmarkStart w:id="1" w:name="_Ref447800574"/>
      <w:r>
        <w:rPr>
          <w:sz w:val="22"/>
        </w:rPr>
        <w:t xml:space="preserve">Член 138.</w:t>
      </w:r>
      <w:r>
        <w:rPr>
          <w:sz w:val="22"/>
        </w:rPr>
        <w:tab/>
      </w:r>
      <w:r>
        <w:rPr>
          <w:sz w:val="22"/>
        </w:rPr>
        <w:t xml:space="preserve">Основни услуги, услуги от общ интерес или финансирани публични услуги</w:t>
      </w:r>
      <w:r>
        <w:rPr>
          <w:sz w:val="22"/>
        </w:rPr>
        <w:t xml:space="preserve"> </w:t>
      </w:r>
      <w:bookmarkEnd w:id="1"/>
    </w:p>
    <w:p w14:paraId="7D137DE4" w14:textId="752BD128" w:rsidR="003920DF" w:rsidRPr="003920DF" w:rsidRDefault="003920DF" w:rsidP="000F4434">
      <w:pPr>
        <w:pStyle w:val="ListParagraph"/>
        <w:numPr>
          <w:ilvl w:val="1"/>
          <w:numId w:val="23"/>
        </w:numPr>
        <w:ind w:left="0" w:firstLine="0"/>
        <w:jc w:val="both"/>
        <w:outlineLvl w:val="3"/>
        <w:rPr>
          <w:bCs/>
          <w:sz w:val="22"/>
          <w:szCs w:val="22"/>
          <w:rFonts w:cs="Arial"/>
        </w:rPr>
      </w:pPr>
      <w:r>
        <w:rPr>
          <w:sz w:val="22"/>
        </w:rPr>
        <w:t xml:space="preserve">Уебсайтовете на каталунските публични и публичноправни корпорации, както и всички тези, които са стартирани с финансиране от публичната администрация и тези от субекти или дружества, които предоставят обществени услуги чрез концесия или на договорна основа с публичната администрация, трябва да отговарят на изискванията, посочени в параграф 25 от приложение 5а и да постигат двойно ниво на съответствие по отношение на достъпността А (АА) в съответствие с насоките на WCAG 2.1, без да се засяга регламентът, приет от компетентния орган по този въпрос в Каталуния в съответствие с Кралски указ 1112/2018 от 7 септември 2018 г. относно достъпността на уебсайтовете и приложенията за мобилни устройства в публичния сектор.</w:t>
      </w:r>
    </w:p>
    <w:p w14:paraId="6FD18B43"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Уебсайтовете на частни субекти, предоставящи основни услуги или услуги от общ интерес, включително електроенергия, водоснабдяване или газ и телекомуникации, както и здравни, пощенски и банкови услуги, също трябва да отговарят на изискванията, посочени в параграф 25 от приложение 5а и на двойното ниво на съответствие А (АА) по отношение на достъпността в съответствие с насоките на WCAG 2.1.</w:t>
      </w:r>
      <w:r>
        <w:rPr>
          <w:sz w:val="22"/>
        </w:rPr>
        <w:t xml:space="preserve"> </w:t>
      </w:r>
    </w:p>
    <w:p w14:paraId="54D877DC" w14:textId="68D622D4"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Приложенията на мобилни устройства в публичния сектор и субектите, посочени в параграфи 138.1 и 138.2 по-горе, трябва да отговарят на изискванията за достъпност, посочени в параграф 26 от приложение 5а, без да се засяга регламентът, приет от компетентния орган по този въпрос в Каталуния.</w:t>
      </w:r>
    </w:p>
    <w:p w14:paraId="0F7B09C4" w14:textId="77777777" w:rsidR="003920DF" w:rsidRPr="000F0A63" w:rsidRDefault="003920DF" w:rsidP="000F4434">
      <w:pPr>
        <w:pStyle w:val="ListParagraph"/>
        <w:numPr>
          <w:ilvl w:val="1"/>
          <w:numId w:val="23"/>
        </w:numPr>
        <w:ind w:left="0" w:firstLine="0"/>
        <w:jc w:val="both"/>
        <w:outlineLvl w:val="3"/>
        <w:rPr>
          <w:sz w:val="22"/>
          <w:szCs w:val="22"/>
          <w:rFonts w:cs="Arial"/>
        </w:rPr>
      </w:pPr>
      <w:r>
        <w:rPr>
          <w:sz w:val="22"/>
        </w:rPr>
        <w:t xml:space="preserve">Изискванията за достъпност на уебсайтовете и мобилните приложения, посочени в настоящия член, се прилагат, при условие че не създават непропорционална тежест за субекта, който трябва да ги прилага, в съответствие със следните обстоятелства:</w:t>
      </w:r>
    </w:p>
    <w:p w14:paraId="7E326BAE"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измеренията, ресурсите и естеството на конкретния субект;</w:t>
      </w:r>
    </w:p>
    <w:p w14:paraId="6F59FD5A"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разходите и ползите от страна на субекта и очакваните ползи за потребителите, като се вземат предвид честотата и продължителността на използването на този уебсайт или приложение;</w:t>
      </w:r>
      <w:r>
        <w:rPr>
          <w:sz w:val="22"/>
        </w:rPr>
        <w:t xml:space="preserve"> </w:t>
      </w:r>
    </w:p>
    <w:p w14:paraId="6A594B5F"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дискриминационните последици за хората с увреждания, ако уебсайтът или приложението не са достъпни в случай, че на пазара има уебсайтове или алтернативни приложения, които предлагат същата функция и условия;</w:t>
      </w:r>
    </w:p>
    <w:p w14:paraId="7EAD681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Публичният сектор или субектът, който използва освобождаването, предвидено в параграф 138.4 по-горе, трябва да обясни кои изисквания за достъпност не могат да бъдат изпълнени в декларацията за достъпност на уебсайта или приложението и трябва да предложи достъпни алтернативи в рамките на възможностите.</w:t>
      </w:r>
    </w:p>
    <w:p w14:paraId="5D7ECF09"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Уебстраниците и мобилните приложения трябва да отговарят на условията за достъпност, посочени в предходните параграфи, преди крайните срокове, посочени в параграф 2 от приложение 6б.</w:t>
      </w:r>
    </w:p>
    <w:p w14:paraId="64D96B3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Доставчиците на услуги и производителите, доставящи ИТ оборудване и софтуер на каталунския публичен сектор, и субектите, посочени в параграф 138.1, трябва да включат допълнителните елементи и характеристики за достъпност, необходими за осигуряване на достъп до цифрово съдържание за хората с увреждания.</w:t>
      </w:r>
      <w:r>
        <w:rPr>
          <w:sz w:val="22"/>
        </w:rPr>
        <w:t xml:space="preserve"> </w:t>
      </w:r>
    </w:p>
    <w:p w14:paraId="03F2890E"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Обществените и частните телевизионни мрежи в Каталуния трябва да разработят планове за достъпност на тяхното съдържание, за да направят програмите си достъпни за хора със сензорни и интелектуални увреждания.</w:t>
      </w:r>
      <w:r>
        <w:rPr>
          <w:sz w:val="22"/>
        </w:rPr>
        <w:t xml:space="preserve"> </w:t>
      </w:r>
      <w:r>
        <w:rPr>
          <w:sz w:val="22"/>
        </w:rPr>
        <w:t xml:space="preserve">Тези планове трябва да позволяват постигането на следните цели в рамките на максимален срок от 3 години от влизането в сила на настоящия кодекс:</w:t>
      </w:r>
    </w:p>
    <w:p w14:paraId="0A80856D"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Обществени телевизионни мрежи:</w:t>
      </w:r>
      <w:r>
        <w:rPr>
          <w:sz w:val="22"/>
        </w:rPr>
        <w:t xml:space="preserve"> </w:t>
      </w:r>
      <w:r>
        <w:rPr>
          <w:sz w:val="22"/>
        </w:rPr>
        <w:t xml:space="preserve">Те трябва да предлагат 100 % от програмирането със субтитри и да предоставят минимум 15 часа седмично съдържание с аудио описание и 10 часа седмично на каталонски жестомимичен език.</w:t>
      </w:r>
    </w:p>
    <w:p w14:paraId="7F8B67EE"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Частни телевизионни мрежи:</w:t>
      </w:r>
      <w:r>
        <w:rPr>
          <w:sz w:val="22"/>
        </w:rPr>
        <w:t xml:space="preserve"> </w:t>
      </w:r>
      <w:r>
        <w:rPr>
          <w:sz w:val="22"/>
        </w:rPr>
        <w:t xml:space="preserve">Те трябва да предлагат 75 % от програмирането със субтитри и да предоставят минимум 10 часа седмично съдържание с аудио описание и 7 часа седмично на каталонски жестомимичен език.</w:t>
      </w:r>
    </w:p>
    <w:p w14:paraId="221F24A7"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Програмирането на каталонски жестомимичен език трябва да включва новинарски програми и детски предавания, налични в офертата за предварително записано гледане, когато тази услуга е налична.</w:t>
      </w:r>
      <w:r>
        <w:rPr>
          <w:sz w:val="22"/>
        </w:rPr>
        <w:t xml:space="preserve"> </w:t>
      </w:r>
      <w:r>
        <w:rPr>
          <w:sz w:val="22"/>
        </w:rPr>
        <w:t xml:space="preserve">Това програмиране трябва да обхваща всеки ден от седмицата.</w:t>
      </w:r>
      <w:r>
        <w:rPr>
          <w:sz w:val="22"/>
        </w:rPr>
        <w:t xml:space="preserve"> </w:t>
      </w:r>
    </w:p>
    <w:p w14:paraId="1FCDD2A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Дружествата, разпространяващи кинематографични и аудио-визуални произведения, трябва да включват системи за субтитриране, аудио-описание и аудионавигация, за предпочитане в чуждестранни и местни филми, които имат по-добри цени за боксофис или са получили национални или международни награди, за да бъдат достъпни чрез DVD или подобни системи с тези функции.</w:t>
      </w:r>
    </w:p>
    <w:p w14:paraId="0F3986EB" w14:textId="77777777" w:rsidR="003920DF" w:rsidRDefault="003920DF">
      <w:pPr>
        <w:rPr>
          <w:lang w:val="es-ES"/>
        </w:rPr>
      </w:pPr>
    </w:p>
    <w:p w14:paraId="44244122" w14:textId="3BAB5CCF" w:rsidR="00E526B5" w:rsidRDefault="00B670F2">
      <w:r>
        <w:rPr>
          <w:sz w:val="22"/>
        </w:rPr>
        <w:t xml:space="preserve">ГЛАВА 11:</w:t>
      </w:r>
      <w:r>
        <w:rPr>
          <w:sz w:val="22"/>
        </w:rPr>
        <w:t xml:space="preserve"> </w:t>
      </w:r>
      <w:r>
        <w:rPr>
          <w:sz w:val="22"/>
        </w:rPr>
        <w:t xml:space="preserve">Значка за качество на достъпността</w:t>
      </w:r>
    </w:p>
    <w:p w14:paraId="5E23591F" w14:textId="30E33DFC" w:rsidR="00E526B5" w:rsidRPr="000F0A63" w:rsidRDefault="00E526B5" w:rsidP="000F4434">
      <w:pPr>
        <w:pStyle w:val="Heading4"/>
        <w:keepNext w:val="0"/>
        <w:numPr>
          <w:ilvl w:val="1"/>
          <w:numId w:val="24"/>
        </w:numPr>
        <w:spacing w:before="0" w:after="0"/>
        <w:ind w:left="0" w:firstLine="0"/>
        <w:jc w:val="both"/>
        <w:rPr>
          <w:sz w:val="22"/>
          <w:szCs w:val="22"/>
          <w:rFonts w:cs="Arial"/>
        </w:rPr>
      </w:pPr>
      <w:r>
        <w:rPr>
          <w:sz w:val="22"/>
        </w:rPr>
        <w:t xml:space="preserve">Обществените консултации със заведения, сгради и публични субекти, които имат пропуск за качество, трябва да са възможни най-малко по интернет, без да се засягат други средства, които могат да се считат за подходящи.</w:t>
      </w:r>
    </w:p>
    <w:p w14:paraId="6CBE5DDA" w14:textId="77777777" w:rsidR="00E526B5" w:rsidRDefault="00E526B5">
      <w:pPr>
        <w:rPr>
          <w:lang w:val="es-ES"/>
        </w:rPr>
      </w:pPr>
    </w:p>
    <w:p w14:paraId="3BFAD248" w14:textId="66A7955A" w:rsidR="00E526B5" w:rsidRDefault="00CF1E0D">
      <w:r>
        <w:rPr>
          <w:sz w:val="22"/>
        </w:rPr>
        <w:t xml:space="preserve">Приложение 5a:</w:t>
      </w:r>
      <w:r>
        <w:rPr>
          <w:sz w:val="22"/>
        </w:rPr>
        <w:t xml:space="preserve"> </w:t>
      </w:r>
      <w:r>
        <w:rPr>
          <w:sz w:val="22"/>
        </w:rPr>
        <w:t xml:space="preserve">Стандарти за достъпност на продуктите</w:t>
      </w:r>
    </w:p>
    <w:p w14:paraId="3A59E424" w14:textId="22C29E85" w:rsidR="00E526B5" w:rsidRPr="00E526B5" w:rsidRDefault="00E526B5" w:rsidP="000F4434">
      <w:pPr>
        <w:pStyle w:val="ListParagraph"/>
        <w:keepNext/>
        <w:numPr>
          <w:ilvl w:val="0"/>
          <w:numId w:val="27"/>
        </w:numPr>
        <w:tabs>
          <w:tab w:val="left" w:pos="426"/>
        </w:tabs>
        <w:ind w:left="0" w:firstLine="0"/>
        <w:jc w:val="both"/>
        <w:outlineLvl w:val="1"/>
        <w:rPr>
          <w:bCs/>
          <w:iCs/>
          <w:sz w:val="22"/>
          <w:szCs w:val="22"/>
          <w:rFonts w:cs="Arial"/>
        </w:rPr>
      </w:pPr>
      <w:bookmarkStart w:id="2" w:name="_Ref447796406"/>
      <w:r>
        <w:rPr>
          <w:sz w:val="22"/>
        </w:rPr>
        <w:t xml:space="preserve">Достъпни уебстраници</w:t>
      </w:r>
      <w:bookmarkEnd w:id="2"/>
      <w:r>
        <w:rPr>
          <w:sz w:val="22"/>
        </w:rPr>
        <w:t xml:space="preserve"> </w:t>
      </w:r>
    </w:p>
    <w:p w14:paraId="2592043C" w14:textId="77777777" w:rsidR="00E526B5" w:rsidRPr="000F0A63" w:rsidRDefault="00E526B5" w:rsidP="00E526B5">
      <w:pPr>
        <w:tabs>
          <w:tab w:val="num" w:pos="0"/>
          <w:tab w:val="left" w:pos="284"/>
        </w:tabs>
        <w:jc w:val="both"/>
        <w:rPr>
          <w:sz w:val="22"/>
          <w:szCs w:val="22"/>
          <w:rFonts w:cs="Arial"/>
        </w:rPr>
      </w:pPr>
      <w:r>
        <w:rPr>
          <w:sz w:val="22"/>
        </w:rPr>
        <w:t xml:space="preserve">Насоките, които трябва да се следват при проектирането и създаването на уебсайт, и условията, при които той е достъпен, са следните:</w:t>
      </w:r>
      <w:r>
        <w:rPr>
          <w:sz w:val="22"/>
        </w:rPr>
        <w:t xml:space="preserve"> </w:t>
      </w:r>
    </w:p>
    <w:p w14:paraId="6DB92C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конфигурирайте съдържанието така, че да може да бъде адаптирано към различни софтуери, устройства и поддържащи продукти, без да губите информация или структура;</w:t>
      </w:r>
      <w:r>
        <w:rPr>
          <w:sz w:val="22"/>
        </w:rPr>
        <w:t xml:space="preserve"> </w:t>
      </w:r>
    </w:p>
    <w:p w14:paraId="73E8D3D0"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осигурете текстови алтернативи или описателна идентификация за нетекстово съдържание (изображения, графики, мултимедийно съдържание);</w:t>
      </w:r>
      <w:r>
        <w:rPr>
          <w:sz w:val="22"/>
        </w:rPr>
        <w:t xml:space="preserve"> </w:t>
      </w:r>
    </w:p>
    <w:p w14:paraId="4612CA86"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включете субтитри и аудио описание за мултимедийно съдържание, когато е необходимо за правилното разбиране на съобщението;</w:t>
      </w:r>
      <w:r>
        <w:rPr>
          <w:sz w:val="22"/>
        </w:rPr>
        <w:t xml:space="preserve"> </w:t>
      </w:r>
    </w:p>
    <w:p w14:paraId="59F0492D"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осигурете механизми, които дават възможност за изключване и регулиране на силата на звука;</w:t>
      </w:r>
      <w:r>
        <w:rPr>
          <w:sz w:val="22"/>
        </w:rPr>
        <w:t xml:space="preserve"> </w:t>
      </w:r>
    </w:p>
    <w:p w14:paraId="72341CA9"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не използвайте цвета като единственото средство за предаване на информация, посочване на действие или разграничаване на елемент;</w:t>
      </w:r>
      <w:r>
        <w:rPr>
          <w:sz w:val="22"/>
        </w:rPr>
        <w:t xml:space="preserve"> </w:t>
      </w:r>
    </w:p>
    <w:p w14:paraId="543C6D04"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текстът и изображенията трябва да имат достатъчен контраст с фона и размер, който позволява да се четат удобно;</w:t>
      </w:r>
      <w:r>
        <w:rPr>
          <w:sz w:val="22"/>
        </w:rPr>
        <w:t xml:space="preserve"> </w:t>
      </w:r>
    </w:p>
    <w:p w14:paraId="2D2F0267"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размерът на текста трябва да може да се коригира от самата страница без помощта на поддържащи продукти и без загуба на съдържание или функционалност;</w:t>
      </w:r>
      <w:r>
        <w:rPr>
          <w:sz w:val="22"/>
        </w:rPr>
        <w:t xml:space="preserve"> </w:t>
      </w:r>
    </w:p>
    <w:p w14:paraId="7F7BFBFC" w14:textId="14BC9BD4"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осигурете достъп до всички функционалности на страницата чрез клавиатура с решение, което не противоречи на екранните четци и увеличителни устройства;</w:t>
      </w:r>
    </w:p>
    <w:p w14:paraId="527EF9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позволете на потребителя да контролира информацията или обектите, които автоматично се преместват или актуализират, като има възможност да ги спира, скрива или да контролира честотата.</w:t>
      </w:r>
      <w:r>
        <w:rPr>
          <w:sz w:val="22"/>
        </w:rPr>
        <w:t xml:space="preserve"> </w:t>
      </w:r>
    </w:p>
    <w:p w14:paraId="6C2AB65F"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bookmarkStart w:id="3" w:name="_Ref488129626"/>
      <w:r>
        <w:rPr>
          <w:sz w:val="22"/>
        </w:rPr>
        <w:t xml:space="preserve">улеснете навигацията чрез структуриране на съдържанието в съгласуван ред и осигуряване на ясни навигационни механизми;</w:t>
      </w:r>
      <w:r>
        <w:rPr>
          <w:sz w:val="22"/>
        </w:rPr>
        <w:t xml:space="preserve"> </w:t>
      </w:r>
    </w:p>
    <w:p w14:paraId="3DA35818"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включете информация с насоки, за да помогнете на потребителите да разберат сложните елементи и да осигурят механизми за откриване и предотвратяване на грешки при въвеждането на данни от тях;</w:t>
      </w:r>
      <w:r>
        <w:rPr>
          <w:sz w:val="22"/>
        </w:rPr>
        <w:t xml:space="preserve"> </w:t>
      </w:r>
    </w:p>
    <w:p w14:paraId="3E7754AE"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идентифицирайте езика, използван във всеки абзац или документ на уебсайта, така че екранните четци и синтезаторите на глас да могат автоматично да откриват и променят езика;</w:t>
      </w:r>
      <w:r>
        <w:rPr>
          <w:sz w:val="22"/>
        </w:rPr>
        <w:t xml:space="preserve"> </w:t>
      </w:r>
    </w:p>
    <w:p w14:paraId="02F867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използвайте ясен и разбираем език, за да направите съдържанието лесно разбираемо и да включите дефиницията на най-необичайните думи и значението на инициали и съкращения;</w:t>
      </w:r>
      <w:r>
        <w:rPr>
          <w:sz w:val="22"/>
        </w:rPr>
        <w:t xml:space="preserve"> </w:t>
      </w:r>
    </w:p>
    <w:p w14:paraId="0EA30215"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увеличете максимално съвместимостта с приложенията, софтуера и устройствата, които потребителите могат да имат, включително продуктите за поддръжка;</w:t>
      </w:r>
    </w:p>
    <w:p w14:paraId="1E938D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уверете се, че документите, публикувани в интернет, са достъпни и четими за екранните четци;</w:t>
      </w:r>
    </w:p>
    <w:p w14:paraId="1D9C45B4" w14:textId="70A58EB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предоставяйте достъпни канали за комуникация, различни от телефон, чрез електронна поща, SMS или формуляри, с време за обработка, което не е дискриминационно в сравнение с това на телефонното обаждане;</w:t>
      </w:r>
    </w:p>
    <w:p w14:paraId="0F2AC703" w14:textId="7777777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изпълнете критериите в съответствие с насоките на WCAG 2.1 на едно от нейните нива, с условията, определени в стандарт UNE 139803:2012 или този, който го заменя, с изключение на случаите, в които настоящият кодекс изисква по-високо ниво.</w:t>
      </w:r>
      <w:r>
        <w:rPr>
          <w:sz w:val="22"/>
        </w:rPr>
        <w:t xml:space="preserve"> </w:t>
      </w:r>
    </w:p>
    <w:p w14:paraId="77216F8A" w14:textId="77777777" w:rsidR="00E526B5" w:rsidRPr="000F0A63" w:rsidRDefault="00E526B5" w:rsidP="00E526B5">
      <w:pPr>
        <w:tabs>
          <w:tab w:val="left" w:pos="284"/>
          <w:tab w:val="num" w:pos="567"/>
        </w:tabs>
        <w:jc w:val="both"/>
        <w:rPr>
          <w:rFonts w:cs="Arial"/>
          <w:sz w:val="22"/>
          <w:szCs w:val="22"/>
          <w:lang w:val="es-ES"/>
        </w:rPr>
      </w:pPr>
    </w:p>
    <w:p w14:paraId="58C0FCD7" w14:textId="77777777" w:rsidR="00E526B5" w:rsidRPr="000F0A63" w:rsidRDefault="00E526B5" w:rsidP="000F4434">
      <w:pPr>
        <w:pStyle w:val="ListParagraph"/>
        <w:keepNext/>
        <w:numPr>
          <w:ilvl w:val="0"/>
          <w:numId w:val="27"/>
        </w:numPr>
        <w:tabs>
          <w:tab w:val="left" w:pos="426"/>
        </w:tabs>
        <w:ind w:left="0" w:firstLine="0"/>
        <w:jc w:val="both"/>
        <w:outlineLvl w:val="1"/>
        <w:rPr>
          <w:sz w:val="22"/>
          <w:szCs w:val="22"/>
          <w:rFonts w:cs="Arial"/>
        </w:rPr>
      </w:pPr>
      <w:bookmarkStart w:id="4" w:name="_Ref504990560"/>
      <w:r>
        <w:rPr>
          <w:sz w:val="22"/>
        </w:rPr>
        <w:t xml:space="preserve">Достъпни приложения</w:t>
      </w:r>
      <w:bookmarkEnd w:id="3"/>
      <w:bookmarkEnd w:id="4"/>
    </w:p>
    <w:p w14:paraId="7EB099BF" w14:textId="77777777" w:rsidR="00E526B5" w:rsidRPr="000F0A63" w:rsidRDefault="00E526B5" w:rsidP="00E526B5">
      <w:pPr>
        <w:tabs>
          <w:tab w:val="left" w:pos="284"/>
          <w:tab w:val="left" w:pos="426"/>
        </w:tabs>
        <w:jc w:val="both"/>
        <w:rPr>
          <w:sz w:val="22"/>
          <w:szCs w:val="22"/>
          <w:rFonts w:cs="Arial"/>
        </w:rPr>
      </w:pPr>
      <w:r>
        <w:rPr>
          <w:sz w:val="22"/>
        </w:rPr>
        <w:t xml:space="preserve">Приложенията, достъпни за мобилни устройства, трябва да отговарят на условията, определени в стандарт UNE 139803:2012 или на този, който го заменя, и да отговарят на следните общи критерии:</w:t>
      </w:r>
      <w:r>
        <w:rPr>
          <w:sz w:val="22"/>
        </w:rPr>
        <w:t xml:space="preserve"> </w:t>
      </w:r>
    </w:p>
    <w:p w14:paraId="580725D4"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всички съобщения, помощни системи и текстове трябва да бъдат написани на ясен и прост език;</w:t>
      </w:r>
    </w:p>
    <w:p w14:paraId="2543102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текстът трябва да бъде разбираем, с размер и шрифт, които улесняват четенето;</w:t>
      </w:r>
    </w:p>
    <w:p w14:paraId="18CF95B7"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цветният контраст на елементите с фона трябва да бъде достатъчен;</w:t>
      </w:r>
      <w:r>
        <w:rPr>
          <w:sz w:val="22"/>
        </w:rPr>
        <w:t xml:space="preserve"> </w:t>
      </w:r>
    </w:p>
    <w:p w14:paraId="6EAF5662"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органите за управление, обектите, иконите и изображенията трябва да бъдат разпознаваеми, лесни за използване и да имат свързан алтернативен текст, указващ тяхната функция или значение;</w:t>
      </w:r>
      <w:r>
        <w:rPr>
          <w:sz w:val="22"/>
        </w:rPr>
        <w:t xml:space="preserve"> </w:t>
      </w:r>
    </w:p>
    <w:p w14:paraId="5791E3B0"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предупредителните звуци трябва да имат визуални или вибрационни алтернативи;</w:t>
      </w:r>
      <w:r>
        <w:rPr>
          <w:sz w:val="22"/>
        </w:rPr>
        <w:t xml:space="preserve"> </w:t>
      </w:r>
    </w:p>
    <w:p w14:paraId="12D8BAF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процесът на достъп до услугата трябва да бъде безпроблемен и бърз;</w:t>
      </w:r>
    </w:p>
    <w:p w14:paraId="1F898261"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приложението трябва да бъде съвместимо с поддържащи продукти, като например екранни четци, увеличителни устройства и гласови команди;</w:t>
      </w:r>
    </w:p>
    <w:p w14:paraId="795B853F"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приложението трябва да е съвместимо с инструментите за достъпност на операционната система.</w:t>
      </w:r>
    </w:p>
    <w:p w14:paraId="56E59187" w14:textId="77777777" w:rsidR="00E526B5" w:rsidRDefault="00E526B5">
      <w:pPr>
        <w:rPr>
          <w:lang w:val="es-ES"/>
        </w:rPr>
      </w:pPr>
    </w:p>
    <w:p w14:paraId="53BF94FB" w14:textId="30F32856" w:rsidR="00E526B5" w:rsidRPr="000F0A63" w:rsidRDefault="00E526B5" w:rsidP="005917F0">
      <w:pPr>
        <w:keepNext/>
        <w:keepLines/>
        <w:tabs>
          <w:tab w:val="left" w:pos="284"/>
        </w:tabs>
        <w:jc w:val="both"/>
        <w:outlineLvl w:val="1"/>
        <w:rPr>
          <w:bCs/>
          <w:sz w:val="22"/>
          <w:szCs w:val="22"/>
          <w:rFonts w:cs="Arial"/>
        </w:rPr>
      </w:pPr>
      <w:r>
        <w:rPr>
          <w:sz w:val="22"/>
        </w:rPr>
        <w:t xml:space="preserve">Приложение 6б:</w:t>
      </w:r>
      <w:r>
        <w:rPr>
          <w:sz w:val="22"/>
        </w:rPr>
        <w:t xml:space="preserve"> </w:t>
      </w:r>
      <w:r>
        <w:rPr>
          <w:sz w:val="22"/>
        </w:rPr>
        <w:t xml:space="preserve">Срокове за адаптиране на съществуващите услуги към определените условия</w:t>
      </w:r>
    </w:p>
    <w:p w14:paraId="77C3480F" w14:textId="43B01EF3" w:rsidR="00E526B5" w:rsidRPr="000F0A63" w:rsidRDefault="00E526B5" w:rsidP="005917F0">
      <w:pPr>
        <w:keepNext/>
        <w:keepLines/>
        <w:tabs>
          <w:tab w:val="left" w:pos="284"/>
        </w:tabs>
        <w:jc w:val="both"/>
        <w:rPr>
          <w:rFonts w:cs="Arial"/>
          <w:bCs/>
          <w:sz w:val="22"/>
          <w:szCs w:val="22"/>
          <w:lang w:val="es-ES"/>
        </w:rPr>
      </w:pPr>
    </w:p>
    <w:p w14:paraId="19B0505A"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5" w:name="_Ref505083170"/>
      <w:r>
        <w:rPr>
          <w:sz w:val="22"/>
        </w:rPr>
        <w:t xml:space="preserve">Съвместимост с други изисквани условия</w:t>
      </w:r>
      <w:bookmarkEnd w:id="5"/>
      <w:r>
        <w:rPr>
          <w:sz w:val="22"/>
        </w:rPr>
        <w:t xml:space="preserve"> </w:t>
      </w:r>
    </w:p>
    <w:p w14:paraId="1C074B90" w14:textId="77777777" w:rsidR="00E526B5" w:rsidRPr="000F0A63" w:rsidRDefault="00E526B5" w:rsidP="00E526B5">
      <w:pPr>
        <w:keepNext/>
        <w:keepLines/>
        <w:tabs>
          <w:tab w:val="left" w:pos="284"/>
        </w:tabs>
        <w:jc w:val="both"/>
        <w:rPr>
          <w:sz w:val="22"/>
          <w:szCs w:val="22"/>
          <w:rFonts w:cs="Arial"/>
        </w:rPr>
      </w:pPr>
      <w:r>
        <w:rPr>
          <w:sz w:val="22"/>
        </w:rPr>
        <w:t xml:space="preserve">Условията на настоящото приложение 6б не засягат задължението за съответствие преди посочените крайни срокове на изискваните условия за достъпност в случай на изменение на съществуващи елементи или ресурси.</w:t>
      </w:r>
      <w:r>
        <w:rPr>
          <w:sz w:val="22"/>
        </w:rPr>
        <w:t xml:space="preserve"> </w:t>
      </w:r>
    </w:p>
    <w:p w14:paraId="5EEA95FF" w14:textId="77777777" w:rsidR="00E526B5" w:rsidRPr="000F0A63" w:rsidRDefault="00E526B5" w:rsidP="00E526B5">
      <w:pPr>
        <w:keepNext/>
        <w:keepLines/>
        <w:tabs>
          <w:tab w:val="left" w:pos="284"/>
        </w:tabs>
        <w:jc w:val="both"/>
        <w:rPr>
          <w:rFonts w:cs="Arial"/>
          <w:sz w:val="22"/>
          <w:szCs w:val="22"/>
          <w:lang w:val="es-ES" w:eastAsia="x-none"/>
        </w:rPr>
      </w:pPr>
    </w:p>
    <w:p w14:paraId="68894ACD"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6" w:name="_Ref505083210"/>
      <w:r>
        <w:rPr>
          <w:sz w:val="22"/>
        </w:rPr>
        <w:t xml:space="preserve">Каталунски публичен сектор, публичноправни дружества и субекти-доставчици на обществени услуги</w:t>
      </w:r>
      <w:bookmarkEnd w:id="6"/>
    </w:p>
    <w:p w14:paraId="76077B47" w14:textId="77777777" w:rsidR="00E526B5" w:rsidRPr="000F0A63" w:rsidRDefault="00E526B5" w:rsidP="00E526B5">
      <w:pPr>
        <w:tabs>
          <w:tab w:val="left" w:pos="284"/>
        </w:tabs>
        <w:jc w:val="both"/>
        <w:rPr>
          <w:bCs/>
          <w:iCs/>
          <w:sz w:val="22"/>
          <w:szCs w:val="22"/>
          <w:rFonts w:cs="Arial"/>
        </w:rPr>
      </w:pPr>
      <w:r>
        <w:rPr>
          <w:sz w:val="22"/>
        </w:rPr>
        <w:t xml:space="preserve">Следните крайни срокове са определени за уебсайтовете и мобилните приложения на каталунския публичен сектор, публичноправните дружества и субекти или дружества, които предоставят обществени услуги чрез концесия или на договорна основа с публичната администрация, за да бъдат достъпни и да отговарят на условията, посочени в член 138:</w:t>
      </w:r>
    </w:p>
    <w:p w14:paraId="181146B6"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1 година от влизането в сила на настоящия кодекс:</w:t>
      </w:r>
    </w:p>
    <w:p w14:paraId="69D26797" w14:textId="77777777" w:rsidR="00E526B5" w:rsidRPr="000F0A63" w:rsidRDefault="00E526B5" w:rsidP="000F4434">
      <w:pPr>
        <w:numPr>
          <w:ilvl w:val="1"/>
          <w:numId w:val="30"/>
        </w:numPr>
        <w:tabs>
          <w:tab w:val="clear" w:pos="1440"/>
          <w:tab w:val="left" w:pos="284"/>
          <w:tab w:val="num" w:pos="426"/>
          <w:tab w:val="num" w:pos="993"/>
        </w:tabs>
        <w:ind w:left="0" w:firstLine="0"/>
        <w:jc w:val="both"/>
        <w:rPr>
          <w:sz w:val="22"/>
          <w:szCs w:val="22"/>
          <w:rFonts w:cs="Arial"/>
        </w:rPr>
      </w:pPr>
      <w:r>
        <w:rPr>
          <w:sz w:val="22"/>
        </w:rPr>
        <w:t xml:space="preserve">уебсайтовете на каталунския публичен сектор и публичноправните дружества;</w:t>
      </w:r>
    </w:p>
    <w:p w14:paraId="47DD03E4"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2 години от влизането в сила на настоящия кодекс:</w:t>
      </w:r>
    </w:p>
    <w:p w14:paraId="04EB1B39" w14:textId="77777777" w:rsidR="00E526B5" w:rsidRPr="000F0A63" w:rsidRDefault="00E526B5" w:rsidP="000F4434">
      <w:pPr>
        <w:numPr>
          <w:ilvl w:val="0"/>
          <w:numId w:val="33"/>
        </w:numPr>
        <w:tabs>
          <w:tab w:val="left" w:pos="426"/>
        </w:tabs>
        <w:ind w:left="0" w:firstLine="0"/>
        <w:jc w:val="both"/>
        <w:rPr>
          <w:sz w:val="22"/>
          <w:szCs w:val="22"/>
          <w:rFonts w:cs="Arial"/>
        </w:rPr>
      </w:pPr>
      <w:r>
        <w:rPr>
          <w:sz w:val="22"/>
        </w:rPr>
        <w:t xml:space="preserve">приложения за мобилни устройства в каталунския публичен сектор и публичноправните дружества;</w:t>
      </w:r>
    </w:p>
    <w:p w14:paraId="4A800192" w14:textId="77777777" w:rsidR="00E526B5" w:rsidRPr="000F0A63" w:rsidRDefault="00E526B5" w:rsidP="000F4434">
      <w:pPr>
        <w:keepNext/>
        <w:keepLines/>
        <w:numPr>
          <w:ilvl w:val="0"/>
          <w:numId w:val="29"/>
        </w:numPr>
        <w:tabs>
          <w:tab w:val="left" w:pos="284"/>
          <w:tab w:val="num" w:pos="426"/>
          <w:tab w:val="num" w:pos="567"/>
        </w:tabs>
        <w:ind w:left="0" w:firstLine="0"/>
        <w:jc w:val="both"/>
        <w:rPr>
          <w:bCs/>
          <w:sz w:val="22"/>
          <w:szCs w:val="22"/>
          <w:rFonts w:cs="Arial"/>
        </w:rPr>
      </w:pPr>
      <w:r>
        <w:rPr>
          <w:sz w:val="22"/>
        </w:rPr>
        <w:t xml:space="preserve">3 години от влизането в сила на настоящия кодекс:</w:t>
      </w:r>
      <w:r>
        <w:rPr>
          <w:sz w:val="22"/>
        </w:rPr>
        <w:t xml:space="preserve"> </w:t>
      </w:r>
    </w:p>
    <w:p w14:paraId="2BC909CB" w14:textId="77777777" w:rsidR="00E526B5" w:rsidRPr="000F0A63" w:rsidRDefault="00E526B5" w:rsidP="000F4434">
      <w:pPr>
        <w:numPr>
          <w:ilvl w:val="0"/>
          <w:numId w:val="50"/>
        </w:numPr>
        <w:tabs>
          <w:tab w:val="left" w:pos="426"/>
        </w:tabs>
        <w:ind w:left="0" w:firstLine="0"/>
        <w:jc w:val="both"/>
        <w:rPr>
          <w:sz w:val="22"/>
          <w:szCs w:val="22"/>
          <w:rFonts w:cs="Arial"/>
        </w:rPr>
      </w:pPr>
      <w:r>
        <w:rPr>
          <w:sz w:val="22"/>
        </w:rPr>
        <w:t xml:space="preserve">уебсайтове и приложения за мобилни устройства на субекти или дружества, които предоставят обществени услуги чрез концесия или на договорна основа с публичната администрация.</w:t>
      </w:r>
    </w:p>
    <w:p w14:paraId="5A897CB9" w14:textId="77777777" w:rsidR="00E526B5" w:rsidRPr="000F0A63" w:rsidRDefault="00E526B5" w:rsidP="00E526B5">
      <w:pPr>
        <w:tabs>
          <w:tab w:val="left" w:pos="284"/>
          <w:tab w:val="num" w:pos="426"/>
        </w:tabs>
        <w:jc w:val="both"/>
        <w:rPr>
          <w:sz w:val="22"/>
          <w:szCs w:val="22"/>
          <w:rFonts w:cs="Arial"/>
        </w:rPr>
      </w:pPr>
      <w:r>
        <w:rPr>
          <w:sz w:val="22"/>
        </w:rPr>
        <w:t xml:space="preserve">Посочените срокове са определени, без да се засяга спазването на най-строгите срокове, които се изискват от характеристиките на услугата в съответствие с останалите точки от настоящото приложение или от други регламенти, които я уреждат.</w:t>
      </w:r>
      <w:r>
        <w:rPr>
          <w:sz w:val="22"/>
        </w:rPr>
        <w:t xml:space="preserve"> </w:t>
      </w:r>
    </w:p>
    <w:p w14:paraId="6782A616" w14:textId="77777777" w:rsidR="00E526B5" w:rsidRPr="000F0A63" w:rsidRDefault="00E526B5" w:rsidP="00E526B5">
      <w:pPr>
        <w:tabs>
          <w:tab w:val="left" w:pos="284"/>
          <w:tab w:val="num" w:pos="426"/>
        </w:tabs>
        <w:jc w:val="both"/>
        <w:rPr>
          <w:rFonts w:cs="Arial"/>
          <w:sz w:val="22"/>
          <w:szCs w:val="22"/>
          <w:lang w:val="es-ES"/>
        </w:rPr>
      </w:pPr>
    </w:p>
    <w:p w14:paraId="1A2A94E1"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7" w:name="_Ref505083224"/>
      <w:r>
        <w:rPr>
          <w:sz w:val="22"/>
        </w:rPr>
        <w:t xml:space="preserve">Услуги, свързани със сценични изкуства, кина и спортни събития</w:t>
      </w:r>
      <w:bookmarkEnd w:id="7"/>
    </w:p>
    <w:p w14:paraId="6E9E2B04" w14:textId="77777777" w:rsidR="00E526B5" w:rsidRPr="000F0A63" w:rsidRDefault="00E526B5" w:rsidP="00E526B5">
      <w:pPr>
        <w:tabs>
          <w:tab w:val="left" w:pos="284"/>
        </w:tabs>
        <w:jc w:val="both"/>
        <w:rPr>
          <w:bCs/>
          <w:sz w:val="22"/>
          <w:szCs w:val="22"/>
          <w:rFonts w:cs="Arial"/>
        </w:rPr>
      </w:pPr>
      <w:r>
        <w:rPr>
          <w:sz w:val="22"/>
        </w:rPr>
        <w:t xml:space="preserve">Следните крайни срокове са определени така, че уебсайтовете на заведението и електронните канали за продажба на билети да могат да бъдат достъпни и да отговарят на условията, посочени в член 133:</w:t>
      </w:r>
    </w:p>
    <w:p w14:paraId="44E529E5"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2 години от влизането в сила на настоящия кодекс:</w:t>
      </w:r>
    </w:p>
    <w:p w14:paraId="26851055"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уебсайтове и мобилни приложения на заведения с капацитет, равен на или по-голям от 2 000 места на цялата площ,</w:t>
      </w:r>
    </w:p>
    <w:p w14:paraId="59D0540F"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уебсайтове и мобилни приложения на онлайн платформи за продажба на билети, които управляват повече от едно заведение с общ капацитет, равен на или по-голям от 2 000 места;</w:t>
      </w:r>
    </w:p>
    <w:p w14:paraId="2835B2B8"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3 години от влизането в сила на настоящия кодекс:</w:t>
      </w:r>
    </w:p>
    <w:p w14:paraId="2F160C92" w14:textId="77777777" w:rsidR="00E526B5" w:rsidRPr="000F0A63" w:rsidRDefault="00E526B5" w:rsidP="000F4434">
      <w:pPr>
        <w:numPr>
          <w:ilvl w:val="0"/>
          <w:numId w:val="36"/>
        </w:numPr>
        <w:tabs>
          <w:tab w:val="left" w:pos="567"/>
        </w:tabs>
        <w:ind w:left="0" w:firstLine="0"/>
        <w:jc w:val="both"/>
        <w:rPr>
          <w:sz w:val="22"/>
          <w:szCs w:val="22"/>
          <w:rFonts w:cs="Arial"/>
        </w:rPr>
      </w:pPr>
      <w:r>
        <w:rPr>
          <w:sz w:val="22"/>
        </w:rPr>
        <w:t xml:space="preserve">уебсайтове и мобилни приложения на онлайн платформи за продажба на билети, които управляват повече от едно заведение с общ капацитет, по-малък от 2 000 места;</w:t>
      </w:r>
      <w:r>
        <w:rPr>
          <w:sz w:val="22"/>
        </w:rPr>
        <w:t xml:space="preserve"> </w:t>
      </w:r>
    </w:p>
    <w:p w14:paraId="7BECFAB4" w14:textId="77777777" w:rsidR="00E526B5" w:rsidRPr="000F0A63" w:rsidRDefault="00E526B5" w:rsidP="000F4434">
      <w:pPr>
        <w:keepNext/>
        <w:numPr>
          <w:ilvl w:val="0"/>
          <w:numId w:val="34"/>
        </w:numPr>
        <w:tabs>
          <w:tab w:val="left" w:pos="284"/>
        </w:tabs>
        <w:ind w:left="0" w:firstLine="0"/>
        <w:jc w:val="both"/>
        <w:rPr>
          <w:sz w:val="22"/>
          <w:szCs w:val="22"/>
          <w:rFonts w:cs="Arial"/>
        </w:rPr>
      </w:pPr>
      <w:r>
        <w:rPr>
          <w:sz w:val="22"/>
        </w:rPr>
        <w:t xml:space="preserve">4 години от влизането в сила на настоящия кодекс:</w:t>
      </w:r>
    </w:p>
    <w:p w14:paraId="4D5AB809" w14:textId="77777777" w:rsidR="00E526B5" w:rsidRPr="000F0A63" w:rsidRDefault="00E526B5" w:rsidP="000F4434">
      <w:pPr>
        <w:numPr>
          <w:ilvl w:val="0"/>
          <w:numId w:val="35"/>
        </w:numPr>
        <w:tabs>
          <w:tab w:val="left" w:pos="567"/>
        </w:tabs>
        <w:ind w:left="0" w:firstLine="0"/>
        <w:jc w:val="both"/>
        <w:rPr>
          <w:sz w:val="22"/>
          <w:szCs w:val="22"/>
          <w:rFonts w:cs="Arial"/>
        </w:rPr>
      </w:pPr>
      <w:r>
        <w:rPr>
          <w:sz w:val="22"/>
        </w:rPr>
        <w:t xml:space="preserve">уебсайтове и мобилни приложения на заведения с капацитет по-малък от 2 000 места на цялата площ.</w:t>
      </w:r>
      <w:r>
        <w:rPr>
          <w:sz w:val="22"/>
        </w:rPr>
        <w:t xml:space="preserve">  </w:t>
      </w:r>
    </w:p>
    <w:p w14:paraId="2C5319CC" w14:textId="77777777" w:rsidR="00E526B5" w:rsidRPr="000F0A63" w:rsidRDefault="00E526B5" w:rsidP="00E526B5">
      <w:pPr>
        <w:tabs>
          <w:tab w:val="left" w:pos="284"/>
        </w:tabs>
        <w:jc w:val="both"/>
        <w:rPr>
          <w:rFonts w:cs="Arial"/>
          <w:sz w:val="22"/>
          <w:szCs w:val="22"/>
          <w:lang w:val="es-ES"/>
        </w:rPr>
      </w:pPr>
    </w:p>
    <w:p w14:paraId="0B116980"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8" w:name="_Ref505083249"/>
      <w:r>
        <w:rPr>
          <w:sz w:val="22"/>
        </w:rPr>
        <w:t xml:space="preserve">Търговски услуги</w:t>
      </w:r>
      <w:bookmarkEnd w:id="8"/>
    </w:p>
    <w:p w14:paraId="3609046E" w14:textId="77777777" w:rsidR="00E526B5" w:rsidRPr="000F0A63" w:rsidRDefault="00E526B5" w:rsidP="00E526B5">
      <w:pPr>
        <w:keepLines/>
        <w:tabs>
          <w:tab w:val="left" w:pos="284"/>
        </w:tabs>
        <w:jc w:val="both"/>
        <w:rPr>
          <w:bCs/>
          <w:sz w:val="22"/>
          <w:szCs w:val="22"/>
          <w:rFonts w:cs="Arial"/>
        </w:rPr>
      </w:pPr>
      <w:r>
        <w:rPr>
          <w:sz w:val="22"/>
        </w:rPr>
        <w:t xml:space="preserve">Следните крайни срокове са определени така, че уебсайтовете и мобилните приложения, предлагащи възможност за онлайн пазаруване, и тези на веригите супермаркети, както и дружествата с хранителни или смесени обекти, да могат да бъдат достъпни и да отговарят на условията, посочени в член 126:</w:t>
      </w:r>
    </w:p>
    <w:p w14:paraId="12FBBAE4"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2 години от влизането в сила на настоящия кодекс:</w:t>
      </w:r>
    </w:p>
    <w:p w14:paraId="5E3D88E1" w14:textId="77777777" w:rsidR="00E526B5" w:rsidRPr="000F0A63" w:rsidRDefault="00E526B5" w:rsidP="000F4434">
      <w:pPr>
        <w:numPr>
          <w:ilvl w:val="1"/>
          <w:numId w:val="34"/>
        </w:numPr>
        <w:tabs>
          <w:tab w:val="clear" w:pos="1440"/>
          <w:tab w:val="num" w:pos="567"/>
        </w:tabs>
        <w:ind w:left="0" w:firstLine="0"/>
        <w:jc w:val="both"/>
        <w:rPr>
          <w:bCs/>
          <w:iCs/>
          <w:sz w:val="22"/>
          <w:szCs w:val="22"/>
          <w:rFonts w:cs="Arial"/>
        </w:rPr>
      </w:pPr>
      <w:r>
        <w:rPr>
          <w:sz w:val="22"/>
        </w:rPr>
        <w:t xml:space="preserve">уебсайтове и приложения за мобилни устройства на вериги супермаркети, които имат 10 или повече обекта и помещения с над 500 m² полезно пространство за обществено ползване;</w:t>
      </w:r>
    </w:p>
    <w:p w14:paraId="79B90796"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3 години от влизането в сила на настоящия кодекс:</w:t>
      </w:r>
    </w:p>
    <w:p w14:paraId="4A64FC41" w14:textId="77777777" w:rsidR="00E526B5" w:rsidRPr="000F0A63" w:rsidRDefault="00E526B5" w:rsidP="000F4434">
      <w:pPr>
        <w:numPr>
          <w:ilvl w:val="0"/>
          <w:numId w:val="37"/>
        </w:numPr>
        <w:tabs>
          <w:tab w:val="left" w:pos="567"/>
        </w:tabs>
        <w:ind w:left="0" w:firstLine="0"/>
        <w:jc w:val="both"/>
        <w:rPr>
          <w:bCs/>
          <w:iCs/>
          <w:sz w:val="22"/>
          <w:szCs w:val="22"/>
          <w:rFonts w:cs="Arial"/>
        </w:rPr>
      </w:pPr>
      <w:r>
        <w:rPr>
          <w:sz w:val="22"/>
        </w:rPr>
        <w:t xml:space="preserve">уебсайтове и приложения за мобилни устройства на вериги супермаркети, които имат между 5 и 9 обекта и помещения с над 500 m² полезно пространство за обществено ползване;</w:t>
      </w:r>
    </w:p>
    <w:p w14:paraId="1F2E1FB5" w14:textId="77777777" w:rsidR="00E526B5" w:rsidRPr="000F0A63" w:rsidRDefault="00E526B5" w:rsidP="000F4434">
      <w:pPr>
        <w:numPr>
          <w:ilvl w:val="0"/>
          <w:numId w:val="32"/>
        </w:numPr>
        <w:tabs>
          <w:tab w:val="left" w:pos="284"/>
        </w:tabs>
        <w:ind w:left="0" w:firstLine="0"/>
        <w:jc w:val="both"/>
        <w:rPr>
          <w:sz w:val="22"/>
          <w:szCs w:val="22"/>
          <w:rFonts w:cs="Arial"/>
        </w:rPr>
      </w:pPr>
      <w:r>
        <w:rPr>
          <w:sz w:val="22"/>
        </w:rPr>
        <w:t xml:space="preserve">4 години от влизането в сила на настоящия кодекс:</w:t>
      </w:r>
    </w:p>
    <w:p w14:paraId="47833147" w14:textId="77777777" w:rsidR="00E526B5" w:rsidRPr="000F0A63" w:rsidRDefault="00E526B5" w:rsidP="000F4434">
      <w:pPr>
        <w:numPr>
          <w:ilvl w:val="0"/>
          <w:numId w:val="38"/>
        </w:numPr>
        <w:tabs>
          <w:tab w:val="left" w:pos="567"/>
        </w:tabs>
        <w:ind w:left="0" w:firstLine="0"/>
        <w:jc w:val="both"/>
        <w:rPr>
          <w:bCs/>
          <w:iCs/>
          <w:sz w:val="22"/>
          <w:szCs w:val="22"/>
          <w:rFonts w:cs="Arial"/>
        </w:rPr>
      </w:pPr>
      <w:r>
        <w:rPr>
          <w:sz w:val="22"/>
        </w:rPr>
        <w:t xml:space="preserve">уебсайтове и приложения за мобилни устройства на вериги супермаркети и хранителни или смесени магазини, които имат помещения с полезна площ над 500 m² за обществено ползване.</w:t>
      </w:r>
    </w:p>
    <w:p w14:paraId="0F06586C" w14:textId="77777777" w:rsidR="00E526B5" w:rsidRPr="000F0A63" w:rsidRDefault="00E526B5" w:rsidP="00E526B5">
      <w:pPr>
        <w:tabs>
          <w:tab w:val="left" w:pos="284"/>
        </w:tabs>
        <w:jc w:val="both"/>
        <w:rPr>
          <w:rFonts w:cs="Arial"/>
          <w:bCs/>
          <w:iCs/>
          <w:sz w:val="22"/>
          <w:szCs w:val="22"/>
          <w:lang w:val="es-ES" w:eastAsia="x-none"/>
        </w:rPr>
      </w:pPr>
    </w:p>
    <w:p w14:paraId="017AE2BB"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9" w:name="_Ref505083279"/>
      <w:r>
        <w:rPr>
          <w:sz w:val="22"/>
        </w:rPr>
        <w:t xml:space="preserve">Финансови и застрахователни услуги</w:t>
      </w:r>
      <w:bookmarkEnd w:id="9"/>
    </w:p>
    <w:p w14:paraId="6258DBF3" w14:textId="77777777" w:rsidR="00E526B5" w:rsidRPr="000F0A63" w:rsidRDefault="00E526B5" w:rsidP="00E526B5">
      <w:pPr>
        <w:keepLines/>
        <w:tabs>
          <w:tab w:val="left" w:pos="284"/>
        </w:tabs>
        <w:jc w:val="both"/>
        <w:rPr>
          <w:sz w:val="22"/>
          <w:szCs w:val="22"/>
          <w:rFonts w:cs="Arial"/>
        </w:rPr>
      </w:pPr>
      <w:r>
        <w:rPr>
          <w:sz w:val="22"/>
        </w:rPr>
        <w:t xml:space="preserve">Следните крайни срокове са определени така, че уебсайтовете и приложенията за мобилни устройства, които позволяват извършването на банкови операции, сключване на договори, консултации с медицински съвети или всякакъв друг вид управление или консултация относно продуктите, договорени със субекта, да могат да са достъпни и да отговарят на условията, посочени в член 127:</w:t>
      </w:r>
    </w:p>
    <w:p w14:paraId="05FAE614"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1 година от влизането в сила на настоящия кодекс:</w:t>
      </w:r>
    </w:p>
    <w:p w14:paraId="05594252" w14:textId="77777777" w:rsidR="00E526B5" w:rsidRPr="000F0A63" w:rsidRDefault="00E526B5" w:rsidP="000F4434">
      <w:pPr>
        <w:numPr>
          <w:ilvl w:val="0"/>
          <w:numId w:val="40"/>
        </w:numPr>
        <w:tabs>
          <w:tab w:val="clear" w:pos="1440"/>
          <w:tab w:val="num" w:pos="567"/>
        </w:tabs>
        <w:ind w:left="0" w:firstLine="0"/>
        <w:jc w:val="both"/>
        <w:rPr>
          <w:sz w:val="22"/>
          <w:szCs w:val="22"/>
          <w:rFonts w:cs="Arial"/>
        </w:rPr>
      </w:pPr>
      <w:r>
        <w:rPr>
          <w:sz w:val="22"/>
        </w:rPr>
        <w:t xml:space="preserve">уебсайтове;</w:t>
      </w:r>
      <w:r>
        <w:rPr>
          <w:sz w:val="22"/>
        </w:rPr>
        <w:t xml:space="preserve"> </w:t>
      </w:r>
    </w:p>
    <w:p w14:paraId="4C51E7FB"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2 години от влизането в сила на настоящия кодекс:</w:t>
      </w:r>
    </w:p>
    <w:p w14:paraId="7D3D57C1" w14:textId="77777777" w:rsidR="00E526B5" w:rsidRPr="000F0A63" w:rsidRDefault="00E526B5" w:rsidP="000F4434">
      <w:pPr>
        <w:numPr>
          <w:ilvl w:val="0"/>
          <w:numId w:val="41"/>
        </w:numPr>
        <w:tabs>
          <w:tab w:val="left" w:pos="567"/>
        </w:tabs>
        <w:ind w:left="0" w:firstLine="0"/>
        <w:jc w:val="both"/>
        <w:rPr>
          <w:sz w:val="22"/>
          <w:szCs w:val="22"/>
          <w:rFonts w:cs="Arial"/>
        </w:rPr>
      </w:pPr>
      <w:r>
        <w:rPr>
          <w:sz w:val="22"/>
        </w:rPr>
        <w:t xml:space="preserve">приложения за мобилни устройства.</w:t>
      </w:r>
    </w:p>
    <w:p w14:paraId="355C8392" w14:textId="77777777" w:rsidR="00E526B5" w:rsidRPr="000F0A63" w:rsidRDefault="00E526B5" w:rsidP="00E526B5">
      <w:pPr>
        <w:tabs>
          <w:tab w:val="left" w:pos="284"/>
        </w:tabs>
        <w:jc w:val="both"/>
        <w:rPr>
          <w:rFonts w:cs="Arial"/>
          <w:sz w:val="22"/>
          <w:szCs w:val="22"/>
          <w:lang w:val="es-ES"/>
        </w:rPr>
      </w:pPr>
    </w:p>
    <w:p w14:paraId="393046A4"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0" w:name="_Ref505083294"/>
      <w:r>
        <w:rPr>
          <w:sz w:val="22"/>
        </w:rPr>
        <w:t xml:space="preserve">Услуги, свързани с частния транспорт</w:t>
      </w:r>
      <w:bookmarkEnd w:id="10"/>
    </w:p>
    <w:p w14:paraId="0C12C9D0" w14:textId="77777777" w:rsidR="00E526B5" w:rsidRPr="000F0A63" w:rsidRDefault="00E526B5" w:rsidP="00E526B5">
      <w:pPr>
        <w:tabs>
          <w:tab w:val="left" w:pos="284"/>
        </w:tabs>
        <w:jc w:val="both"/>
        <w:rPr>
          <w:bCs/>
          <w:sz w:val="22"/>
          <w:szCs w:val="22"/>
          <w:rFonts w:cs="Arial"/>
        </w:rPr>
      </w:pPr>
      <w:r>
        <w:rPr>
          <w:sz w:val="22"/>
        </w:rPr>
        <w:t xml:space="preserve">Следните крайни срокове са определени така, че дружествата, предлагащи услуга за отдаване под наем на превозни средства за самостоятелно шофиране, с автопарк от над 100 превозни средства, и тези, които предлагат услуга за отдаване под наем на превозни средства, управлявани от шофьор, с автопарк от над 50 превозни средства, да могат да отговарят на условията, посочени в член 128:</w:t>
      </w:r>
      <w:r>
        <w:rPr>
          <w:sz w:val="22"/>
        </w:rPr>
        <w:t xml:space="preserve"> </w:t>
      </w:r>
    </w:p>
    <w:p w14:paraId="47D4E7EF"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1 година от влизането в сила на настоящия кодекс:</w:t>
      </w:r>
      <w:r>
        <w:rPr>
          <w:sz w:val="22"/>
        </w:rPr>
        <w:t xml:space="preserve"> </w:t>
      </w:r>
    </w:p>
    <w:p w14:paraId="4DD29E94" w14:textId="37067D80" w:rsidR="00E526B5" w:rsidRPr="000F0A63" w:rsidRDefault="00E526B5" w:rsidP="00E526B5">
      <w:pPr>
        <w:widowControl w:val="0"/>
        <w:tabs>
          <w:tab w:val="left" w:pos="426"/>
        </w:tabs>
        <w:jc w:val="both"/>
        <w:rPr>
          <w:sz w:val="22"/>
          <w:szCs w:val="22"/>
          <w:rFonts w:cs="Arial"/>
        </w:rPr>
      </w:pPr>
      <w:r>
        <w:rPr>
          <w:sz w:val="22"/>
        </w:rPr>
        <w:t xml:space="preserve">a1.</w:t>
      </w:r>
      <w:r>
        <w:rPr>
          <w:sz w:val="22"/>
        </w:rPr>
        <w:tab/>
      </w:r>
      <w:r>
        <w:rPr>
          <w:sz w:val="22"/>
        </w:rPr>
        <w:t xml:space="preserve">те трябва да разполагат със и да предлагат превозни средства, подходящи за превозване на лица в инвалидни колички, които не са шофьори, като броят на превозните средства трябва да е равен или по-голям от 1 % от управлявания от тях автопарк,</w:t>
      </w:r>
      <w:r>
        <w:rPr>
          <w:sz w:val="22"/>
        </w:rPr>
        <w:t xml:space="preserve"> </w:t>
      </w:r>
    </w:p>
    <w:p w14:paraId="241A7D0B" w14:textId="07973EFE" w:rsidR="00E526B5" w:rsidRPr="000F0A63" w:rsidRDefault="00E526B5" w:rsidP="00B670F2">
      <w:pPr>
        <w:widowControl w:val="0"/>
        <w:tabs>
          <w:tab w:val="left" w:pos="426"/>
        </w:tabs>
        <w:jc w:val="both"/>
        <w:rPr>
          <w:sz w:val="22"/>
          <w:szCs w:val="22"/>
          <w:rFonts w:cs="Arial"/>
        </w:rPr>
      </w:pPr>
      <w:r>
        <w:rPr>
          <w:sz w:val="22"/>
        </w:rPr>
        <w:t xml:space="preserve">a2.</w:t>
      </w:r>
      <w:r>
        <w:rPr>
          <w:sz w:val="22"/>
        </w:rPr>
        <w:tab/>
      </w:r>
      <w:r>
        <w:rPr>
          <w:sz w:val="22"/>
        </w:rPr>
        <w:t xml:space="preserve">те трябва да разполагат със и да предлагат адаптирани превозни средства за водачи с намалена подвижност, като броят им трябва да е равен или по-голям от 0,5 % от управлявания от тях автопарк,</w:t>
      </w:r>
      <w:r>
        <w:rPr>
          <w:sz w:val="22"/>
        </w:rPr>
        <w:t xml:space="preserve"> </w:t>
      </w:r>
    </w:p>
    <w:p w14:paraId="273BCA57" w14:textId="19D21C18" w:rsidR="00E526B5" w:rsidRPr="000F0A63" w:rsidRDefault="00E526B5" w:rsidP="00B670F2">
      <w:pPr>
        <w:widowControl w:val="0"/>
        <w:tabs>
          <w:tab w:val="left" w:pos="426"/>
        </w:tabs>
        <w:jc w:val="both"/>
        <w:rPr>
          <w:sz w:val="22"/>
          <w:szCs w:val="22"/>
          <w:rFonts w:cs="Arial"/>
        </w:rPr>
      </w:pPr>
      <w:r>
        <w:rPr>
          <w:sz w:val="22"/>
        </w:rPr>
        <w:t xml:space="preserve">a3.</w:t>
      </w:r>
      <w:r>
        <w:rPr>
          <w:sz w:val="22"/>
        </w:rPr>
        <w:tab/>
      </w:r>
      <w:r>
        <w:rPr>
          <w:sz w:val="22"/>
        </w:rPr>
        <w:t xml:space="preserve">посочените в предходните точки наличности, могат да бъдат осигурени със собствени превозни средства или чрез споразумения с други оператори, които гарантират достатъчна наличност;</w:t>
      </w:r>
    </w:p>
    <w:p w14:paraId="3BCE400D"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3 години от влизането в сила на настоящия кодекс:</w:t>
      </w:r>
      <w:r>
        <w:rPr>
          <w:sz w:val="22"/>
        </w:rPr>
        <w:t xml:space="preserve"> </w:t>
      </w:r>
    </w:p>
    <w:p w14:paraId="727C0165" w14:textId="23D3973D" w:rsidR="00E526B5" w:rsidRPr="000F0A63" w:rsidRDefault="00E526B5" w:rsidP="00B670F2">
      <w:pPr>
        <w:widowControl w:val="0"/>
        <w:tabs>
          <w:tab w:val="left" w:pos="426"/>
        </w:tabs>
        <w:jc w:val="both"/>
        <w:rPr>
          <w:sz w:val="22"/>
          <w:szCs w:val="22"/>
          <w:rFonts w:cs="Arial"/>
        </w:rPr>
      </w:pPr>
      <w:r>
        <w:rPr>
          <w:sz w:val="22"/>
        </w:rPr>
        <w:t xml:space="preserve">b1.</w:t>
      </w:r>
      <w:r>
        <w:rPr>
          <w:sz w:val="22"/>
        </w:rPr>
        <w:tab/>
      </w:r>
      <w:r>
        <w:rPr>
          <w:sz w:val="22"/>
        </w:rPr>
        <w:t xml:space="preserve">най-малко 0,5 % от превозните средства в собствения им автопарк трябва да могат да превозват лица в инвалидни колички, които не са шофьори;</w:t>
      </w:r>
      <w:r>
        <w:rPr>
          <w:sz w:val="22"/>
        </w:rPr>
        <w:t xml:space="preserve"> </w:t>
      </w:r>
    </w:p>
    <w:p w14:paraId="1A4E7542" w14:textId="77777777" w:rsidR="00E526B5" w:rsidRPr="000F0A63" w:rsidRDefault="00E526B5" w:rsidP="000F4434">
      <w:pPr>
        <w:keepNext/>
        <w:numPr>
          <w:ilvl w:val="0"/>
          <w:numId w:val="31"/>
        </w:numPr>
        <w:tabs>
          <w:tab w:val="left" w:pos="284"/>
        </w:tabs>
        <w:ind w:left="0" w:firstLine="0"/>
        <w:jc w:val="both"/>
        <w:rPr>
          <w:sz w:val="22"/>
          <w:szCs w:val="22"/>
          <w:rFonts w:cs="Arial"/>
        </w:rPr>
      </w:pPr>
      <w:r>
        <w:rPr>
          <w:sz w:val="22"/>
        </w:rPr>
        <w:t xml:space="preserve">6 години от влизането в сила на настоящия кодекс:</w:t>
      </w:r>
      <w:r>
        <w:rPr>
          <w:sz w:val="22"/>
        </w:rPr>
        <w:t xml:space="preserve"> </w:t>
      </w:r>
    </w:p>
    <w:p w14:paraId="4EF5184D" w14:textId="39EC3E47" w:rsidR="00E526B5" w:rsidRPr="000F0A63" w:rsidRDefault="00E526B5" w:rsidP="00B670F2">
      <w:pPr>
        <w:widowControl w:val="0"/>
        <w:tabs>
          <w:tab w:val="left" w:pos="426"/>
        </w:tabs>
        <w:jc w:val="both"/>
        <w:rPr>
          <w:sz w:val="22"/>
          <w:szCs w:val="22"/>
          <w:rFonts w:cs="Arial"/>
        </w:rPr>
      </w:pPr>
      <w:r>
        <w:rPr>
          <w:sz w:val="22"/>
        </w:rPr>
        <w:t xml:space="preserve">c1.</w:t>
      </w:r>
      <w:r>
        <w:rPr>
          <w:sz w:val="22"/>
        </w:rPr>
        <w:tab/>
      </w:r>
      <w:r>
        <w:rPr>
          <w:sz w:val="22"/>
        </w:rPr>
        <w:t xml:space="preserve">най-малко 2 % от превозните средства в собствения им автопарк трябва да могат да превозват лица в инвалидни колички, които не са шофьори,</w:t>
      </w:r>
    </w:p>
    <w:p w14:paraId="2BB22C13" w14:textId="169DA298" w:rsidR="00E526B5" w:rsidRPr="000F0A63" w:rsidRDefault="00E526B5" w:rsidP="00B670F2">
      <w:pPr>
        <w:widowControl w:val="0"/>
        <w:tabs>
          <w:tab w:val="left" w:pos="426"/>
        </w:tabs>
        <w:jc w:val="both"/>
        <w:rPr>
          <w:sz w:val="22"/>
          <w:szCs w:val="22"/>
          <w:rFonts w:cs="Arial"/>
        </w:rPr>
      </w:pPr>
      <w:r>
        <w:rPr>
          <w:sz w:val="22"/>
        </w:rPr>
        <w:t xml:space="preserve">c2.</w:t>
      </w:r>
      <w:r>
        <w:rPr>
          <w:sz w:val="22"/>
        </w:rPr>
        <w:tab/>
      </w:r>
      <w:r>
        <w:rPr>
          <w:sz w:val="22"/>
        </w:rPr>
        <w:t xml:space="preserve">най-малко 0,5 % от превозните средства в собствения им автопарк трябва да бъдат адаптирани за водачи с намалена подвижност.</w:t>
      </w:r>
      <w:r>
        <w:rPr>
          <w:sz w:val="22"/>
        </w:rPr>
        <w:t xml:space="preserve"> </w:t>
      </w:r>
    </w:p>
    <w:p w14:paraId="6D51902B" w14:textId="77777777" w:rsidR="00E526B5" w:rsidRPr="000F0A63" w:rsidRDefault="00E526B5" w:rsidP="00E526B5">
      <w:pPr>
        <w:tabs>
          <w:tab w:val="left" w:pos="284"/>
        </w:tabs>
        <w:jc w:val="both"/>
        <w:rPr>
          <w:rFonts w:cs="Arial"/>
          <w:sz w:val="22"/>
          <w:szCs w:val="22"/>
          <w:lang w:val="es-ES"/>
        </w:rPr>
      </w:pPr>
    </w:p>
    <w:p w14:paraId="6D14B575"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1" w:name="_Ref505095784"/>
      <w:r>
        <w:rPr>
          <w:sz w:val="22"/>
        </w:rPr>
        <w:t xml:space="preserve">Услуги, свързани с туристическо настаняване</w:t>
      </w:r>
      <w:bookmarkEnd w:id="11"/>
      <w:r>
        <w:rPr>
          <w:sz w:val="22"/>
        </w:rPr>
        <w:t xml:space="preserve"> </w:t>
      </w:r>
    </w:p>
    <w:p w14:paraId="4E8242D0" w14:textId="77777777" w:rsidR="00E526B5" w:rsidRPr="000F0A63" w:rsidRDefault="00E526B5" w:rsidP="00E526B5">
      <w:pPr>
        <w:tabs>
          <w:tab w:val="left" w:pos="284"/>
        </w:tabs>
        <w:jc w:val="both"/>
        <w:rPr>
          <w:bCs/>
          <w:sz w:val="22"/>
          <w:szCs w:val="22"/>
          <w:rFonts w:cs="Arial"/>
        </w:rPr>
      </w:pPr>
      <w:r>
        <w:rPr>
          <w:sz w:val="22"/>
        </w:rPr>
        <w:t xml:space="preserve">Следните крайни срокове са определени така, че уебсайтовете и мобилните приложения на хотелски вериги и обекти с капацитет над 100 стаи, които позволяват резервации за настаняване и онлайн услуги, да могат да бъдат достъпни и да отговарят на условията, посочени в член 130:</w:t>
      </w:r>
    </w:p>
    <w:p w14:paraId="764A0265"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2 години от влизането в сила на настоящия кодекс:</w:t>
      </w:r>
    </w:p>
    <w:p w14:paraId="104ADEEC" w14:textId="77777777" w:rsidR="00E526B5" w:rsidRPr="000F0A63" w:rsidRDefault="00E526B5" w:rsidP="000F4434">
      <w:pPr>
        <w:numPr>
          <w:ilvl w:val="0"/>
          <w:numId w:val="43"/>
        </w:numPr>
        <w:tabs>
          <w:tab w:val="clear" w:pos="1440"/>
          <w:tab w:val="num" w:pos="567"/>
        </w:tabs>
        <w:ind w:left="0" w:firstLine="0"/>
        <w:jc w:val="both"/>
        <w:rPr>
          <w:bCs/>
          <w:iCs/>
          <w:sz w:val="22"/>
          <w:szCs w:val="22"/>
          <w:rFonts w:cs="Arial"/>
        </w:rPr>
      </w:pPr>
      <w:r>
        <w:rPr>
          <w:sz w:val="22"/>
        </w:rPr>
        <w:t xml:space="preserve">уебсайтове и мобилни приложения на хотелски вериги, които имат 5 или повече обекта и общо предлагане на повече от 500 стаи;</w:t>
      </w:r>
    </w:p>
    <w:p w14:paraId="2356AB86"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3 години от влизането в сила на настоящия кодекс:</w:t>
      </w:r>
    </w:p>
    <w:p w14:paraId="4EFEF877"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уебсайтове и мобилни приложения на хотелски вериги, които имат до 4 обекта и общо предлагане на повече от 500 стаи,</w:t>
      </w:r>
    </w:p>
    <w:p w14:paraId="268EBD55"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уебсайтове и мобилни приложения на обекти с 500 или повече стаи;</w:t>
      </w:r>
    </w:p>
    <w:p w14:paraId="4D022006" w14:textId="77777777" w:rsidR="00E526B5" w:rsidRPr="000F0A63" w:rsidRDefault="00E526B5" w:rsidP="000F4434">
      <w:pPr>
        <w:numPr>
          <w:ilvl w:val="0"/>
          <w:numId w:val="42"/>
        </w:numPr>
        <w:tabs>
          <w:tab w:val="left" w:pos="284"/>
        </w:tabs>
        <w:ind w:left="0" w:firstLine="0"/>
        <w:jc w:val="both"/>
        <w:rPr>
          <w:sz w:val="22"/>
          <w:szCs w:val="22"/>
          <w:rFonts w:cs="Arial"/>
        </w:rPr>
      </w:pPr>
      <w:r>
        <w:rPr>
          <w:sz w:val="22"/>
        </w:rPr>
        <w:t xml:space="preserve">4 години от влизането в сила на настоящия кодекс:</w:t>
      </w:r>
    </w:p>
    <w:p w14:paraId="65935E38" w14:textId="77777777" w:rsidR="00E526B5" w:rsidRPr="000F0A63" w:rsidRDefault="00E526B5" w:rsidP="000F4434">
      <w:pPr>
        <w:numPr>
          <w:ilvl w:val="0"/>
          <w:numId w:val="45"/>
        </w:numPr>
        <w:tabs>
          <w:tab w:val="left" w:pos="567"/>
        </w:tabs>
        <w:ind w:left="0" w:firstLine="0"/>
        <w:jc w:val="both"/>
        <w:rPr>
          <w:bCs/>
          <w:iCs/>
          <w:sz w:val="22"/>
          <w:szCs w:val="22"/>
          <w:rFonts w:cs="Arial"/>
        </w:rPr>
      </w:pPr>
      <w:r>
        <w:rPr>
          <w:sz w:val="22"/>
        </w:rPr>
        <w:t xml:space="preserve">уебсайтове и мобилни приложения на хотелски вериги, които имат общо предлагане между 100 и 500 стаи,</w:t>
      </w:r>
    </w:p>
    <w:p w14:paraId="61927497" w14:textId="77777777" w:rsidR="00E526B5" w:rsidRPr="000F0A63" w:rsidRDefault="00E526B5" w:rsidP="000F4434">
      <w:pPr>
        <w:numPr>
          <w:ilvl w:val="0"/>
          <w:numId w:val="45"/>
        </w:numPr>
        <w:tabs>
          <w:tab w:val="left" w:pos="284"/>
          <w:tab w:val="left" w:pos="567"/>
        </w:tabs>
        <w:ind w:left="0" w:firstLine="0"/>
        <w:jc w:val="both"/>
        <w:rPr>
          <w:bCs/>
          <w:iCs/>
          <w:sz w:val="22"/>
          <w:szCs w:val="22"/>
          <w:rFonts w:cs="Arial"/>
        </w:rPr>
      </w:pPr>
      <w:r>
        <w:rPr>
          <w:sz w:val="22"/>
        </w:rPr>
        <w:t xml:space="preserve">уебсайтове и приложения за мобилни устройства на обекти, които имат между 50 и 500 стаи.</w:t>
      </w:r>
    </w:p>
    <w:p w14:paraId="4A8FB46C" w14:textId="77777777" w:rsidR="00E526B5" w:rsidRPr="000F0A63" w:rsidRDefault="00E526B5" w:rsidP="00E526B5">
      <w:pPr>
        <w:tabs>
          <w:tab w:val="left" w:pos="284"/>
        </w:tabs>
        <w:jc w:val="both"/>
        <w:rPr>
          <w:rFonts w:cs="Arial"/>
          <w:bCs/>
          <w:iCs/>
          <w:sz w:val="22"/>
          <w:szCs w:val="22"/>
          <w:lang w:val="es-ES" w:eastAsia="x-none"/>
        </w:rPr>
      </w:pPr>
    </w:p>
    <w:p w14:paraId="06097ED6"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12" w:name="_Ref63848315"/>
      <w:r>
        <w:rPr>
          <w:sz w:val="22"/>
        </w:rPr>
        <w:t xml:space="preserve">Образователни услуги</w:t>
      </w:r>
      <w:bookmarkEnd w:id="12"/>
    </w:p>
    <w:p w14:paraId="355384ED" w14:textId="77777777" w:rsidR="00E526B5" w:rsidRPr="000F0A63" w:rsidRDefault="00E526B5" w:rsidP="00E526B5">
      <w:pPr>
        <w:tabs>
          <w:tab w:val="left" w:pos="284"/>
        </w:tabs>
        <w:jc w:val="both"/>
        <w:rPr>
          <w:bCs/>
          <w:sz w:val="22"/>
          <w:szCs w:val="22"/>
          <w:rFonts w:cs="Arial"/>
        </w:rPr>
      </w:pPr>
      <w:r>
        <w:rPr>
          <w:sz w:val="22"/>
        </w:rPr>
        <w:t xml:space="preserve">Следните крайни срокове са определени така, че уебсайтовете и мобилните приложения на учебните заведения, предоставящи официално образование, да могат да бъдат достъпни и да отговарят на условията, посочени в член 135:</w:t>
      </w:r>
    </w:p>
    <w:p w14:paraId="601F3FE1"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2 години от влизането в сила на настоящия кодекс:</w:t>
      </w:r>
    </w:p>
    <w:p w14:paraId="29E27507" w14:textId="77777777" w:rsidR="00E526B5" w:rsidRPr="000F0A63" w:rsidRDefault="00E526B5" w:rsidP="000F4434">
      <w:pPr>
        <w:numPr>
          <w:ilvl w:val="0"/>
          <w:numId w:val="47"/>
        </w:numPr>
        <w:tabs>
          <w:tab w:val="clear" w:pos="1440"/>
          <w:tab w:val="num" w:pos="567"/>
        </w:tabs>
        <w:ind w:left="0" w:firstLine="0"/>
        <w:jc w:val="both"/>
        <w:rPr>
          <w:bCs/>
          <w:iCs/>
          <w:sz w:val="22"/>
          <w:szCs w:val="22"/>
          <w:rFonts w:cs="Arial"/>
        </w:rPr>
      </w:pPr>
      <w:r>
        <w:rPr>
          <w:sz w:val="22"/>
        </w:rPr>
        <w:t xml:space="preserve">уебстраници и приложения за мобилни устройства, които позволяват търсене на академични записи, управление на фактури или други онлайн процеси;</w:t>
      </w:r>
    </w:p>
    <w:p w14:paraId="6FB062A9"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3 години от влизането в сила на настоящия кодекс:</w:t>
      </w:r>
    </w:p>
    <w:p w14:paraId="5CC5D46B" w14:textId="77777777" w:rsidR="00E526B5" w:rsidRPr="000F0A63" w:rsidRDefault="00E526B5" w:rsidP="000F4434">
      <w:pPr>
        <w:numPr>
          <w:ilvl w:val="0"/>
          <w:numId w:val="48"/>
        </w:numPr>
        <w:tabs>
          <w:tab w:val="clear" w:pos="1440"/>
          <w:tab w:val="num" w:pos="567"/>
        </w:tabs>
        <w:ind w:left="0" w:firstLine="0"/>
        <w:jc w:val="both"/>
        <w:rPr>
          <w:bCs/>
          <w:sz w:val="22"/>
          <w:szCs w:val="22"/>
          <w:rFonts w:cs="Arial"/>
        </w:rPr>
      </w:pPr>
      <w:r>
        <w:rPr>
          <w:sz w:val="22"/>
        </w:rPr>
        <w:t xml:space="preserve">уебсайтове и приложения за мобилни устройства, които предоставят информация за училището, материалната база и предлаганите образователни услуги.</w:t>
      </w:r>
    </w:p>
    <w:p w14:paraId="2C7303C9" w14:textId="77777777" w:rsidR="00E526B5" w:rsidRPr="000F0A63" w:rsidRDefault="00E526B5" w:rsidP="00E526B5">
      <w:pPr>
        <w:tabs>
          <w:tab w:val="left" w:pos="284"/>
        </w:tabs>
        <w:jc w:val="both"/>
        <w:rPr>
          <w:rFonts w:cs="Arial"/>
          <w:bCs/>
          <w:sz w:val="22"/>
          <w:szCs w:val="22"/>
          <w:lang w:val="es-ES"/>
        </w:rPr>
      </w:pPr>
    </w:p>
    <w:p w14:paraId="5364F39C"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r>
        <w:rPr>
          <w:sz w:val="22"/>
        </w:rPr>
        <w:t xml:space="preserve">Здравни услуги</w:t>
      </w:r>
    </w:p>
    <w:p w14:paraId="62E28D59" w14:textId="77777777" w:rsidR="00E526B5" w:rsidRPr="000F0A63" w:rsidRDefault="00E526B5" w:rsidP="00E526B5">
      <w:pPr>
        <w:tabs>
          <w:tab w:val="left" w:pos="284"/>
        </w:tabs>
        <w:jc w:val="both"/>
        <w:rPr>
          <w:bCs/>
          <w:sz w:val="22"/>
          <w:szCs w:val="22"/>
          <w:rFonts w:cs="Arial"/>
        </w:rPr>
      </w:pPr>
      <w:r>
        <w:rPr>
          <w:sz w:val="22"/>
        </w:rPr>
        <w:t xml:space="preserve">Здравните центрове с брой легла, по-голям или равен на 50, трябва да отговарят на следните срокове и условия:</w:t>
      </w:r>
      <w:r>
        <w:rPr>
          <w:sz w:val="22"/>
        </w:rPr>
        <w:t xml:space="preserve"> </w:t>
      </w:r>
    </w:p>
    <w:p w14:paraId="28557BD4" w14:textId="77777777" w:rsidR="00E526B5" w:rsidRPr="000F0A63" w:rsidRDefault="00E526B5" w:rsidP="000F4434">
      <w:pPr>
        <w:numPr>
          <w:ilvl w:val="0"/>
          <w:numId w:val="49"/>
        </w:numPr>
        <w:tabs>
          <w:tab w:val="left" w:pos="284"/>
        </w:tabs>
        <w:ind w:left="0" w:firstLine="0"/>
        <w:jc w:val="both"/>
        <w:rPr>
          <w:bCs/>
          <w:iCs/>
          <w:sz w:val="22"/>
          <w:szCs w:val="22"/>
          <w:rFonts w:cs="Arial"/>
        </w:rPr>
      </w:pPr>
      <w:r>
        <w:rPr>
          <w:sz w:val="22"/>
        </w:rPr>
        <w:t xml:space="preserve">3 години от влизането в сила на настоящия кодекс:</w:t>
      </w:r>
    </w:p>
    <w:p w14:paraId="727C4E74" w14:textId="77777777" w:rsidR="00E526B5" w:rsidRPr="000F0A63" w:rsidRDefault="00E526B5" w:rsidP="00E526B5">
      <w:pPr>
        <w:tabs>
          <w:tab w:val="left" w:pos="284"/>
        </w:tabs>
        <w:jc w:val="both"/>
        <w:rPr>
          <w:sz w:val="22"/>
          <w:szCs w:val="22"/>
          <w:rFonts w:cs="Arial"/>
        </w:rPr>
      </w:pPr>
      <w:r>
        <w:rPr>
          <w:sz w:val="22"/>
        </w:rPr>
        <w:t xml:space="preserve">да разполагат с инфраструктура, мобилни устройства и протоколи за обслужване на глухи чрез каталонски жестомимичен език посредством технология за дистанционен превод, с капацитет не по-малко от 2 % от леглата.</w:t>
      </w:r>
    </w:p>
    <w:p w14:paraId="3ECFE7A1" w14:textId="77777777" w:rsidR="00E526B5" w:rsidRPr="00CC0ADF" w:rsidRDefault="00E526B5">
      <w:pPr>
        <w:rPr>
          <w:lang w:val="es-ES"/>
        </w:rPr>
      </w:pPr>
    </w:p>
    <w:sectPr w:rsidR="00E526B5" w:rsidRPr="00CC0A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F3"/>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01E2605A"/>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 w15:restartNumberingAfterBreak="0">
    <w:nsid w:val="06A33B58"/>
    <w:multiLevelType w:val="multilevel"/>
    <w:tmpl w:val="E1D402DA"/>
    <w:lvl w:ilvl="0">
      <w:start w:val="130"/>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3B4DF6"/>
    <w:multiLevelType w:val="multilevel"/>
    <w:tmpl w:val="1D50C8A4"/>
    <w:lvl w:ilvl="0">
      <w:start w:val="126"/>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D921D0"/>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5" w15:restartNumberingAfterBreak="0">
    <w:nsid w:val="18EC5445"/>
    <w:multiLevelType w:val="multilevel"/>
    <w:tmpl w:val="23D628B2"/>
    <w:lvl w:ilvl="0">
      <w:start w:val="138"/>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AC23A12"/>
    <w:multiLevelType w:val="hybridMultilevel"/>
    <w:tmpl w:val="CC961E28"/>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7" w15:restartNumberingAfterBreak="0">
    <w:nsid w:val="215D326C"/>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60598B"/>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834F6A"/>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 w15:restartNumberingAfterBreak="0">
    <w:nsid w:val="27BA5079"/>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8946E26"/>
    <w:multiLevelType w:val="multilevel"/>
    <w:tmpl w:val="131C83AE"/>
    <w:lvl w:ilvl="0">
      <w:start w:val="13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C573874"/>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3" w15:restartNumberingAfterBreak="0">
    <w:nsid w:val="2CA0323F"/>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14" w15:restartNumberingAfterBreak="0">
    <w:nsid w:val="2CAE52EE"/>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2D2E0181"/>
    <w:multiLevelType w:val="hybridMultilevel"/>
    <w:tmpl w:val="4B2EB646"/>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A1DDB"/>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7" w15:restartNumberingAfterBreak="0">
    <w:nsid w:val="324416A9"/>
    <w:multiLevelType w:val="multilevel"/>
    <w:tmpl w:val="329032A2"/>
    <w:lvl w:ilvl="0">
      <w:start w:val="134"/>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3544EB2"/>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9" w15:restartNumberingAfterBreak="0">
    <w:nsid w:val="36B90793"/>
    <w:multiLevelType w:val="multilevel"/>
    <w:tmpl w:val="C7549A48"/>
    <w:lvl w:ilvl="0">
      <w:start w:val="1"/>
      <w:numFmt w:val="lowerLetter"/>
      <w:lvlText w:val="%1)"/>
      <w:lvlJc w:val="left"/>
      <w:pPr>
        <w:tabs>
          <w:tab w:val="num" w:pos="372"/>
        </w:tabs>
        <w:ind w:left="1080" w:hanging="360"/>
      </w:pPr>
      <w:rPr>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E92ABC"/>
    <w:multiLevelType w:val="multilevel"/>
    <w:tmpl w:val="D00CEA98"/>
    <w:lvl w:ilvl="0">
      <w:start w:val="1"/>
      <w:numFmt w:val="decimal"/>
      <w:lvlText w:val="%1."/>
      <w:lvlJc w:val="left"/>
      <w:pPr>
        <w:ind w:left="360" w:hanging="360"/>
      </w:pPr>
      <w:rPr>
        <w:rFonts w:hint="default"/>
        <w:b w:val="0"/>
        <w:sz w:val="22"/>
        <w:szCs w:val="22"/>
      </w:rPr>
    </w:lvl>
    <w:lvl w:ilvl="1">
      <w:start w:val="1"/>
      <w:numFmt w:val="decimal"/>
      <w:lvlText w:val="%1.%2."/>
      <w:lvlJc w:val="left"/>
      <w:pPr>
        <w:ind w:left="1218" w:hanging="792"/>
      </w:pPr>
      <w:rPr>
        <w:rFonts w:hint="default"/>
        <w:b/>
        <w:i w:val="0"/>
        <w:sz w:val="22"/>
      </w:rPr>
    </w:lvl>
    <w:lvl w:ilvl="2">
      <w:start w:val="1"/>
      <w:numFmt w:val="decimal"/>
      <w:lvlText w:val="%1.%2.%3."/>
      <w:lvlJc w:val="left"/>
      <w:pPr>
        <w:ind w:left="1224" w:hanging="1224"/>
      </w:pPr>
      <w:rPr>
        <w:rFonts w:hint="default"/>
        <w:b/>
        <w:strike w:val="0"/>
        <w:dstrike w:val="0"/>
        <w:sz w:val="22"/>
        <w:szCs w:val="22"/>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401BDB"/>
    <w:multiLevelType w:val="multilevel"/>
    <w:tmpl w:val="7CDC686E"/>
    <w:lvl w:ilvl="0">
      <w:start w:val="1"/>
      <w:numFmt w:val="lowerLetter"/>
      <w:lvlText w:val="%1)"/>
      <w:lvlJc w:val="left"/>
      <w:pPr>
        <w:tabs>
          <w:tab w:val="num" w:pos="-168"/>
        </w:tabs>
        <w:ind w:left="540" w:hanging="360"/>
      </w:pPr>
    </w:lvl>
    <w:lvl w:ilvl="1">
      <w:start w:val="1"/>
      <w:numFmt w:val="lowerLetter"/>
      <w:lvlText w:val="%2)"/>
      <w:lvlJc w:val="left"/>
      <w:pPr>
        <w:tabs>
          <w:tab w:val="num" w:pos="360"/>
        </w:tabs>
        <w:ind w:left="360" w:hanging="360"/>
      </w:pPr>
      <w:rPr>
        <w:rFonts w:ascii="Arial" w:hAnsi="Arial" w:cs="Arial" w:hint="default"/>
      </w:rPr>
    </w:lvl>
    <w:lvl w:ilvl="2">
      <w:start w:val="1"/>
      <w:numFmt w:val="lowerRoman"/>
      <w:lvlText w:val="%3)"/>
      <w:lvlJc w:val="left"/>
      <w:pPr>
        <w:tabs>
          <w:tab w:val="num" w:pos="540"/>
        </w:tabs>
        <w:ind w:left="54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260"/>
        </w:tabs>
        <w:ind w:left="1260" w:hanging="360"/>
      </w:pPr>
    </w:lvl>
    <w:lvl w:ilvl="5">
      <w:start w:val="1"/>
      <w:numFmt w:val="lowerRoman"/>
      <w:lvlText w:val="(%6)"/>
      <w:lvlJc w:val="left"/>
      <w:pPr>
        <w:tabs>
          <w:tab w:val="num" w:pos="1620"/>
        </w:tabs>
        <w:ind w:left="1620" w:hanging="360"/>
      </w:pPr>
    </w:lvl>
    <w:lvl w:ilvl="6">
      <w:start w:val="1"/>
      <w:numFmt w:val="decimal"/>
      <w:lvlText w:val="%7."/>
      <w:lvlJc w:val="left"/>
      <w:pPr>
        <w:tabs>
          <w:tab w:val="num" w:pos="1980"/>
        </w:tabs>
        <w:ind w:left="1980" w:hanging="360"/>
      </w:pPr>
      <w:rPr>
        <w:i w:val="0"/>
        <w:color w:val="auto"/>
      </w:rPr>
    </w:lvl>
    <w:lvl w:ilvl="7">
      <w:start w:val="1"/>
      <w:numFmt w:val="lowerLetter"/>
      <w:lvlText w:val="%8."/>
      <w:lvlJc w:val="left"/>
      <w:pPr>
        <w:tabs>
          <w:tab w:val="num" w:pos="2340"/>
        </w:tabs>
        <w:ind w:left="2340" w:hanging="360"/>
      </w:pPr>
    </w:lvl>
    <w:lvl w:ilvl="8">
      <w:start w:val="1"/>
      <w:numFmt w:val="lowerRoman"/>
      <w:lvlText w:val="%9."/>
      <w:lvlJc w:val="left"/>
      <w:pPr>
        <w:tabs>
          <w:tab w:val="num" w:pos="2700"/>
        </w:tabs>
        <w:ind w:left="2700" w:hanging="360"/>
      </w:pPr>
    </w:lvl>
  </w:abstractNum>
  <w:abstractNum w:abstractNumId="22" w15:restartNumberingAfterBreak="0">
    <w:nsid w:val="3AC73415"/>
    <w:multiLevelType w:val="multilevel"/>
    <w:tmpl w:val="9EA805DC"/>
    <w:lvl w:ilvl="0">
      <w:start w:val="1"/>
      <w:numFmt w:val="upperLetter"/>
      <w:pStyle w:val="Heading1"/>
      <w:lvlText w:val="%1"/>
      <w:lvlJc w:val="left"/>
      <w:pPr>
        <w:tabs>
          <w:tab w:val="num" w:pos="3411"/>
        </w:tabs>
        <w:ind w:left="3411" w:hanging="432"/>
      </w:pPr>
      <w:rPr>
        <w:rFonts w:hint="default"/>
      </w:rPr>
    </w:lvl>
    <w:lvl w:ilvl="1">
      <w:start w:val="1"/>
      <w:numFmt w:val="decimal"/>
      <w:pStyle w:val="Heading2"/>
      <w:lvlText w:val="%1.%2"/>
      <w:lvlJc w:val="left"/>
      <w:pPr>
        <w:tabs>
          <w:tab w:val="num" w:pos="3555"/>
        </w:tabs>
        <w:ind w:left="3555" w:hanging="576"/>
      </w:pPr>
      <w:rPr>
        <w:rFonts w:hint="default"/>
      </w:rPr>
    </w:lvl>
    <w:lvl w:ilvl="2">
      <w:start w:val="1"/>
      <w:numFmt w:val="decimal"/>
      <w:pStyle w:val="Heading3"/>
      <w:lvlText w:val="Artículo %3."/>
      <w:lvlJc w:val="left"/>
      <w:pPr>
        <w:tabs>
          <w:tab w:val="num" w:pos="4692"/>
        </w:tabs>
        <w:ind w:left="4692" w:hanging="720"/>
      </w:pPr>
      <w:rPr>
        <w:rFonts w:hint="default"/>
        <w:b w:val="0"/>
        <w:strike w:val="0"/>
        <w:color w:val="auto"/>
        <w:sz w:val="22"/>
        <w:szCs w:val="22"/>
      </w:rPr>
    </w:lvl>
    <w:lvl w:ilvl="3">
      <w:start w:val="1"/>
      <w:numFmt w:val="decimal"/>
      <w:pStyle w:val="Heading4"/>
      <w:lvlText w:val="%3.%4"/>
      <w:lvlJc w:val="left"/>
      <w:pPr>
        <w:tabs>
          <w:tab w:val="num" w:pos="4269"/>
        </w:tabs>
        <w:ind w:left="4269" w:hanging="864"/>
      </w:pPr>
      <w:rPr>
        <w:rFonts w:ascii="Arial" w:hAnsi="Arial" w:cs="Arial" w:hint="default"/>
        <w:b w:val="0"/>
        <w:i w:val="0"/>
        <w:strike w:val="0"/>
        <w:color w:val="auto"/>
        <w:sz w:val="22"/>
        <w:szCs w:val="22"/>
      </w:rPr>
    </w:lvl>
    <w:lvl w:ilvl="4">
      <w:start w:val="1"/>
      <w:numFmt w:val="decimal"/>
      <w:pStyle w:val="Heading5"/>
      <w:lvlText w:val="%1.%2.%3.%4.%5"/>
      <w:lvlJc w:val="left"/>
      <w:pPr>
        <w:tabs>
          <w:tab w:val="num" w:pos="3987"/>
        </w:tabs>
        <w:ind w:left="3987" w:hanging="1008"/>
      </w:pPr>
      <w:rPr>
        <w:rFonts w:hint="default"/>
      </w:rPr>
    </w:lvl>
    <w:lvl w:ilvl="5">
      <w:start w:val="1"/>
      <w:numFmt w:val="decimal"/>
      <w:pStyle w:val="Heading6"/>
      <w:lvlText w:val="%1.%2.%3.%4.%5.%6"/>
      <w:lvlJc w:val="left"/>
      <w:pPr>
        <w:tabs>
          <w:tab w:val="num" w:pos="4131"/>
        </w:tabs>
        <w:ind w:left="4131" w:hanging="1152"/>
      </w:pPr>
      <w:rPr>
        <w:rFonts w:hint="default"/>
      </w:rPr>
    </w:lvl>
    <w:lvl w:ilvl="6">
      <w:start w:val="1"/>
      <w:numFmt w:val="decimal"/>
      <w:pStyle w:val="Heading7"/>
      <w:lvlText w:val="%1.%2.%3.%4.%5.%6.%7"/>
      <w:lvlJc w:val="left"/>
      <w:pPr>
        <w:tabs>
          <w:tab w:val="num" w:pos="4275"/>
        </w:tabs>
        <w:ind w:left="4275" w:hanging="1296"/>
      </w:pPr>
      <w:rPr>
        <w:rFonts w:hint="default"/>
      </w:rPr>
    </w:lvl>
    <w:lvl w:ilvl="7">
      <w:start w:val="1"/>
      <w:numFmt w:val="decimal"/>
      <w:pStyle w:val="Heading8"/>
      <w:lvlText w:val="%1.%2.%3.%4.%5.%6.%7.%8"/>
      <w:lvlJc w:val="left"/>
      <w:pPr>
        <w:tabs>
          <w:tab w:val="num" w:pos="4419"/>
        </w:tabs>
        <w:ind w:left="4419" w:hanging="1440"/>
      </w:pPr>
      <w:rPr>
        <w:rFonts w:hint="default"/>
      </w:rPr>
    </w:lvl>
    <w:lvl w:ilvl="8">
      <w:start w:val="1"/>
      <w:numFmt w:val="decimal"/>
      <w:pStyle w:val="Heading9"/>
      <w:suff w:val="space"/>
      <w:lvlText w:val="Artículo%9."/>
      <w:lvlJc w:val="left"/>
      <w:pPr>
        <w:ind w:left="2979" w:firstLine="0"/>
      </w:pPr>
      <w:rPr>
        <w:rFonts w:hint="default"/>
        <w:sz w:val="22"/>
        <w:szCs w:val="22"/>
      </w:rPr>
    </w:lvl>
  </w:abstractNum>
  <w:abstractNum w:abstractNumId="23" w15:restartNumberingAfterBreak="0">
    <w:nsid w:val="40CD4004"/>
    <w:multiLevelType w:val="hybridMultilevel"/>
    <w:tmpl w:val="E4D09A10"/>
    <w:lvl w:ilvl="0" w:tplc="555049A8">
      <w:start w:val="1"/>
      <w:numFmt w:val="decimal"/>
      <w:lvlText w:val="c%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24" w15:restartNumberingAfterBreak="0">
    <w:nsid w:val="422C517C"/>
    <w:multiLevelType w:val="multilevel"/>
    <w:tmpl w:val="9D60F7D8"/>
    <w:lvl w:ilvl="0">
      <w:start w:val="197"/>
      <w:numFmt w:val="decimal"/>
      <w:lvlText w:val="%1"/>
      <w:lvlJc w:val="left"/>
      <w:pPr>
        <w:ind w:left="540" w:hanging="540"/>
      </w:pPr>
      <w:rPr>
        <w:rFonts w:hint="default"/>
      </w:rPr>
    </w:lvl>
    <w:lvl w:ilvl="1">
      <w:start w:val="3"/>
      <w:numFmt w:val="decimal"/>
      <w:lvlText w:val="%1.%2"/>
      <w:lvlJc w:val="left"/>
      <w:pPr>
        <w:ind w:left="3945" w:hanging="540"/>
      </w:pPr>
      <w:rPr>
        <w:rFonts w:hint="default"/>
      </w:rPr>
    </w:lvl>
    <w:lvl w:ilvl="2">
      <w:start w:val="1"/>
      <w:numFmt w:val="decimal"/>
      <w:lvlText w:val="%1.%2.%3"/>
      <w:lvlJc w:val="left"/>
      <w:pPr>
        <w:ind w:left="7530" w:hanging="720"/>
      </w:pPr>
      <w:rPr>
        <w:rFonts w:hint="default"/>
      </w:rPr>
    </w:lvl>
    <w:lvl w:ilvl="3">
      <w:start w:val="1"/>
      <w:numFmt w:val="decimal"/>
      <w:lvlText w:val="%1.%2.%3.%4"/>
      <w:lvlJc w:val="left"/>
      <w:pPr>
        <w:ind w:left="10935" w:hanging="720"/>
      </w:pPr>
      <w:rPr>
        <w:rFonts w:hint="default"/>
      </w:rPr>
    </w:lvl>
    <w:lvl w:ilvl="4">
      <w:start w:val="1"/>
      <w:numFmt w:val="decimal"/>
      <w:lvlText w:val="%1.%2.%3.%4.%5"/>
      <w:lvlJc w:val="left"/>
      <w:pPr>
        <w:ind w:left="14700" w:hanging="1080"/>
      </w:pPr>
      <w:rPr>
        <w:rFonts w:hint="default"/>
      </w:rPr>
    </w:lvl>
    <w:lvl w:ilvl="5">
      <w:start w:val="1"/>
      <w:numFmt w:val="decimal"/>
      <w:lvlText w:val="%1.%2.%3.%4.%5.%6"/>
      <w:lvlJc w:val="left"/>
      <w:pPr>
        <w:ind w:left="18105" w:hanging="1080"/>
      </w:pPr>
      <w:rPr>
        <w:rFonts w:hint="default"/>
      </w:rPr>
    </w:lvl>
    <w:lvl w:ilvl="6">
      <w:start w:val="1"/>
      <w:numFmt w:val="decimal"/>
      <w:lvlText w:val="%1.%2.%3.%4.%5.%6.%7"/>
      <w:lvlJc w:val="left"/>
      <w:pPr>
        <w:ind w:left="21870" w:hanging="1440"/>
      </w:pPr>
      <w:rPr>
        <w:rFonts w:hint="default"/>
      </w:rPr>
    </w:lvl>
    <w:lvl w:ilvl="7">
      <w:start w:val="1"/>
      <w:numFmt w:val="decimal"/>
      <w:lvlText w:val="%1.%2.%3.%4.%5.%6.%7.%8"/>
      <w:lvlJc w:val="left"/>
      <w:pPr>
        <w:ind w:left="25275" w:hanging="1440"/>
      </w:pPr>
      <w:rPr>
        <w:rFonts w:hint="default"/>
      </w:rPr>
    </w:lvl>
    <w:lvl w:ilvl="8">
      <w:start w:val="1"/>
      <w:numFmt w:val="decimal"/>
      <w:lvlText w:val="%1.%2.%3.%4.%5.%6.%7.%8.%9"/>
      <w:lvlJc w:val="left"/>
      <w:pPr>
        <w:ind w:left="29040" w:hanging="1800"/>
      </w:pPr>
      <w:rPr>
        <w:rFonts w:hint="default"/>
      </w:rPr>
    </w:lvl>
  </w:abstractNum>
  <w:abstractNum w:abstractNumId="25" w15:restartNumberingAfterBreak="0">
    <w:nsid w:val="43030EC9"/>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26" w15:restartNumberingAfterBreak="0">
    <w:nsid w:val="452010D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7" w15:restartNumberingAfterBreak="0">
    <w:nsid w:val="45E0782C"/>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8" w15:restartNumberingAfterBreak="0">
    <w:nsid w:val="529F5C81"/>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9" w15:restartNumberingAfterBreak="0">
    <w:nsid w:val="55143B0E"/>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0" w15:restartNumberingAfterBreak="0">
    <w:nsid w:val="5D14104A"/>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31" w15:restartNumberingAfterBreak="0">
    <w:nsid w:val="5D4858AE"/>
    <w:multiLevelType w:val="multilevel"/>
    <w:tmpl w:val="A106E34C"/>
    <w:lvl w:ilvl="0">
      <w:start w:val="127"/>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ECE4537"/>
    <w:multiLevelType w:val="multilevel"/>
    <w:tmpl w:val="02560046"/>
    <w:lvl w:ilvl="0">
      <w:start w:val="119"/>
      <w:numFmt w:val="decimal"/>
      <w:lvlText w:val="%1"/>
      <w:lvlJc w:val="left"/>
      <w:pPr>
        <w:ind w:left="540" w:hanging="540"/>
      </w:pPr>
      <w:rPr>
        <w:rFonts w:hint="default"/>
      </w:rPr>
    </w:lvl>
    <w:lvl w:ilvl="1">
      <w:start w:val="7"/>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13915AA"/>
    <w:multiLevelType w:val="multilevel"/>
    <w:tmpl w:val="B344D3D6"/>
    <w:lvl w:ilvl="0">
      <w:start w:val="97"/>
      <w:numFmt w:val="decimal"/>
      <w:lvlText w:val="%1."/>
      <w:lvlJc w:val="left"/>
      <w:pPr>
        <w:ind w:left="480" w:hanging="48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61B11D9B"/>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5" w15:restartNumberingAfterBreak="0">
    <w:nsid w:val="66161688"/>
    <w:multiLevelType w:val="hybridMultilevel"/>
    <w:tmpl w:val="2718522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6842AE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7" w15:restartNumberingAfterBreak="0">
    <w:nsid w:val="67AC0D54"/>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38" w15:restartNumberingAfterBreak="0">
    <w:nsid w:val="6B101FD6"/>
    <w:multiLevelType w:val="multilevel"/>
    <w:tmpl w:val="363C2194"/>
    <w:lvl w:ilvl="0">
      <w:start w:val="1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A56EF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0" w15:restartNumberingAfterBreak="0">
    <w:nsid w:val="6ED4087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1" w15:restartNumberingAfterBreak="0">
    <w:nsid w:val="70663A9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2" w15:restartNumberingAfterBreak="0">
    <w:nsid w:val="72B145D2"/>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3" w15:restartNumberingAfterBreak="0">
    <w:nsid w:val="7333407D"/>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33E725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45" w15:restartNumberingAfterBreak="0">
    <w:nsid w:val="73AE2375"/>
    <w:multiLevelType w:val="hybridMultilevel"/>
    <w:tmpl w:val="168C4606"/>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54F3A8D"/>
    <w:multiLevelType w:val="multilevel"/>
    <w:tmpl w:val="C6369464"/>
    <w:lvl w:ilvl="0">
      <w:start w:val="133"/>
      <w:numFmt w:val="decimal"/>
      <w:lvlText w:val="%1"/>
      <w:lvlJc w:val="left"/>
      <w:pPr>
        <w:ind w:left="660" w:hanging="660"/>
      </w:pPr>
      <w:rPr>
        <w:rFonts w:hint="default"/>
      </w:rPr>
    </w:lvl>
    <w:lvl w:ilvl="1">
      <w:start w:val="15"/>
      <w:numFmt w:val="decimal"/>
      <w:lvlText w:val="%1.%2"/>
      <w:lvlJc w:val="left"/>
      <w:pPr>
        <w:ind w:left="1086" w:hanging="6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C923B88"/>
    <w:multiLevelType w:val="multilevel"/>
    <w:tmpl w:val="269A4CD6"/>
    <w:lvl w:ilvl="0">
      <w:start w:val="97"/>
      <w:numFmt w:val="decimal"/>
      <w:lvlText w:val="%1"/>
      <w:lvlJc w:val="left"/>
      <w:pPr>
        <w:ind w:left="540" w:hanging="540"/>
      </w:pPr>
      <w:rPr>
        <w:rFonts w:hint="default"/>
      </w:rPr>
    </w:lvl>
    <w:lvl w:ilvl="1">
      <w:start w:val="12"/>
      <w:numFmt w:val="decimal"/>
      <w:lvlText w:val="%1.%2"/>
      <w:lvlJc w:val="left"/>
      <w:pPr>
        <w:ind w:left="1818" w:hanging="54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8" w15:restartNumberingAfterBreak="0">
    <w:nsid w:val="7D405151"/>
    <w:multiLevelType w:val="hybridMultilevel"/>
    <w:tmpl w:val="6CD0DB8E"/>
    <w:lvl w:ilvl="0" w:tplc="818C5BC8">
      <w:start w:val="1"/>
      <w:numFmt w:val="decimal"/>
      <w:lvlText w:val="b%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7D7412B6"/>
    <w:multiLevelType w:val="hybridMultilevel"/>
    <w:tmpl w:val="10BC3C6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518202753">
    <w:abstractNumId w:val="22"/>
    <w:lvlOverride w:ilvl="0">
      <w:lvl w:ilvl="0">
        <w:start w:val="1"/>
        <w:numFmt w:val="upperLetter"/>
        <w:pStyle w:val="Heading1"/>
        <w:lvlText w:val="%1"/>
        <w:lvlJc w:val="left"/>
        <w:pPr>
          <w:tabs>
            <w:tab w:val="num" w:pos="3411"/>
          </w:tabs>
          <w:ind w:left="3411" w:hanging="432"/>
        </w:pPr>
        <w:rPr>
          <w:rFonts w:hint="default"/>
        </w:rPr>
      </w:lvl>
    </w:lvlOverride>
    <w:lvlOverride w:ilvl="1">
      <w:lvl w:ilvl="1">
        <w:start w:val="1"/>
        <w:numFmt w:val="decimal"/>
        <w:pStyle w:val="Heading2"/>
        <w:lvlText w:val="%1.%2"/>
        <w:lvlJc w:val="left"/>
        <w:pPr>
          <w:tabs>
            <w:tab w:val="num" w:pos="3555"/>
          </w:tabs>
          <w:ind w:left="3555" w:hanging="576"/>
        </w:pPr>
        <w:rPr>
          <w:rFonts w:hint="default"/>
        </w:rPr>
      </w:lvl>
    </w:lvlOverride>
    <w:lvlOverride w:ilvl="2">
      <w:lvl w:ilvl="2">
        <w:start w:val="1"/>
        <w:numFmt w:val="decimal"/>
        <w:pStyle w:val="Heading3"/>
        <w:lvlText w:val="Artículo %3."/>
        <w:lvlJc w:val="left"/>
        <w:pPr>
          <w:tabs>
            <w:tab w:val="num" w:pos="862"/>
          </w:tabs>
          <w:ind w:left="862" w:hanging="720"/>
        </w:pPr>
        <w:rPr>
          <w:rFonts w:ascii="Arial" w:hAnsi="Arial" w:hint="default"/>
          <w:b w:val="0"/>
          <w:i w:val="0"/>
          <w:strike w:val="0"/>
          <w:color w:val="auto"/>
          <w:sz w:val="22"/>
          <w:szCs w:val="22"/>
        </w:rPr>
      </w:lvl>
    </w:lvlOverride>
    <w:lvlOverride w:ilvl="3">
      <w:lvl w:ilvl="3">
        <w:start w:val="1"/>
        <w:numFmt w:val="decimal"/>
        <w:pStyle w:val="Heading4"/>
        <w:lvlText w:val="%3.%4"/>
        <w:lvlJc w:val="left"/>
        <w:pPr>
          <w:tabs>
            <w:tab w:val="num" w:pos="1290"/>
          </w:tabs>
          <w:ind w:left="1290" w:hanging="864"/>
        </w:pPr>
        <w:rPr>
          <w:rFonts w:ascii="Arial" w:hAnsi="Arial" w:cs="Arial" w:hint="default"/>
          <w:b w:val="0"/>
          <w:i w:val="0"/>
          <w:strike w:val="0"/>
          <w:color w:val="auto"/>
          <w:sz w:val="22"/>
          <w:szCs w:val="22"/>
        </w:rPr>
      </w:lvl>
    </w:lvlOverride>
    <w:lvlOverride w:ilvl="4">
      <w:lvl w:ilvl="4">
        <w:start w:val="1"/>
        <w:numFmt w:val="decimal"/>
        <w:pStyle w:val="Heading5"/>
        <w:lvlText w:val="%1.%2.%3.%4.%5"/>
        <w:lvlJc w:val="left"/>
        <w:pPr>
          <w:tabs>
            <w:tab w:val="num" w:pos="3987"/>
          </w:tabs>
          <w:ind w:left="3987" w:hanging="1008"/>
        </w:pPr>
        <w:rPr>
          <w:rFonts w:hint="default"/>
        </w:rPr>
      </w:lvl>
    </w:lvlOverride>
    <w:lvlOverride w:ilvl="5">
      <w:lvl w:ilvl="5">
        <w:start w:val="1"/>
        <w:numFmt w:val="decimal"/>
        <w:pStyle w:val="Heading6"/>
        <w:lvlText w:val="%1.%2.%3.%4.%5.%6"/>
        <w:lvlJc w:val="left"/>
        <w:pPr>
          <w:tabs>
            <w:tab w:val="num" w:pos="4131"/>
          </w:tabs>
          <w:ind w:left="4131" w:hanging="1152"/>
        </w:pPr>
        <w:rPr>
          <w:rFonts w:hint="default"/>
        </w:rPr>
      </w:lvl>
    </w:lvlOverride>
    <w:lvlOverride w:ilvl="6">
      <w:lvl w:ilvl="6">
        <w:start w:val="1"/>
        <w:numFmt w:val="decimal"/>
        <w:pStyle w:val="Heading7"/>
        <w:lvlText w:val="%1.%2.%3.%4.%5.%6.%7"/>
        <w:lvlJc w:val="left"/>
        <w:pPr>
          <w:tabs>
            <w:tab w:val="num" w:pos="4275"/>
          </w:tabs>
          <w:ind w:left="4275" w:hanging="1296"/>
        </w:pPr>
        <w:rPr>
          <w:rFonts w:hint="default"/>
        </w:rPr>
      </w:lvl>
    </w:lvlOverride>
    <w:lvlOverride w:ilvl="7">
      <w:lvl w:ilvl="7">
        <w:start w:val="1"/>
        <w:numFmt w:val="decimal"/>
        <w:pStyle w:val="Heading8"/>
        <w:lvlText w:val="%1.%2.%3.%4.%5.%6.%7.%8"/>
        <w:lvlJc w:val="left"/>
        <w:pPr>
          <w:tabs>
            <w:tab w:val="num" w:pos="4419"/>
          </w:tabs>
          <w:ind w:left="4419" w:hanging="1440"/>
        </w:pPr>
        <w:rPr>
          <w:rFonts w:hint="default"/>
        </w:rPr>
      </w:lvl>
    </w:lvlOverride>
    <w:lvlOverride w:ilvl="8">
      <w:lvl w:ilvl="8">
        <w:start w:val="1"/>
        <w:numFmt w:val="decimal"/>
        <w:pStyle w:val="Heading9"/>
        <w:suff w:val="space"/>
        <w:lvlText w:val="Artículo%9."/>
        <w:lvlJc w:val="left"/>
        <w:pPr>
          <w:ind w:left="2979" w:firstLine="0"/>
        </w:pPr>
        <w:rPr>
          <w:rFonts w:hint="default"/>
          <w:sz w:val="22"/>
          <w:szCs w:val="22"/>
        </w:rPr>
      </w:lvl>
    </w:lvlOverride>
  </w:num>
  <w:num w:numId="2" w16cid:durableId="718093796">
    <w:abstractNumId w:val="33"/>
  </w:num>
  <w:num w:numId="3" w16cid:durableId="583103481">
    <w:abstractNumId w:val="47"/>
  </w:num>
  <w:num w:numId="4" w16cid:durableId="270474763">
    <w:abstractNumId w:val="19"/>
  </w:num>
  <w:num w:numId="5" w16cid:durableId="919604255">
    <w:abstractNumId w:val="8"/>
  </w:num>
  <w:num w:numId="6" w16cid:durableId="695890123">
    <w:abstractNumId w:val="49"/>
  </w:num>
  <w:num w:numId="7" w16cid:durableId="1926382303">
    <w:abstractNumId w:val="7"/>
  </w:num>
  <w:num w:numId="8" w16cid:durableId="1009717288">
    <w:abstractNumId w:val="38"/>
  </w:num>
  <w:num w:numId="9" w16cid:durableId="1687365737">
    <w:abstractNumId w:val="32"/>
  </w:num>
  <w:num w:numId="10" w16cid:durableId="1113400361">
    <w:abstractNumId w:val="9"/>
  </w:num>
  <w:num w:numId="11" w16cid:durableId="1843080803">
    <w:abstractNumId w:val="3"/>
  </w:num>
  <w:num w:numId="12" w16cid:durableId="1537085568">
    <w:abstractNumId w:val="36"/>
  </w:num>
  <w:num w:numId="13" w16cid:durableId="917178159">
    <w:abstractNumId w:val="31"/>
  </w:num>
  <w:num w:numId="14" w16cid:durableId="1620529355">
    <w:abstractNumId w:val="34"/>
  </w:num>
  <w:num w:numId="15" w16cid:durableId="1476072087">
    <w:abstractNumId w:val="2"/>
  </w:num>
  <w:num w:numId="16" w16cid:durableId="1743017668">
    <w:abstractNumId w:val="42"/>
  </w:num>
  <w:num w:numId="17" w16cid:durableId="811026061">
    <w:abstractNumId w:val="46"/>
  </w:num>
  <w:num w:numId="18" w16cid:durableId="1956474413">
    <w:abstractNumId w:val="17"/>
  </w:num>
  <w:num w:numId="19" w16cid:durableId="256183655">
    <w:abstractNumId w:val="39"/>
  </w:num>
  <w:num w:numId="20" w16cid:durableId="390421390">
    <w:abstractNumId w:val="11"/>
  </w:num>
  <w:num w:numId="21" w16cid:durableId="373964347">
    <w:abstractNumId w:val="27"/>
  </w:num>
  <w:num w:numId="22" w16cid:durableId="521018600">
    <w:abstractNumId w:val="1"/>
  </w:num>
  <w:num w:numId="23" w16cid:durableId="1547259518">
    <w:abstractNumId w:val="5"/>
  </w:num>
  <w:num w:numId="24" w16cid:durableId="1823034120">
    <w:abstractNumId w:val="24"/>
  </w:num>
  <w:num w:numId="25" w16cid:durableId="187523253">
    <w:abstractNumId w:val="35"/>
  </w:num>
  <w:num w:numId="26" w16cid:durableId="1018315895">
    <w:abstractNumId w:val="21"/>
  </w:num>
  <w:num w:numId="27" w16cid:durableId="86314018">
    <w:abstractNumId w:val="15"/>
  </w:num>
  <w:num w:numId="28" w16cid:durableId="841817771">
    <w:abstractNumId w:val="20"/>
  </w:num>
  <w:num w:numId="29" w16cid:durableId="845435210">
    <w:abstractNumId w:val="44"/>
  </w:num>
  <w:num w:numId="30" w16cid:durableId="1216969531">
    <w:abstractNumId w:val="28"/>
  </w:num>
  <w:num w:numId="31" w16cid:durableId="1661931748">
    <w:abstractNumId w:val="6"/>
  </w:num>
  <w:num w:numId="32" w16cid:durableId="593899597">
    <w:abstractNumId w:val="0"/>
  </w:num>
  <w:num w:numId="33" w16cid:durableId="748118081">
    <w:abstractNumId w:val="16"/>
  </w:num>
  <w:num w:numId="34" w16cid:durableId="1750420613">
    <w:abstractNumId w:val="29"/>
  </w:num>
  <w:num w:numId="35" w16cid:durableId="1534805617">
    <w:abstractNumId w:val="13"/>
  </w:num>
  <w:num w:numId="36" w16cid:durableId="651521266">
    <w:abstractNumId w:val="40"/>
  </w:num>
  <w:num w:numId="37" w16cid:durableId="1129936482">
    <w:abstractNumId w:val="18"/>
  </w:num>
  <w:num w:numId="38" w16cid:durableId="1697923045">
    <w:abstractNumId w:val="30"/>
  </w:num>
  <w:num w:numId="39" w16cid:durableId="2129003545">
    <w:abstractNumId w:val="26"/>
  </w:num>
  <w:num w:numId="40" w16cid:durableId="1399785119">
    <w:abstractNumId w:val="45"/>
  </w:num>
  <w:num w:numId="41" w16cid:durableId="577634730">
    <w:abstractNumId w:val="37"/>
  </w:num>
  <w:num w:numId="42" w16cid:durableId="329721675">
    <w:abstractNumId w:val="14"/>
  </w:num>
  <w:num w:numId="43" w16cid:durableId="675576830">
    <w:abstractNumId w:val="43"/>
  </w:num>
  <w:num w:numId="44" w16cid:durableId="80835361">
    <w:abstractNumId w:val="41"/>
  </w:num>
  <w:num w:numId="45" w16cid:durableId="95253236">
    <w:abstractNumId w:val="25"/>
  </w:num>
  <w:num w:numId="46" w16cid:durableId="1550342143">
    <w:abstractNumId w:val="4"/>
  </w:num>
  <w:num w:numId="47" w16cid:durableId="566258002">
    <w:abstractNumId w:val="10"/>
  </w:num>
  <w:num w:numId="48" w16cid:durableId="1322854315">
    <w:abstractNumId w:val="48"/>
  </w:num>
  <w:num w:numId="49" w16cid:durableId="1916628148">
    <w:abstractNumId w:val="12"/>
  </w:num>
  <w:num w:numId="50" w16cid:durableId="2058579628">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DF"/>
    <w:rsid w:val="000B6FCF"/>
    <w:rsid w:val="000F4434"/>
    <w:rsid w:val="003920DF"/>
    <w:rsid w:val="005917F0"/>
    <w:rsid w:val="00B670F2"/>
    <w:rsid w:val="00CC0ADF"/>
    <w:rsid w:val="00CF1E0D"/>
    <w:rsid w:val="00E5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1693"/>
  <w15:chartTrackingRefBased/>
  <w15:docId w15:val="{8675E010-830B-4FAB-ACB8-2339C25E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DF"/>
    <w:pPr>
      <w:spacing w:after="0" w:line="240" w:lineRule="auto"/>
    </w:pPr>
    <w:rPr>
      <w:rFonts w:ascii="Arial" w:eastAsia="Times New Roman" w:hAnsi="Arial" w:cs="Times New Roman"/>
      <w:kern w:val="0"/>
      <w:sz w:val="24"/>
      <w:szCs w:val="24"/>
      <w:lang w:eastAsia="ca-ES"/>
      <w14:ligatures w14:val="none"/>
    </w:rPr>
  </w:style>
  <w:style w:type="paragraph" w:styleId="Heading1">
    <w:name w:val="heading 1"/>
    <w:basedOn w:val="Normal"/>
    <w:next w:val="Normal"/>
    <w:link w:val="Heading1Char"/>
    <w:qFormat/>
    <w:rsid w:val="00CC0ADF"/>
    <w:pPr>
      <w:keepNext/>
      <w:numPr>
        <w:numId w:val="1"/>
      </w:numPr>
      <w:outlineLvl w:val="0"/>
    </w:pPr>
    <w:rPr>
      <w:b/>
      <w:bCs/>
      <w:caps/>
      <w:kern w:val="32"/>
      <w:sz w:val="28"/>
      <w:szCs w:val="32"/>
    </w:rPr>
  </w:style>
  <w:style w:type="paragraph" w:styleId="Heading2">
    <w:name w:val="heading 2"/>
    <w:basedOn w:val="Normal"/>
    <w:next w:val="Normal"/>
    <w:link w:val="Heading2Char"/>
    <w:qFormat/>
    <w:rsid w:val="00CC0ADF"/>
    <w:pPr>
      <w:keepNext/>
      <w:numPr>
        <w:ilvl w:val="1"/>
        <w:numId w:val="1"/>
      </w:numPr>
      <w:spacing w:before="240" w:after="60"/>
      <w:outlineLvl w:val="1"/>
    </w:pPr>
    <w:rPr>
      <w:b/>
      <w:bCs/>
      <w:iCs/>
      <w:szCs w:val="28"/>
    </w:rPr>
  </w:style>
  <w:style w:type="paragraph" w:styleId="Heading3">
    <w:name w:val="heading 3"/>
    <w:basedOn w:val="Normal"/>
    <w:next w:val="Normal"/>
    <w:link w:val="Heading3Char"/>
    <w:qFormat/>
    <w:rsid w:val="00CC0ADF"/>
    <w:pPr>
      <w:keepNext/>
      <w:numPr>
        <w:ilvl w:val="2"/>
        <w:numId w:val="1"/>
      </w:numPr>
      <w:tabs>
        <w:tab w:val="clear" w:pos="862"/>
        <w:tab w:val="num" w:pos="4692"/>
      </w:tabs>
      <w:spacing w:before="240" w:after="60"/>
      <w:ind w:left="4692"/>
      <w:outlineLvl w:val="2"/>
    </w:pPr>
    <w:rPr>
      <w:b/>
      <w:bCs/>
      <w:szCs w:val="26"/>
    </w:rPr>
  </w:style>
  <w:style w:type="paragraph" w:styleId="Heading4">
    <w:name w:val="heading 4"/>
    <w:basedOn w:val="Normal"/>
    <w:next w:val="Normal"/>
    <w:link w:val="Heading4Char"/>
    <w:qFormat/>
    <w:rsid w:val="00CC0ADF"/>
    <w:pPr>
      <w:keepNext/>
      <w:numPr>
        <w:ilvl w:val="3"/>
        <w:numId w:val="1"/>
      </w:numPr>
      <w:tabs>
        <w:tab w:val="clear" w:pos="1290"/>
        <w:tab w:val="num" w:pos="4269"/>
      </w:tabs>
      <w:spacing w:before="240" w:after="60"/>
      <w:ind w:left="4269"/>
      <w:outlineLvl w:val="3"/>
    </w:pPr>
    <w:rPr>
      <w:bCs/>
      <w:szCs w:val="28"/>
    </w:rPr>
  </w:style>
  <w:style w:type="paragraph" w:styleId="Heading5">
    <w:name w:val="heading 5"/>
    <w:basedOn w:val="Normal"/>
    <w:next w:val="Normal"/>
    <w:link w:val="Heading5Char"/>
    <w:qFormat/>
    <w:rsid w:val="00CC0ADF"/>
    <w:pPr>
      <w:numPr>
        <w:ilvl w:val="4"/>
        <w:numId w:val="1"/>
      </w:numPr>
      <w:spacing w:before="240" w:after="60"/>
      <w:outlineLvl w:val="4"/>
    </w:pPr>
    <w:rPr>
      <w:bCs/>
      <w:iCs/>
      <w:szCs w:val="26"/>
    </w:rPr>
  </w:style>
  <w:style w:type="paragraph" w:styleId="Heading6">
    <w:name w:val="heading 6"/>
    <w:basedOn w:val="Normal"/>
    <w:next w:val="Normal"/>
    <w:link w:val="Heading6Char"/>
    <w:qFormat/>
    <w:rsid w:val="00CC0ADF"/>
    <w:pPr>
      <w:numPr>
        <w:ilvl w:val="5"/>
        <w:numId w:val="1"/>
      </w:numPr>
      <w:spacing w:before="240" w:after="60"/>
      <w:outlineLvl w:val="5"/>
    </w:pPr>
    <w:rPr>
      <w:bCs/>
      <w:szCs w:val="22"/>
    </w:rPr>
  </w:style>
  <w:style w:type="paragraph" w:styleId="Heading7">
    <w:name w:val="heading 7"/>
    <w:basedOn w:val="Normal"/>
    <w:next w:val="Normal"/>
    <w:link w:val="Heading7Char"/>
    <w:qFormat/>
    <w:rsid w:val="00CC0ADF"/>
    <w:pPr>
      <w:numPr>
        <w:ilvl w:val="6"/>
        <w:numId w:val="1"/>
      </w:numPr>
      <w:spacing w:before="240" w:after="60"/>
      <w:outlineLvl w:val="6"/>
    </w:pPr>
  </w:style>
  <w:style w:type="paragraph" w:styleId="Heading8">
    <w:name w:val="heading 8"/>
    <w:basedOn w:val="Normal"/>
    <w:next w:val="Normal"/>
    <w:link w:val="Heading8Char"/>
    <w:qFormat/>
    <w:rsid w:val="00CC0ADF"/>
    <w:pPr>
      <w:numPr>
        <w:ilvl w:val="7"/>
        <w:numId w:val="1"/>
      </w:numPr>
      <w:spacing w:before="240" w:after="60"/>
      <w:outlineLvl w:val="7"/>
    </w:pPr>
    <w:rPr>
      <w:iCs/>
    </w:rPr>
  </w:style>
  <w:style w:type="paragraph" w:styleId="Heading9">
    <w:name w:val="heading 9"/>
    <w:basedOn w:val="Normal"/>
    <w:next w:val="Normal"/>
    <w:link w:val="Heading9Char"/>
    <w:qFormat/>
    <w:rsid w:val="00CC0ADF"/>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ADF"/>
    <w:rPr>
      <w:rFonts w:ascii="Arial" w:eastAsia="Times New Roman" w:hAnsi="Arial" w:cs="Times New Roman"/>
      <w:b/>
      <w:bCs/>
      <w:caps/>
      <w:kern w:val="32"/>
      <w:sz w:val="28"/>
      <w:szCs w:val="32"/>
      <w:lang w:eastAsia="ca-ES"/>
      <w14:ligatures w14:val="none"/>
    </w:rPr>
  </w:style>
  <w:style w:type="character" w:customStyle="1" w:styleId="Heading2Char">
    <w:name w:val="Heading 2 Char"/>
    <w:basedOn w:val="DefaultParagraphFont"/>
    <w:link w:val="Heading2"/>
    <w:rsid w:val="00CC0ADF"/>
    <w:rPr>
      <w:rFonts w:ascii="Arial" w:eastAsia="Times New Roman" w:hAnsi="Arial" w:cs="Times New Roman"/>
      <w:b/>
      <w:bCs/>
      <w:iCs/>
      <w:kern w:val="0"/>
      <w:sz w:val="24"/>
      <w:szCs w:val="28"/>
      <w:lang w:eastAsia="ca-ES"/>
      <w14:ligatures w14:val="none"/>
    </w:rPr>
  </w:style>
  <w:style w:type="character" w:customStyle="1" w:styleId="Heading3Char">
    <w:name w:val="Heading 3 Char"/>
    <w:basedOn w:val="DefaultParagraphFont"/>
    <w:link w:val="Heading3"/>
    <w:rsid w:val="00CC0ADF"/>
    <w:rPr>
      <w:rFonts w:ascii="Arial" w:eastAsia="Times New Roman" w:hAnsi="Arial" w:cs="Times New Roman"/>
      <w:b/>
      <w:bCs/>
      <w:kern w:val="0"/>
      <w:sz w:val="24"/>
      <w:szCs w:val="26"/>
      <w:lang w:eastAsia="ca-ES"/>
      <w14:ligatures w14:val="none"/>
    </w:rPr>
  </w:style>
  <w:style w:type="character" w:customStyle="1" w:styleId="Heading4Char">
    <w:name w:val="Heading 4 Char"/>
    <w:basedOn w:val="DefaultParagraphFont"/>
    <w:link w:val="Heading4"/>
    <w:rsid w:val="00CC0ADF"/>
    <w:rPr>
      <w:rFonts w:ascii="Arial" w:eastAsia="Times New Roman" w:hAnsi="Arial" w:cs="Times New Roman"/>
      <w:bCs/>
      <w:kern w:val="0"/>
      <w:sz w:val="24"/>
      <w:szCs w:val="28"/>
      <w:lang w:eastAsia="ca-ES"/>
      <w14:ligatures w14:val="none"/>
    </w:rPr>
  </w:style>
  <w:style w:type="character" w:customStyle="1" w:styleId="Heading5Char">
    <w:name w:val="Heading 5 Char"/>
    <w:basedOn w:val="DefaultParagraphFont"/>
    <w:link w:val="Heading5"/>
    <w:rsid w:val="00CC0ADF"/>
    <w:rPr>
      <w:rFonts w:ascii="Arial" w:eastAsia="Times New Roman" w:hAnsi="Arial" w:cs="Times New Roman"/>
      <w:bCs/>
      <w:iCs/>
      <w:kern w:val="0"/>
      <w:sz w:val="24"/>
      <w:szCs w:val="26"/>
      <w:lang w:eastAsia="ca-ES"/>
      <w14:ligatures w14:val="none"/>
    </w:rPr>
  </w:style>
  <w:style w:type="character" w:customStyle="1" w:styleId="Heading6Char">
    <w:name w:val="Heading 6 Char"/>
    <w:basedOn w:val="DefaultParagraphFont"/>
    <w:link w:val="Heading6"/>
    <w:rsid w:val="00CC0ADF"/>
    <w:rPr>
      <w:rFonts w:ascii="Arial" w:eastAsia="Times New Roman" w:hAnsi="Arial" w:cs="Times New Roman"/>
      <w:bCs/>
      <w:kern w:val="0"/>
      <w:sz w:val="24"/>
      <w:lang w:eastAsia="ca-ES"/>
      <w14:ligatures w14:val="none"/>
    </w:rPr>
  </w:style>
  <w:style w:type="character" w:customStyle="1" w:styleId="Heading7Char">
    <w:name w:val="Heading 7 Char"/>
    <w:basedOn w:val="DefaultParagraphFont"/>
    <w:link w:val="Heading7"/>
    <w:rsid w:val="00CC0ADF"/>
    <w:rPr>
      <w:rFonts w:ascii="Arial" w:eastAsia="Times New Roman" w:hAnsi="Arial" w:cs="Times New Roman"/>
      <w:kern w:val="0"/>
      <w:sz w:val="24"/>
      <w:szCs w:val="24"/>
      <w:lang w:eastAsia="ca-ES"/>
      <w14:ligatures w14:val="none"/>
    </w:rPr>
  </w:style>
  <w:style w:type="character" w:customStyle="1" w:styleId="Heading8Char">
    <w:name w:val="Heading 8 Char"/>
    <w:basedOn w:val="DefaultParagraphFont"/>
    <w:link w:val="Heading8"/>
    <w:rsid w:val="00CC0ADF"/>
    <w:rPr>
      <w:rFonts w:ascii="Arial" w:eastAsia="Times New Roman" w:hAnsi="Arial" w:cs="Times New Roman"/>
      <w:iCs/>
      <w:kern w:val="0"/>
      <w:sz w:val="24"/>
      <w:szCs w:val="24"/>
      <w:lang w:eastAsia="ca-ES"/>
      <w14:ligatures w14:val="none"/>
    </w:rPr>
  </w:style>
  <w:style w:type="character" w:customStyle="1" w:styleId="Heading9Char">
    <w:name w:val="Heading 9 Char"/>
    <w:basedOn w:val="DefaultParagraphFont"/>
    <w:link w:val="Heading9"/>
    <w:rsid w:val="00CC0ADF"/>
    <w:rPr>
      <w:rFonts w:ascii="Arial" w:eastAsia="Times New Roman" w:hAnsi="Arial" w:cs="Times New Roman"/>
      <w:kern w:val="0"/>
      <w:sz w:val="24"/>
      <w:lang w:eastAsia="ca-ES"/>
      <w14:ligatures w14:val="none"/>
    </w:rPr>
  </w:style>
  <w:style w:type="paragraph" w:styleId="ListParagraph">
    <w:name w:val="List Paragraph"/>
    <w:basedOn w:val="Normal"/>
    <w:uiPriority w:val="34"/>
    <w:qFormat/>
    <w:rsid w:val="00CC0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Brili</dc:creator>
  <cp:keywords/>
  <dc:description/>
  <cp:lastModifiedBy>Liana Brili</cp:lastModifiedBy>
  <cp:revision>3</cp:revision>
  <dcterms:created xsi:type="dcterms:W3CDTF">2023-04-26T07:42:00Z</dcterms:created>
  <dcterms:modified xsi:type="dcterms:W3CDTF">2023-05-02T16:13:00Z</dcterms:modified>
</cp:coreProperties>
</file>