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 xml:space="preserve">CAPITOLUL 4:</w:t>
      </w:r>
      <w:r>
        <w:rPr>
          <w:sz w:val="22"/>
        </w:rPr>
        <w:t xml:space="preserve"> </w:t>
      </w:r>
      <w:r>
        <w:rPr>
          <w:sz w:val="22"/>
        </w:rPr>
        <w:t xml:space="preserve">Accesibilitatea mijloacelor de transport</w:t>
      </w:r>
    </w:p>
    <w:p w14:paraId="456422CC" w14:textId="551AF3E3" w:rsidR="00CC0ADF" w:rsidRPr="00CC0ADF" w:rsidRDefault="00CC0ADF" w:rsidP="000F4434">
      <w:pPr>
        <w:pStyle w:val="ListParagraph"/>
        <w:numPr>
          <w:ilvl w:val="1"/>
          <w:numId w:val="2"/>
        </w:numPr>
        <w:ind w:left="709"/>
        <w:jc w:val="both"/>
        <w:outlineLvl w:val="3"/>
        <w:rPr>
          <w:bCs/>
          <w:sz w:val="22"/>
          <w:szCs w:val="22"/>
          <w:rFonts w:cs="Arial"/>
        </w:rPr>
      </w:pPr>
      <w:r>
        <w:rPr>
          <w:sz w:val="22"/>
        </w:rPr>
        <w:t xml:space="preserve">Atunci când un serviciu de taxi este oferit prin rezervări telefonice, acest serviciu trebuie să extindă mijloacele de solicitare folosind noi tehnologii, aplicații, internet, mesaje text, fax sau alte mijloace similare, astfel încât toți utilizatorii, inclusiv cei care au deficiențe de auz, să poată solicita serviciul în mod independent.</w:t>
      </w:r>
    </w:p>
    <w:p w14:paraId="2D97C4D3" w14:textId="77777777" w:rsidR="00CC0ADF" w:rsidRPr="000F0A63" w:rsidRDefault="00CC0ADF" w:rsidP="000F4434">
      <w:pPr>
        <w:pStyle w:val="ListParagraph"/>
        <w:numPr>
          <w:ilvl w:val="1"/>
          <w:numId w:val="2"/>
        </w:numPr>
        <w:ind w:left="709"/>
        <w:jc w:val="both"/>
        <w:outlineLvl w:val="3"/>
        <w:rPr>
          <w:bCs/>
          <w:sz w:val="22"/>
          <w:szCs w:val="22"/>
          <w:rFonts w:cs="Arial"/>
        </w:rPr>
      </w:pPr>
      <w:r>
        <w:rPr>
          <w:sz w:val="22"/>
        </w:rPr>
        <w:t xml:space="preserve">Atunci când serviciul „taxi la cerere” are un site, acesta trebuie să fie accesibil, cel puțin la nivelul AA din Orientările WCAG 2.1.</w:t>
      </w:r>
      <w:r>
        <w:rPr>
          <w:sz w:val="22"/>
        </w:rPr>
        <w:t xml:space="preserve"> </w:t>
      </w:r>
    </w:p>
    <w:p w14:paraId="4AEFA1EE" w14:textId="2FEB6DE3" w:rsidR="00CC0ADF" w:rsidRDefault="00CC0ADF" w:rsidP="000F4434">
      <w:pPr>
        <w:pStyle w:val="ListParagraph"/>
        <w:numPr>
          <w:ilvl w:val="1"/>
          <w:numId w:val="3"/>
        </w:numPr>
        <w:ind w:left="709" w:hanging="709"/>
        <w:jc w:val="both"/>
        <w:outlineLvl w:val="3"/>
        <w:rPr>
          <w:bCs/>
          <w:sz w:val="22"/>
          <w:szCs w:val="22"/>
          <w:rFonts w:cs="Arial"/>
        </w:rPr>
      </w:pPr>
      <w:r>
        <w:rPr>
          <w:sz w:val="22"/>
        </w:rPr>
        <w:t xml:space="preserve">Închirierea unui taxi care este accesibil persoanelor cu mobilitate redusă prin telefon, internet sau aplicație mobilă nu poate face obiectul unui supliment de cerere anticipată.</w:t>
      </w:r>
      <w:r>
        <w:rPr>
          <w:sz w:val="22"/>
        </w:rPr>
        <w:t xml:space="preserve"> </w:t>
      </w:r>
      <w:r>
        <w:rPr>
          <w:sz w:val="22"/>
        </w:rPr>
        <w:t xml:space="preserve">Cardul de invaliditate servește ca dovadă în cazul în care este solicitat.</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 xml:space="preserve">CAPITOLUL 5:</w:t>
      </w:r>
      <w:r>
        <w:rPr>
          <w:sz w:val="22"/>
        </w:rPr>
        <w:t xml:space="preserve"> </w:t>
      </w:r>
      <w:r>
        <w:rPr>
          <w:sz w:val="22"/>
        </w:rPr>
        <w:t xml:space="preserve">Accesibilitatea produselor</w:t>
      </w:r>
    </w:p>
    <w:p w14:paraId="183BC7CF" w14:textId="76471CF5" w:rsidR="00CC0ADF" w:rsidRPr="000F0A63" w:rsidRDefault="00CC0ADF" w:rsidP="00CC0ADF">
      <w:pPr>
        <w:keepNext/>
        <w:jc w:val="both"/>
        <w:outlineLvl w:val="2"/>
        <w:rPr>
          <w:bCs/>
          <w:sz w:val="22"/>
          <w:szCs w:val="22"/>
          <w:rFonts w:cs="Arial"/>
        </w:rPr>
      </w:pPr>
      <w:bookmarkStart w:id="0" w:name="_Ref447791242"/>
      <w:r>
        <w:rPr>
          <w:sz w:val="22"/>
        </w:rPr>
        <w:t xml:space="preserve">Articolul 116</w:t>
      </w:r>
      <w:r>
        <w:rPr>
          <w:sz w:val="22"/>
        </w:rPr>
        <w:tab/>
      </w:r>
      <w:r>
        <w:rPr>
          <w:sz w:val="22"/>
        </w:rPr>
        <w:t xml:space="preserve">Produse de larg consum</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bCs/>
          <w:sz w:val="22"/>
          <w:szCs w:val="22"/>
          <w:rFonts w:cs="Arial"/>
        </w:rPr>
      </w:pPr>
      <w:r>
        <w:rPr>
          <w:sz w:val="22"/>
        </w:rPr>
        <w:t xml:space="preserve">Un produs este considerat accesibil atunci când îndeplinește următoarele condiții:</w:t>
      </w:r>
    </w:p>
    <w:p w14:paraId="197D9229"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Are o etichetă accesibilă, adaptată caracteristicilor sale, care permite identificarea sa, cu numele său și cu cele mai relevante informații.</w:t>
      </w:r>
    </w:p>
    <w:p w14:paraId="015CE9DE"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Designul său respectă criterii de proiectare universale, cu condiții de utilizare adecvate și condiții de siguranță pentru orice utilizator.</w:t>
      </w:r>
    </w:p>
    <w:p w14:paraId="64849B40"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Informațiile, instrucțiunile sau prospectele suplimentare pot fi consultate prin intermediul internetului, al aplicațiilor pentru dispozitive și al utilizării noilor tehnologii, cu conținut accesibil care îndeplinește condițiile prevăzute la punctele 25 și 26 din anexa 5a.</w:t>
      </w:r>
    </w:p>
    <w:p w14:paraId="4E44C98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Societățile care comercializează un produs au responsabilitatea de a se asigura că sunt îndeplinite condițiile de acces care i se aplică.</w:t>
      </w:r>
    </w:p>
    <w:p w14:paraId="3FF43F32"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Produsele farmaceutice și produsele periculoase trebuie să includă elemente de date și sisteme astfel încât persoanele nevăzătoare sau cu surdocecitate să aibă acces la următoarele informații:</w:t>
      </w:r>
      <w:r>
        <w:rPr>
          <w:sz w:val="22"/>
        </w:rPr>
        <w:t xml:space="preserve">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Identificarea denumirii produsului pe ambalaj prin intermediul limbajului Braille și al iconografiei.</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Data de expirare de pe ambalaj, prin intermediul limbajului Braille și al iconografiei sau al altor resurse alternative care oferă aceleași caracteristici.</w:t>
      </w:r>
      <w:r>
        <w:rPr>
          <w:sz w:val="22"/>
        </w:rPr>
        <w:t xml:space="preserve">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i/>
          <w:sz w:val="22"/>
          <w:szCs w:val="22"/>
          <w:rFonts w:cs="Arial"/>
        </w:rPr>
      </w:pPr>
      <w:r>
        <w:rPr>
          <w:sz w:val="22"/>
        </w:rPr>
        <w:t xml:space="preserve">Caracteristicile principale ale produsului, cum ar fi compoziția și conservarea acestuia, printre altele, prin intermediul căutării audio pe internet sau prin alte mijloace care permit utilizarea noilor tehnologii cu aceeași eficiență, la cererea asociațiilor pentru persoanele cu deficiențe de vedere.</w:t>
      </w:r>
      <w:r>
        <w:rPr>
          <w:sz w:val="22"/>
        </w:rPr>
        <w:t xml:space="preserve"> </w:t>
      </w:r>
    </w:p>
    <w:p w14:paraId="4F2A53F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Lanțurile de supermarketuri și societățile cu unități de alimentație publică sau mixte, în toate locațiile în care dispun de un spațiu cu o suprafață utilă de peste 250 m² destinat publicului, la cererea unei persoane nevăzătoare sau a unei rude a acesteia, trebuie să garanteze următoarele condiții:</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cel puțin una dintre unitățile din localitate efectuează etichetarea în Braille a denumirilor și a datelor de expirare pe produsele perisabile sau care pot crea confuzii, prin intermediul unor imprimante sau sisteme care permit o astfel de etichetare în Braille, în unitatea respectivă.</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Produsele vândute online și livrate la domiciliu să fie, de asemenea, etichetate în Braille, așa cum s-a indicat anterior la punctul de mai sus.</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Difuzarea comercială realizată prin intermediul internetului sau prin alte mijloace oferă informații, într-un format accesibil, despre care sunt unitățile care oferă posibilitatea de a eticheta produsele în Braille.</w:t>
      </w:r>
    </w:p>
    <w:p w14:paraId="5332F12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În municipalitățile cu mai mult de 50 000 de locuitori, fiecare cartier este considerat ca fiind o zonă teritorială diferită și este asimilat unei localități în scopul aplicării punctului anterior.</w:t>
      </w:r>
      <w:r>
        <w:rPr>
          <w:sz w:val="22"/>
        </w:rPr>
        <w:t xml:space="preserve"> </w:t>
      </w:r>
    </w:p>
    <w:p w14:paraId="6459331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Administrația Generalitat trebuie să elaboreze progresiv instrucțiuni tehnice care să integreze noile progrese tehnologice și să stabilească specificațiile, termenele, caracteristicile și criteriile de etichetare accesibilă, precum și orientările de proiectare universală aplicabile produselor din diferitele sectoare comerciale.</w:t>
      </w:r>
      <w:r>
        <w:rPr>
          <w:sz w:val="22"/>
        </w:rPr>
        <w:t xml:space="preserve"> </w:t>
      </w:r>
    </w:p>
    <w:p w14:paraId="4D08CFD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Consumatorii cu deficiențe de vedere și surdocecitate au dreptul de a avea acces, în mod independent, normal, ușor, imediat și în condiții de egalitate, la aceleași informații despre produse pe care toți consumatorii și utilizatorii le au pe etichetă.</w:t>
      </w:r>
      <w:r>
        <w:rPr>
          <w:sz w:val="22"/>
        </w:rPr>
        <w:t xml:space="preserve"> </w:t>
      </w:r>
      <w:r>
        <w:rPr>
          <w:sz w:val="22"/>
        </w:rPr>
        <w:t xml:space="preserve">În acest scop, etichetarea accesibilă trebuie să respecte următoarele condiții:</w:t>
      </w:r>
    </w:p>
    <w:p w14:paraId="661B566E"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Trebuie să furnizeze cât mai multe informații, asigurând consumatorilor cu dizabilități condiții egale cu ale celorlalți consumatori.</w:t>
      </w:r>
    </w:p>
    <w:p w14:paraId="41CFB18C"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Ea trebuie să permită obținerea informațiilor în mod independent, rapid, comod, direct și standardizat, fără a necesita cunoștințe tehnice deosebite sau utilizarea de mijloace tehnologice.</w:t>
      </w:r>
    </w:p>
    <w:p w14:paraId="57DB1DC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Nu poate reprezenta un cost suplimentar pentru consumatorii cu dizabilități.</w:t>
      </w:r>
    </w:p>
    <w:p w14:paraId="0C13286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Nu trebuie să genereze costuri inaccesibile pentru întreprinderi.</w:t>
      </w:r>
    </w:p>
    <w:p w14:paraId="5602A71A"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Întreprinderile obligate care oferă servicii de vânzare electronică trebuie să includă, pe site-ul respectiv, opțiunea ca produsele achiziționate în acest mod să fie livrate cu etichetarea accesibilă.</w:t>
      </w:r>
    </w:p>
    <w:p w14:paraId="3ED1718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Sistemul de arbitraj pentru consumatori, precum și procedurile și procedeele sale trebuie să fie accesibile persoanelor cu dizabilități.</w:t>
      </w:r>
    </w:p>
    <w:p w14:paraId="03FE17A7"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Oficiile publice și private de servicii pentru consumatori trebuie să ia măsuri pentru a facilita accesibilitatea comunicării, pentru persoanele surde care comunică în limbajul semnelor și oral, cu mijloace de sprijin suficiente.</w:t>
      </w:r>
      <w:r>
        <w:rPr>
          <w:sz w:val="22"/>
        </w:rPr>
        <w:t xml:space="preserve"> </w:t>
      </w:r>
      <w:r>
        <w:rPr>
          <w:sz w:val="22"/>
        </w:rPr>
        <w:t xml:space="preserve">În plus, acestea trebuie să aibă instalată o buclă auditivă în 20 % din ghișeele serviciilor publice, iar personalul acestora trebuie să fie pregătit să furnizeze informații persoanelor cu dizabilități de orice fel, în termen de maximum trei ani de la intrarea în vigoare a prezentului cod.</w:t>
      </w:r>
    </w:p>
    <w:p w14:paraId="178D066A" w14:textId="77777777" w:rsidR="00CC0ADF" w:rsidRDefault="00CC0ADF">
      <w:pPr>
        <w:rPr>
          <w:lang w:val="es-ES"/>
        </w:rPr>
      </w:pPr>
    </w:p>
    <w:p w14:paraId="3EF53236" w14:textId="476D7F11" w:rsidR="00E526B5" w:rsidRDefault="00B670F2">
      <w:r>
        <w:rPr>
          <w:sz w:val="22"/>
        </w:rPr>
        <w:t xml:space="preserve">CAPITOLUL 6:</w:t>
      </w:r>
      <w:r>
        <w:rPr>
          <w:sz w:val="22"/>
        </w:rPr>
        <w:t xml:space="preserve"> </w:t>
      </w:r>
      <w:r>
        <w:rPr>
          <w:sz w:val="22"/>
        </w:rPr>
        <w:t xml:space="preserve">Accesibilitatea serviciilor</w:t>
      </w:r>
    </w:p>
    <w:p w14:paraId="7DEC37FB" w14:textId="27CCD605" w:rsidR="00CC0ADF" w:rsidRPr="00CC0ADF" w:rsidRDefault="00CC0ADF" w:rsidP="000F4434">
      <w:pPr>
        <w:pStyle w:val="ListParagraph"/>
        <w:numPr>
          <w:ilvl w:val="1"/>
          <w:numId w:val="9"/>
        </w:numPr>
        <w:ind w:left="0" w:firstLine="0"/>
        <w:jc w:val="both"/>
        <w:outlineLvl w:val="3"/>
        <w:rPr>
          <w:bCs/>
          <w:sz w:val="22"/>
          <w:szCs w:val="22"/>
          <w:rFonts w:cs="Arial"/>
        </w:rPr>
      </w:pPr>
      <w:r>
        <w:rPr>
          <w:sz w:val="22"/>
        </w:rPr>
        <w:t xml:space="preserve">Serviciile publice care dispun de site-uri deschise publicului trebuie să furnizeze informații privind accesibilitatea acestor servicii, precum și dependențele, facilitățile și procedurile acestora.</w:t>
      </w:r>
    </w:p>
    <w:p w14:paraId="6A2C95FC" w14:textId="77777777" w:rsidR="00CC0ADF" w:rsidRPr="000F0A63" w:rsidRDefault="00CC0ADF" w:rsidP="000F4434">
      <w:pPr>
        <w:pStyle w:val="ListParagraph"/>
        <w:numPr>
          <w:ilvl w:val="1"/>
          <w:numId w:val="9"/>
        </w:numPr>
        <w:ind w:left="0" w:firstLine="0"/>
        <w:jc w:val="both"/>
        <w:outlineLvl w:val="3"/>
        <w:rPr>
          <w:bCs/>
          <w:sz w:val="22"/>
          <w:szCs w:val="22"/>
          <w:rFonts w:cs="Arial"/>
        </w:rPr>
      </w:pPr>
      <w:r>
        <w:rPr>
          <w:sz w:val="22"/>
        </w:rPr>
        <w:t xml:space="preserve">Site-urile, aplicațiile pentru dispozitive mobile și alte produse și servicii din domeniul tehnologiei informației și comunicațiilor oferite de serviciile publice trebuie să respecte condițiile prevăzute în anexa 5a la prezentul cod și standardul UNE-EN 301549:2022 sau cel care îl înlocuiește, în conformitate cu Directiva (UE) 2016/2102 a Parlamentului European și a Consiliului și cu transpunerea acesteia în Decretul regal nr. 112/2018 din 7 septembrie 2018 privind accesibilitatea site-urilor și a aplicațiilor pentru dispozitive mobile în sectorul public, fără a aduce atingere reglementării realizate de către organismul competent în materie din Catalonia.</w:t>
      </w:r>
      <w:r>
        <w:rPr>
          <w:sz w:val="22"/>
        </w:rPr>
        <w:t xml:space="preserve">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sz w:val="22"/>
          <w:szCs w:val="22"/>
          <w:rFonts w:cs="Arial"/>
        </w:rPr>
      </w:pPr>
      <w:r>
        <w:rPr>
          <w:sz w:val="22"/>
        </w:rPr>
        <w:t xml:space="preserve">Site-urile și aplicațiile mobile ale lanțurilor de supermarketuri și ale unităților de alimentație publică sau mixte cu o suprafață utilă pentru uz public mai mare de 500 m², care oferă posibilitatea de a cumpăra online și de a primi produse prin livrare la domiciliu, trebuie să fie accesibile, în conformitate cu condițiile prevăzute la punctele 25 și 26 din anexa 5a, și să atingă cel puțin nivelul de conformitate cu accesibilitatea A dublu (AA) în conformitate cu orientările WCAG 2.1, în următoarele situații:</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atunci când este vorba de pagini sau aplicații nou create;</w:t>
      </w:r>
      <w:r>
        <w:rPr>
          <w:sz w:val="22"/>
        </w:rPr>
        <w:t xml:space="preserve">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atunci când paginile sau aplicațiile existente sunt modificate;</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în cazul în care termenele prevăzute la punctul 4 din anexa 6b sunt respectate prin adaptarea paginilor și aplicațiilor existente.</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bCs/>
          <w:sz w:val="22"/>
          <w:szCs w:val="22"/>
          <w:rFonts w:cs="Arial"/>
        </w:rPr>
      </w:pPr>
      <w:r>
        <w:rPr>
          <w:sz w:val="22"/>
        </w:rPr>
        <w:t xml:space="preserve">Paginile web și aplicațiile pentru dispozitive mobile, care permit efectuarea de operațiuni bancare, încheierea de contracte sau orice alt tip de gestionare sau de consultare privind produsele contractate într-un birou fizic, trebuie să fie accesibile, în conformitate cu condițiile prevăzute la punctele 25 și 26 din anexa 5a, și să atingă cel puțin nivelul de conformitate cu accesibilitatea de tip dublu A (AA) în conformitate cu orientările WCAG 2.1, în următoarele situații:</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atunci când este vorba de pagini sau aplicații nou create;</w:t>
      </w:r>
      <w:r>
        <w:rPr>
          <w:sz w:val="22"/>
        </w:rPr>
        <w:t xml:space="preserve">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atunci când paginile sau aplicațiile existente sunt modificate;</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în cazul în care termenele prevăzute la punctul 5 din anexa 6b sunt respectate prin adaptarea paginilor și aplicațiilor existente;</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bCs/>
          <w:sz w:val="22"/>
          <w:szCs w:val="22"/>
          <w:rFonts w:cs="Arial"/>
        </w:rPr>
      </w:pPr>
      <w:r>
        <w:rPr>
          <w:sz w:val="22"/>
        </w:rPr>
        <w:t xml:space="preserve">Site-urile și aplicațiile mobile ale lanțurilor hoteliere și ale unităților cu o capacitate mai mare de 100 de locuri, care permit contractarea de servicii de cazare și servicii online, trebuie să fie accesibile, în conformitate cu condițiile prevăzute la punctele 25 și 26 din anexa 5a, și să atingă cel puțin nivelul de conformitate cu accesibilitatea A dublă (AA) în conformitate cu orientările WCAG 2.1, în următoarele situații:</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atunci când este vorba de pagini sau aplicații nou create;</w:t>
      </w:r>
      <w:r>
        <w:rPr>
          <w:sz w:val="22"/>
        </w:rPr>
        <w:t xml:space="preserve">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atunci când paginile sau aplicațiile existente sunt modificate;</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atunci când sunt respectate termenele prevăzute la punctul 7 din anexa 6b pentru adaptarea paginilor și aplicațiilor existente.</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sz w:val="22"/>
          <w:szCs w:val="22"/>
          <w:rFonts w:cs="Arial"/>
        </w:rPr>
      </w:pPr>
      <w:r>
        <w:rPr>
          <w:sz w:val="22"/>
        </w:rPr>
        <w:t xml:space="preserve">Paginile web și aplicațiile mobile ale unităților sau ale asociațiilor de unități trebuie să fie accesibile în conformitate cu condițiile prevăzute la punctele 25 și 26 din anexa 5a;</w:t>
      </w:r>
      <w:r>
        <w:rPr>
          <w:sz w:val="22"/>
        </w:rPr>
        <w:t xml:space="preserve"> </w:t>
      </w:r>
      <w:r>
        <w:rPr>
          <w:sz w:val="22"/>
        </w:rPr>
        <w:t xml:space="preserve">să atingă cel puțin nivelul de conformitate cu accesibilitatea A dublu (AA), în conformitate cu orientările WCAG 2.1, și să furnizeze informațiile indicate la punctele precedente, în următoarele situații:</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atunci când este vorba de pagini sau aplicații nou create;</w:t>
      </w:r>
      <w:r>
        <w:rPr>
          <w:sz w:val="22"/>
        </w:rPr>
        <w:t xml:space="preserve">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atunci când paginile sau aplicațiile existente sunt modificate;</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atunci când sunt respectate termenele prevăzute la punctul 3 din anexa 6b pentru adaptarea paginilor și aplicațiilor existente.</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bCs/>
          <w:sz w:val="22"/>
          <w:szCs w:val="22"/>
          <w:rFonts w:cs="Arial"/>
        </w:rPr>
      </w:pPr>
      <w:r>
        <w:rPr>
          <w:sz w:val="22"/>
        </w:rPr>
        <w:t xml:space="preserve">Paginile de internet și aplicațiile mobile ale unităților și cluburilor sportive care oferă vânzări de bilete pentru spectacolele din incinta lor trebuie să fie accesibile și să furnizeze informațiile necesare în aceleași condiții precum cele prevăzute la articolul 133 pentru serviciile legate de artele spectacolului.</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bCs/>
          <w:sz w:val="22"/>
          <w:szCs w:val="22"/>
          <w:rFonts w:cs="Arial"/>
        </w:rPr>
      </w:pPr>
      <w:r>
        <w:rPr>
          <w:sz w:val="22"/>
        </w:rPr>
        <w:t xml:space="preserve">Site-urile și aplicațiile mobile ale unităților de învățământ care oferă educație formală trebuie să fie accesibile, în conformitate cu condițiile prevăzute la punctele 25 și 26 din anexa 5a, și să atingă cel puțin nivelul de conformitate cu accesibilitatea A dublă (AA) în conformitate cu orientările WCAG 2.1, în următoarele situații:</w:t>
      </w:r>
    </w:p>
    <w:p w14:paraId="46144290"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atunci când este vorba de pagini sau aplicații nou create;</w:t>
      </w:r>
      <w:r>
        <w:rPr>
          <w:sz w:val="22"/>
        </w:rPr>
        <w:t xml:space="preserve"> </w:t>
      </w:r>
    </w:p>
    <w:p w14:paraId="124A7079"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atunci când paginile sau aplicațiile existente sunt modificate;</w:t>
      </w:r>
    </w:p>
    <w:p w14:paraId="4CC9837C"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în cazul în care termenele prevăzute la punctul 8 din anexa 6b sunt respectate prin adaptarea paginilor și aplicațiilor existente.</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bCs/>
          <w:sz w:val="22"/>
          <w:szCs w:val="22"/>
          <w:rFonts w:cs="Arial"/>
        </w:rPr>
      </w:pPr>
      <w:bookmarkStart w:id="1" w:name="_Ref447800574"/>
      <w:r>
        <w:rPr>
          <w:sz w:val="22"/>
        </w:rPr>
        <w:t xml:space="preserve">Articolul 138.</w:t>
      </w:r>
      <w:r>
        <w:rPr>
          <w:sz w:val="22"/>
        </w:rPr>
        <w:tab/>
      </w:r>
      <w:r>
        <w:rPr>
          <w:sz w:val="22"/>
        </w:rPr>
        <w:t xml:space="preserve">Servicii esențiale, servicii de interes general sau servicii finanțate din fonduri publice</w:t>
      </w:r>
      <w:r>
        <w:rPr>
          <w:sz w:val="22"/>
        </w:rPr>
        <w:t xml:space="preserve"> </w:t>
      </w:r>
      <w:bookmarkEnd w:id="1"/>
    </w:p>
    <w:p w14:paraId="7D137DE4" w14:textId="752BD128" w:rsidR="003920DF" w:rsidRPr="003920DF" w:rsidRDefault="003920DF" w:rsidP="000F4434">
      <w:pPr>
        <w:pStyle w:val="ListParagraph"/>
        <w:numPr>
          <w:ilvl w:val="1"/>
          <w:numId w:val="23"/>
        </w:numPr>
        <w:ind w:left="0" w:firstLine="0"/>
        <w:jc w:val="both"/>
        <w:outlineLvl w:val="3"/>
        <w:rPr>
          <w:bCs/>
          <w:sz w:val="22"/>
          <w:szCs w:val="22"/>
          <w:rFonts w:cs="Arial"/>
        </w:rPr>
      </w:pPr>
      <w:r>
        <w:rPr>
          <w:sz w:val="22"/>
        </w:rPr>
        <w:t xml:space="preserve">Site-urile sectorului public catalan și ale societăților de drept public, precum și toate cele care sunt lansate cu finanțare din partea administrației publice și cele ale entităților sau societăților care furnizează servicii publice prin concesiune sau pe bază de contract cu administrația publică trebuie să respecte cerințele prevăzute la punctul 25 din anexa 5a și să atingă nivelul de conformitate cu accesibilitatea A dublă (AA) în conformitate cu WCAG 2.1, fără a aduce atingere reglementării efectuate de organismul competent în materie în Catalonia în conformitate cu Decretul regal nr. 1112/2018 din 7 septembrie 2018 privind accesibilitatea site-urilor și a aplicațiilor pentru dispozitive mobile în sectorul public.</w:t>
      </w:r>
    </w:p>
    <w:p w14:paraId="6FD18B43"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Site-urile entităților private care furnizează servicii esențiale sau servicii de interes general, inclusiv servicii de electricitate, apă sau gaz și telecomunicații, precum și servicii de sănătate, poștale și bancare, trebuie să respecte, de asemenea, cerințele de la punctul 25 din anexa 5a și nivelul de conformitate cu accesibilitatea A dublă (AA) în conformitate cu orientările WCAG 2.1.</w:t>
      </w:r>
      <w:r>
        <w:rPr>
          <w:sz w:val="22"/>
        </w:rPr>
        <w:t xml:space="preserve"> </w:t>
      </w:r>
    </w:p>
    <w:p w14:paraId="54D877DC" w14:textId="68D622D4"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Aplicațiile dispozitivelor mobile din sectorul public și entitățile menționate la punctele 138.1 și 138.2 de mai sus trebuie să respecte cerințele de accesibilitate de la punctul 26 din anexa 5a, fără a aduce atingere reglementării făcute de organismul competent în această privință din Catalonia.</w:t>
      </w:r>
    </w:p>
    <w:p w14:paraId="0F7B09C4" w14:textId="77777777" w:rsidR="003920DF" w:rsidRPr="000F0A63" w:rsidRDefault="003920DF" w:rsidP="000F4434">
      <w:pPr>
        <w:pStyle w:val="ListParagraph"/>
        <w:numPr>
          <w:ilvl w:val="1"/>
          <w:numId w:val="23"/>
        </w:numPr>
        <w:ind w:left="0" w:firstLine="0"/>
        <w:jc w:val="both"/>
        <w:outlineLvl w:val="3"/>
        <w:rPr>
          <w:sz w:val="22"/>
          <w:szCs w:val="22"/>
          <w:rFonts w:cs="Arial"/>
        </w:rPr>
      </w:pPr>
      <w:r>
        <w:rPr>
          <w:sz w:val="22"/>
        </w:rPr>
        <w:t xml:space="preserve">Cerințele de accesibilitate a site-urilor și a aplicațiilor mobile prevăzute la prezentul articol se aplică cu condiția ca acestea să nu reprezinte o sarcină disproporționată pentru entitatea care trebuie să le aplice, în conformitate cu următoarele circumstanțe:</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Dimensiunile, resursele și natura entității respective.</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Costurile și beneficiile din partea entității și beneficiile estimate pentru utilizatori, ținând seama de frecvența și durata utilizării site-ului sau a aplicației respective.</w:t>
      </w:r>
      <w:r>
        <w:rPr>
          <w:sz w:val="22"/>
        </w:rPr>
        <w:t xml:space="preserve">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Efectele discriminatorii asupra persoanelor cu dizabilități în cazul în care site-ul sau aplicația nu este accesibilă și dacă există pe piață site-uri sau aplicații alternative care oferă aceleași funcționalități și condiții.</w:t>
      </w:r>
    </w:p>
    <w:p w14:paraId="7EAD681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Sectorul public sau entitatea publică care utilizează derogarea prevăzută la punctul 138.4 de mai sus trebuie să explice ce cerințe de accesibilitate nu au putut fi îndeplinite în declarația de accesibilitate a site-ului sau a aplicației și trebuie să ofere alternative accesibile în limita posibilităților.</w:t>
      </w:r>
    </w:p>
    <w:p w14:paraId="5D7ECF09"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Paginile web și aplicațiile mobile trebuie să respecte condițiile de accesibilitate prevăzute la punctele anterioare înainte de termenele finale stabilite la punctul 2 din anexa 6b.</w:t>
      </w:r>
    </w:p>
    <w:p w14:paraId="64D96B3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Furnizorii de servicii și producătorii care furnizează echipamente IT și software pentru sectorul public catalan și pentru entitățile menționate la punctul 138.1 trebuie să includă elementele și caracteristicile suplimentare de accesibilitate, necesare pentru a permite accesul persoanelor cu dizabilități la conținutul digital.</w:t>
      </w:r>
      <w:r>
        <w:rPr>
          <w:sz w:val="22"/>
        </w:rPr>
        <w:t xml:space="preserve"> </w:t>
      </w:r>
    </w:p>
    <w:p w14:paraId="03F2890E"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Rețelele de televiziune publice și private din Catalonia trebuie să elaboreze planuri de facilitare a accesului la conținutul lor pentru a face progresiv accesibile programele lor pentru persoanele cu dizabilități senzoriale și intelectuale.</w:t>
      </w:r>
      <w:r>
        <w:rPr>
          <w:sz w:val="22"/>
        </w:rPr>
        <w:t xml:space="preserve"> </w:t>
      </w:r>
      <w:r>
        <w:rPr>
          <w:sz w:val="22"/>
        </w:rPr>
        <w:t xml:space="preserve">Aceste planuri trebuie să permită atingerea următoarelor obiective în termen de maximum trei ani de la intrarea în vigoare a prezentului cod:</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Rețelele de televiziune publice:</w:t>
      </w:r>
      <w:r>
        <w:rPr>
          <w:sz w:val="22"/>
        </w:rPr>
        <w:t xml:space="preserve"> </w:t>
      </w:r>
      <w:r>
        <w:rPr>
          <w:sz w:val="22"/>
        </w:rPr>
        <w:t xml:space="preserve">Acestea trebuie să aibă 100 % din programe subtitrate și să ofere cel puțin 15 ore pe săptămână de conținut cu descriere audio și 10 ore pe săptămână în limbajul catalan al semnelor.</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Rețele de televiziune private:</w:t>
      </w:r>
      <w:r>
        <w:rPr>
          <w:sz w:val="22"/>
        </w:rPr>
        <w:t xml:space="preserve"> </w:t>
      </w:r>
      <w:r>
        <w:rPr>
          <w:sz w:val="22"/>
        </w:rPr>
        <w:t xml:space="preserve">Acestea trebuie să aibă 75 % din programe subtitrate și să ofere minimum 10 ore pe săptămână de conținut cu descriere audio și 7 ore pe săptămână în limbajul catalan al semnelor.</w:t>
      </w:r>
    </w:p>
    <w:p w14:paraId="221F24A7"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Programele în llimbajul catalan al semnelor trebuie să includă programe de știri și programe pentru copii disponibile în oferta de vizionare înregistrată în prealabil, atunci când acest serviciu este disponibil.</w:t>
      </w:r>
      <w:r>
        <w:rPr>
          <w:sz w:val="22"/>
        </w:rPr>
        <w:t xml:space="preserve"> </w:t>
      </w:r>
      <w:r>
        <w:rPr>
          <w:sz w:val="22"/>
        </w:rPr>
        <w:t xml:space="preserve">Această programare trebuie să acopere fiecare zi a săptămânii.</w:t>
      </w:r>
      <w:r>
        <w:rPr>
          <w:sz w:val="22"/>
        </w:rPr>
        <w:t xml:space="preserve"> </w:t>
      </w:r>
    </w:p>
    <w:p w14:paraId="1FCDD2A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Societățile care distribuie opere cinematografice și audiovizuale trebuie să includă sisteme de subtitrare, descriere audio și navigare audio, de preferință în cazul filmelor străine și naționale care au cele mai bune rate de încasări sau care au fost premiate la nivel național sau internațional, pentru a le pune la dispoziție pe suport DVD sau în cadrul unor sisteme similare cu aceste caracteristici.</w:t>
      </w:r>
    </w:p>
    <w:p w14:paraId="0F3986EB" w14:textId="77777777" w:rsidR="003920DF" w:rsidRDefault="003920DF">
      <w:pPr>
        <w:rPr>
          <w:lang w:val="es-ES"/>
        </w:rPr>
      </w:pPr>
    </w:p>
    <w:p w14:paraId="44244122" w14:textId="3BAB5CCF" w:rsidR="00E526B5" w:rsidRDefault="00B670F2">
      <w:r>
        <w:rPr>
          <w:sz w:val="22"/>
        </w:rPr>
        <w:t xml:space="preserve">CAPITOLUL 11:</w:t>
      </w:r>
      <w:r>
        <w:rPr>
          <w:sz w:val="22"/>
        </w:rPr>
        <w:t xml:space="preserve"> </w:t>
      </w:r>
      <w:r>
        <w:rPr>
          <w:sz w:val="22"/>
        </w:rPr>
        <w:t xml:space="preserve">Insigna de calitate pentru accesibilitate</w:t>
      </w:r>
    </w:p>
    <w:p w14:paraId="5E23591F" w14:textId="30E33DFC" w:rsidR="00E526B5" w:rsidRPr="000F0A63" w:rsidRDefault="00E526B5" w:rsidP="000F4434">
      <w:pPr>
        <w:pStyle w:val="Heading4"/>
        <w:keepNext w:val="0"/>
        <w:numPr>
          <w:ilvl w:val="1"/>
          <w:numId w:val="24"/>
        </w:numPr>
        <w:spacing w:before="0" w:after="0"/>
        <w:ind w:left="0" w:firstLine="0"/>
        <w:jc w:val="both"/>
        <w:rPr>
          <w:sz w:val="22"/>
          <w:szCs w:val="22"/>
          <w:rFonts w:cs="Arial"/>
        </w:rPr>
      </w:pPr>
      <w:r>
        <w:rPr>
          <w:sz w:val="22"/>
        </w:rPr>
        <w:t xml:space="preserve">Consultarea publică a unităților, a clădirilor și a entităților publice care au insigna de calitate trebuie să fie posibilă cel puțin prin intermediul internetului, fără a aduce atingere altor mijloace care pot fi considerate adecvate.</w:t>
      </w:r>
    </w:p>
    <w:p w14:paraId="6CBE5DDA" w14:textId="77777777" w:rsidR="00E526B5" w:rsidRDefault="00E526B5">
      <w:pPr>
        <w:rPr>
          <w:lang w:val="es-ES"/>
        </w:rPr>
      </w:pPr>
    </w:p>
    <w:p w14:paraId="3BFAD248" w14:textId="66A7955A" w:rsidR="00E526B5" w:rsidRDefault="00CF1E0D">
      <w:r>
        <w:rPr>
          <w:sz w:val="22"/>
        </w:rPr>
        <w:t xml:space="preserve">Anexa 5a:</w:t>
      </w:r>
      <w:r>
        <w:rPr>
          <w:sz w:val="22"/>
        </w:rPr>
        <w:t xml:space="preserve"> </w:t>
      </w:r>
      <w:r>
        <w:rPr>
          <w:sz w:val="22"/>
        </w:rPr>
        <w:t xml:space="preserve">Standardele de accesibilitate a produselor</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bCs/>
          <w:iCs/>
          <w:sz w:val="22"/>
          <w:szCs w:val="22"/>
          <w:rFonts w:cs="Arial"/>
        </w:rPr>
      </w:pPr>
      <w:bookmarkStart w:id="2" w:name="_Ref447796406"/>
      <w:r>
        <w:rPr>
          <w:sz w:val="22"/>
        </w:rPr>
        <w:t xml:space="preserve">Pagini web accesibile</w:t>
      </w:r>
      <w:bookmarkEnd w:id="2"/>
      <w:r>
        <w:rPr>
          <w:sz w:val="22"/>
        </w:rPr>
        <w:t xml:space="preserve"> </w:t>
      </w:r>
    </w:p>
    <w:p w14:paraId="2592043C" w14:textId="77777777" w:rsidR="00E526B5" w:rsidRPr="000F0A63" w:rsidRDefault="00E526B5" w:rsidP="00E526B5">
      <w:pPr>
        <w:tabs>
          <w:tab w:val="num" w:pos="0"/>
          <w:tab w:val="left" w:pos="284"/>
        </w:tabs>
        <w:jc w:val="both"/>
        <w:rPr>
          <w:sz w:val="22"/>
          <w:szCs w:val="22"/>
          <w:rFonts w:cs="Arial"/>
        </w:rPr>
      </w:pPr>
      <w:r>
        <w:rPr>
          <w:sz w:val="22"/>
        </w:rPr>
        <w:t xml:space="preserve">Orientările care trebuie urmate în proiectarea și crearea unei pagini web și condițiile pentru ca aceasta să fie accesibilă sunt următoarele:</w:t>
      </w:r>
      <w:r>
        <w:rPr>
          <w:sz w:val="22"/>
        </w:rPr>
        <w:t xml:space="preserv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configurați conținutul astfel încât acesta să poată fi adaptat la diferite programe, dispozitive și produse de asistență fără a pierde informații sau a afecta structura;</w:t>
      </w:r>
      <w:r>
        <w:rPr>
          <w:sz w:val="22"/>
        </w:rPr>
        <w:t xml:space="preserv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furnizați alternative textuale sau o identificare descriptivă pentru conținutul non-textual (imagini, grafică, conținut multimedia);</w:t>
      </w:r>
      <w:r>
        <w:rPr>
          <w:sz w:val="22"/>
        </w:rPr>
        <w:t xml:space="preserv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includeți subtitrări și descrieri audio pentru conținutul multimedia atunci când este necesar pentru o înțelegere adecvată a mesajului;</w:t>
      </w:r>
      <w:r>
        <w:rPr>
          <w:sz w:val="22"/>
        </w:rPr>
        <w:t xml:space="preserv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furnizați mecanisme care să facă posibilă reducerea sunetului și reglarea volumului audio;</w:t>
      </w:r>
      <w:r>
        <w:rPr>
          <w:sz w:val="22"/>
        </w:rPr>
        <w:t xml:space="preserve">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nu utilizați culoarea ca mijloc unic de transmitere a informațiilor, de indicare a unei acțiuni sau de distingere a unui element;</w:t>
      </w:r>
      <w:r>
        <w:rPr>
          <w:sz w:val="22"/>
        </w:rPr>
        <w:t xml:space="preserve">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Textul și imaginile trebuie să aibă un contrast suficient cu fundalul și o dimensiune care să permită citirea lor fără disconfort.</w:t>
      </w:r>
      <w:r>
        <w:rPr>
          <w:sz w:val="22"/>
        </w:rPr>
        <w:t xml:space="preserv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Dimensiunea textului trebuie să poată fi ajustată direct din pagina respectivă, fără ajutorul unor produse de suport și fără a se pierde din conținut sau funcționalitate;</w:t>
      </w:r>
      <w:r>
        <w:rPr>
          <w:sz w:val="22"/>
        </w:rPr>
        <w:t xml:space="preserv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asigurați accesul la toate funcționalitățile paginii prin intermediul tastaturii, cu o soluție care să nu intre în conflict cu cititoarele de ecran și cu lupele;</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permiteți utilizatorului să controleze informațiile sau obiectele care sunt mutate sau actualizate automat, putând să le oprească, să le ascundă sau să controleze frecvența;</w:t>
      </w:r>
      <w:r>
        <w:rPr>
          <w:sz w:val="22"/>
        </w:rPr>
        <w:t xml:space="preserve">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bookmarkStart w:id="3" w:name="_Ref488129626"/>
      <w:r>
        <w:rPr>
          <w:sz w:val="22"/>
        </w:rPr>
        <w:t xml:space="preserve">facilitați navigarea prin structurarea conținutului într-o ordine coerentă și prin furnizarea unor mecanisme clare de navigare;</w:t>
      </w:r>
      <w:r>
        <w:rPr>
          <w:sz w:val="22"/>
        </w:rPr>
        <w:t xml:space="preserve">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includeți informații de orientare pentru a ajuta utilizatorii să înțeleagă elementele complexe și furnizați mecanisme de detectare și prevenire a erorilor de introducere a datelor de către utilizatori;</w:t>
      </w:r>
      <w:r>
        <w:rPr>
          <w:sz w:val="22"/>
        </w:rPr>
        <w:t xml:space="preserv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identificați limba utilizată în fiecare paragraf sau document al site-ului, astfel încât cititoarele de ecran și sintetizatoarele vocale să poată detecta și schimba automat limba;</w:t>
      </w:r>
      <w:r>
        <w:rPr>
          <w:sz w:val="22"/>
        </w:rPr>
        <w:t xml:space="preserv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folosiți un limbaj clar și ușor de înțeles pentru a face conținutul ușor de înțeles și includeți definiția celor mai neobișnuite cuvinte și semnificația siglelor și abrevierilor;</w:t>
      </w:r>
      <w:r>
        <w:rPr>
          <w:sz w:val="22"/>
        </w:rPr>
        <w:t xml:space="preserve">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creșteți nivelul de compatibilitate cu aplicațiile, software-ul și dispozitivele pe care le pot avea utilizatorii, inclusiv cu produsele de asistență;</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asigurați-vă că documentele publicate pe internet sunt, de asemenea, accesibile și lizibile pentru cititoarele de ecran;</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furnizați canale de comunicare accesibile, altele decât telefonul, prin e-mail, SMS sau formulare, cu un timp de procesare care să nu fie discriminatoriu în comparație cu cel al unui apel telefonic;</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îndepliniți criteriile în conformitate cu liniile directoare WCAG 2.1 la unul dintre nivelurile sale, cu condițiile stabilite de standardul UNE 139803:2012 sau de cel care îl înlocuiește, cu excepția situațiilor în care prezentul cod impune un nivel superior.</w:t>
      </w:r>
      <w:r>
        <w:rPr>
          <w:sz w:val="22"/>
        </w:rPr>
        <w:t xml:space="preserve">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sz w:val="22"/>
          <w:szCs w:val="22"/>
          <w:rFonts w:cs="Arial"/>
        </w:rPr>
      </w:pPr>
      <w:bookmarkStart w:id="4" w:name="_Ref504990560"/>
      <w:r>
        <w:rPr>
          <w:sz w:val="22"/>
        </w:rPr>
        <w:t xml:space="preserve">Aplicații accesibile</w:t>
      </w:r>
      <w:bookmarkEnd w:id="3"/>
      <w:bookmarkEnd w:id="4"/>
    </w:p>
    <w:p w14:paraId="7EB099BF" w14:textId="77777777" w:rsidR="00E526B5" w:rsidRPr="000F0A63" w:rsidRDefault="00E526B5" w:rsidP="00E526B5">
      <w:pPr>
        <w:tabs>
          <w:tab w:val="left" w:pos="284"/>
          <w:tab w:val="left" w:pos="426"/>
        </w:tabs>
        <w:jc w:val="both"/>
        <w:rPr>
          <w:sz w:val="22"/>
          <w:szCs w:val="22"/>
          <w:rFonts w:cs="Arial"/>
        </w:rPr>
      </w:pPr>
      <w:r>
        <w:rPr>
          <w:sz w:val="22"/>
        </w:rPr>
        <w:t xml:space="preserve">Aplicațiile accesibile pe mobil trebuie să respecte condițiile stabilite în standardul UNE 139803:2012 sau cel care îl înlocuiește și să respecte următoarele criterii generale:</w:t>
      </w:r>
      <w:r>
        <w:rPr>
          <w:sz w:val="22"/>
        </w:rPr>
        <w:t xml:space="preserve"> </w:t>
      </w:r>
    </w:p>
    <w:p w14:paraId="580725D4"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toate mesajele, sistemele de ajutor și textele trebuie să fie redactate într-un limbaj clar și simplu;</w:t>
      </w:r>
    </w:p>
    <w:p w14:paraId="2543102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textul trebuie să fie inteligibil, cu o dimensiune și un font care să faciliteze citirea;</w:t>
      </w:r>
    </w:p>
    <w:p w14:paraId="18CF95B7"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contrastul de culoare al elementelor cu fundalul trebuie să fie suficient;</w:t>
      </w:r>
      <w:r>
        <w:rPr>
          <w:sz w:val="22"/>
        </w:rPr>
        <w:t xml:space="preserve"> </w:t>
      </w:r>
    </w:p>
    <w:p w14:paraId="6EAF5662"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comenzile, obiectele, pictogramele și imaginile trebuie să fie ușor de identificat, ușor de utilizat și trebuie să aibă asociat un text alternativ care să indice funcția sau semnificația acestora;</w:t>
      </w:r>
      <w:r>
        <w:rPr>
          <w:sz w:val="22"/>
        </w:rPr>
        <w:t xml:space="preserve"> </w:t>
      </w:r>
    </w:p>
    <w:p w14:paraId="5791E3B0"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sunetele de avertizare trebuie să aibă alternative vizuale sau să emită vibrații;</w:t>
      </w:r>
      <w:r>
        <w:rPr>
          <w:sz w:val="22"/>
        </w:rPr>
        <w:t xml:space="preserve"> </w:t>
      </w:r>
    </w:p>
    <w:p w14:paraId="12D8BAF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procesul de accesare a serviciului trebuie să fie ușor și rapid;</w:t>
      </w:r>
    </w:p>
    <w:p w14:paraId="1F898261"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aplicația trebuie să fie compatibilă cu produsele de asistență, cum ar fi cititoarele de ecran, lupele și comenzile vocale.</w:t>
      </w:r>
    </w:p>
    <w:p w14:paraId="795B853F"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aplicația trebuie să fie compatibilă cu instrumentele de accesibilitate ale sistemului de operare.</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bCs/>
          <w:sz w:val="22"/>
          <w:szCs w:val="22"/>
          <w:rFonts w:cs="Arial"/>
        </w:rPr>
      </w:pPr>
      <w:r>
        <w:rPr>
          <w:sz w:val="22"/>
        </w:rPr>
        <w:t xml:space="preserve">Anexa 6b:</w:t>
      </w:r>
      <w:r>
        <w:rPr>
          <w:sz w:val="22"/>
        </w:rPr>
        <w:t xml:space="preserve"> </w:t>
      </w:r>
      <w:r>
        <w:rPr>
          <w:sz w:val="22"/>
        </w:rPr>
        <w:t xml:space="preserve">Termene pentru adaptarea serviciilor existente la condițiile stabilite</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5" w:name="_Ref505083170"/>
      <w:r>
        <w:rPr>
          <w:sz w:val="22"/>
        </w:rPr>
        <w:t xml:space="preserve">Compatibilitatea cu alte condiții impuse</w:t>
      </w:r>
      <w:bookmarkEnd w:id="5"/>
      <w:r>
        <w:rPr>
          <w:sz w:val="22"/>
        </w:rPr>
        <w:t xml:space="preserve"> </w:t>
      </w:r>
    </w:p>
    <w:p w14:paraId="1C074B90" w14:textId="77777777" w:rsidR="00E526B5" w:rsidRPr="000F0A63" w:rsidRDefault="00E526B5" w:rsidP="00E526B5">
      <w:pPr>
        <w:keepNext/>
        <w:keepLines/>
        <w:tabs>
          <w:tab w:val="left" w:pos="284"/>
        </w:tabs>
        <w:jc w:val="both"/>
        <w:rPr>
          <w:sz w:val="22"/>
          <w:szCs w:val="22"/>
          <w:rFonts w:cs="Arial"/>
        </w:rPr>
      </w:pPr>
      <w:r>
        <w:rPr>
          <w:sz w:val="22"/>
        </w:rPr>
        <w:t xml:space="preserve">Condițiile din prezenta anexă 6b nu aduc atingere obligației de a respecta, înainte de termenele indicate, condițiile de accesibilitate necesare în cazul modificării elementelor sau resurselor existente.</w:t>
      </w:r>
      <w:r>
        <w:rPr>
          <w:sz w:val="22"/>
        </w:rPr>
        <w:t xml:space="preserve">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6" w:name="_Ref505083210"/>
      <w:r>
        <w:rPr>
          <w:sz w:val="22"/>
        </w:rPr>
        <w:t xml:space="preserve">Sectorul public catalan, societățile de drept public și entitățile prestatoare de servicii publice din Catalonia</w:t>
      </w:r>
      <w:bookmarkEnd w:id="6"/>
    </w:p>
    <w:p w14:paraId="76077B47" w14:textId="77777777" w:rsidR="00E526B5" w:rsidRPr="000F0A63" w:rsidRDefault="00E526B5" w:rsidP="00E526B5">
      <w:pPr>
        <w:tabs>
          <w:tab w:val="left" w:pos="284"/>
        </w:tabs>
        <w:jc w:val="both"/>
        <w:rPr>
          <w:bCs/>
          <w:iCs/>
          <w:sz w:val="22"/>
          <w:szCs w:val="22"/>
          <w:rFonts w:cs="Arial"/>
        </w:rPr>
      </w:pPr>
      <w:r>
        <w:rPr>
          <w:sz w:val="22"/>
        </w:rPr>
        <w:t xml:space="preserve">Se stabilesc următoarele termene finale pentru ca site-urile și aplicațiile mobile ale sectorului public catalan, ale corporațiilor de drept public și ale entităților sau societăților care furnizează servicii publice prin concesiune sau pe bază de contract cu administrația publică să fie accesibile și să îndeplinească condițiile indicate la articolul 138:</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un an de la intrarea în vigoare a prezentului cod:</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sz w:val="22"/>
          <w:szCs w:val="22"/>
          <w:rFonts w:cs="Arial"/>
        </w:rPr>
      </w:pPr>
      <w:r>
        <w:rPr>
          <w:sz w:val="22"/>
        </w:rPr>
        <w:t xml:space="preserve">Site-urile sectorului public catalan și ale societăților de drept public.</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doi ani de la intrarea în vigoare a prezentului cod:</w:t>
      </w:r>
    </w:p>
    <w:p w14:paraId="04EB1B39" w14:textId="77777777" w:rsidR="00E526B5" w:rsidRPr="000F0A63" w:rsidRDefault="00E526B5" w:rsidP="000F4434">
      <w:pPr>
        <w:numPr>
          <w:ilvl w:val="0"/>
          <w:numId w:val="33"/>
        </w:numPr>
        <w:tabs>
          <w:tab w:val="left" w:pos="426"/>
        </w:tabs>
        <w:ind w:left="0" w:firstLine="0"/>
        <w:jc w:val="both"/>
        <w:rPr>
          <w:sz w:val="22"/>
          <w:szCs w:val="22"/>
          <w:rFonts w:cs="Arial"/>
        </w:rPr>
      </w:pPr>
      <w:r>
        <w:rPr>
          <w:sz w:val="22"/>
        </w:rPr>
        <w:t xml:space="preserve">aplicațiile pentru dispozitive mobile din sectorul public catalan și din societățile de drept public.</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bCs/>
          <w:sz w:val="22"/>
          <w:szCs w:val="22"/>
          <w:rFonts w:cs="Arial"/>
        </w:rPr>
      </w:pPr>
      <w:r>
        <w:rPr>
          <w:sz w:val="22"/>
        </w:rPr>
        <w:t xml:space="preserve">trei ani de la intrarea în vigoare a prezentului cod:</w:t>
      </w:r>
      <w:r>
        <w:rPr>
          <w:sz w:val="22"/>
        </w:rPr>
        <w:t xml:space="preserve"> </w:t>
      </w:r>
    </w:p>
    <w:p w14:paraId="2BC909CB" w14:textId="77777777" w:rsidR="00E526B5" w:rsidRPr="000F0A63" w:rsidRDefault="00E526B5" w:rsidP="000F4434">
      <w:pPr>
        <w:numPr>
          <w:ilvl w:val="0"/>
          <w:numId w:val="50"/>
        </w:numPr>
        <w:tabs>
          <w:tab w:val="left" w:pos="426"/>
        </w:tabs>
        <w:ind w:left="0" w:firstLine="0"/>
        <w:jc w:val="both"/>
        <w:rPr>
          <w:sz w:val="22"/>
          <w:szCs w:val="22"/>
          <w:rFonts w:cs="Arial"/>
        </w:rPr>
      </w:pPr>
      <w:r>
        <w:rPr>
          <w:sz w:val="22"/>
        </w:rPr>
        <w:t xml:space="preserve">Site-urile și aplicațiile pentru dispozitive mobile ale entităților sau societăților care furnizează servicii publice prin concesiune sau pe bază de contract cu administrația publică.</w:t>
      </w:r>
    </w:p>
    <w:p w14:paraId="5A897CB9" w14:textId="77777777" w:rsidR="00E526B5" w:rsidRPr="000F0A63" w:rsidRDefault="00E526B5" w:rsidP="00E526B5">
      <w:pPr>
        <w:tabs>
          <w:tab w:val="left" w:pos="284"/>
          <w:tab w:val="num" w:pos="426"/>
        </w:tabs>
        <w:jc w:val="both"/>
        <w:rPr>
          <w:sz w:val="22"/>
          <w:szCs w:val="22"/>
          <w:rFonts w:cs="Arial"/>
        </w:rPr>
      </w:pPr>
      <w:r>
        <w:rPr>
          <w:sz w:val="22"/>
        </w:rPr>
        <w:t xml:space="preserve">Termenele indicate sunt stabilite fără a aduce atingere respectării celor mai exigente termene care sunt impuse de caracteristicile serviciului în conformitate cu restul alineatelor din prezenta anexă sau de alte norme care îl reglementează.</w:t>
      </w:r>
      <w:r>
        <w:rPr>
          <w:sz w:val="22"/>
        </w:rPr>
        <w:t xml:space="preserve">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7" w:name="_Ref505083224"/>
      <w:r>
        <w:rPr>
          <w:sz w:val="22"/>
        </w:rPr>
        <w:t xml:space="preserve">Servicii legate de artele spectacolului, cinematografe și evenimente sportive</w:t>
      </w:r>
      <w:bookmarkEnd w:id="7"/>
    </w:p>
    <w:p w14:paraId="6E9E2B04" w14:textId="77777777" w:rsidR="00E526B5" w:rsidRPr="000F0A63" w:rsidRDefault="00E526B5" w:rsidP="00E526B5">
      <w:pPr>
        <w:tabs>
          <w:tab w:val="left" w:pos="284"/>
        </w:tabs>
        <w:jc w:val="both"/>
        <w:rPr>
          <w:bCs/>
          <w:sz w:val="22"/>
          <w:szCs w:val="22"/>
          <w:rFonts w:cs="Arial"/>
        </w:rPr>
      </w:pPr>
      <w:r>
        <w:rPr>
          <w:sz w:val="22"/>
        </w:rPr>
        <w:t xml:space="preserve">Se stabilesc următoarele termene finale pentru ca site-urile instituțiilor și canalele electronice de vânzare a biletelor să fie accesibile și să îndeplinească condițiile prevăzute la articolul 133:</w:t>
      </w:r>
    </w:p>
    <w:p w14:paraId="44E529E5"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doi ani de la intrarea în vigoare a prezentului cod:</w:t>
      </w:r>
    </w:p>
    <w:p w14:paraId="26851055"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site-urile și aplicațiile mobile ale unităților care au o capacitate egală sau mai mare de 2 000 de locuri în întreaga suprafață;</w:t>
      </w:r>
    </w:p>
    <w:p w14:paraId="59D0540F"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site-urile și aplicațiile mobile ale platformelor de vânzare online de bilete care gestionează mai multe unități cu o capacitate combinată egală sau mai mare de 2 000 de locuri.</w:t>
      </w:r>
    </w:p>
    <w:p w14:paraId="2835B2B8"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trei ani de la intrarea în vigoare a prezentului cod:</w:t>
      </w:r>
    </w:p>
    <w:p w14:paraId="2F160C92" w14:textId="77777777" w:rsidR="00E526B5" w:rsidRPr="000F0A63" w:rsidRDefault="00E526B5" w:rsidP="000F4434">
      <w:pPr>
        <w:numPr>
          <w:ilvl w:val="0"/>
          <w:numId w:val="36"/>
        </w:numPr>
        <w:tabs>
          <w:tab w:val="left" w:pos="567"/>
        </w:tabs>
        <w:ind w:left="0" w:firstLine="0"/>
        <w:jc w:val="both"/>
        <w:rPr>
          <w:sz w:val="22"/>
          <w:szCs w:val="22"/>
          <w:rFonts w:cs="Arial"/>
        </w:rPr>
      </w:pPr>
      <w:r>
        <w:rPr>
          <w:sz w:val="22"/>
        </w:rPr>
        <w:t xml:space="preserve">site-urile și aplicațiile mobile ale platformelor online de emitere a biletelor care gestionează mai mult de o unitate cu o capacitate combinată mai mică de 2 000 de locuri;</w:t>
      </w:r>
      <w:r>
        <w:rPr>
          <w:sz w:val="22"/>
        </w:rPr>
        <w:t xml:space="preserve"> </w:t>
      </w:r>
    </w:p>
    <w:p w14:paraId="7BECFAB4" w14:textId="77777777" w:rsidR="00E526B5" w:rsidRPr="000F0A63" w:rsidRDefault="00E526B5" w:rsidP="000F4434">
      <w:pPr>
        <w:keepNext/>
        <w:numPr>
          <w:ilvl w:val="0"/>
          <w:numId w:val="34"/>
        </w:numPr>
        <w:tabs>
          <w:tab w:val="left" w:pos="284"/>
        </w:tabs>
        <w:ind w:left="0" w:firstLine="0"/>
        <w:jc w:val="both"/>
        <w:rPr>
          <w:sz w:val="22"/>
          <w:szCs w:val="22"/>
          <w:rFonts w:cs="Arial"/>
        </w:rPr>
      </w:pPr>
      <w:r>
        <w:rPr>
          <w:sz w:val="22"/>
        </w:rPr>
        <w:t xml:space="preserve">ani ani de la intrarea în vigoare a prezentului cod:</w:t>
      </w:r>
    </w:p>
    <w:p w14:paraId="4D5AB809" w14:textId="77777777" w:rsidR="00E526B5" w:rsidRPr="000F0A63" w:rsidRDefault="00E526B5" w:rsidP="000F4434">
      <w:pPr>
        <w:numPr>
          <w:ilvl w:val="0"/>
          <w:numId w:val="35"/>
        </w:numPr>
        <w:tabs>
          <w:tab w:val="left" w:pos="567"/>
        </w:tabs>
        <w:ind w:left="0" w:firstLine="0"/>
        <w:jc w:val="both"/>
        <w:rPr>
          <w:sz w:val="22"/>
          <w:szCs w:val="22"/>
          <w:rFonts w:cs="Arial"/>
        </w:rPr>
      </w:pPr>
      <w:r>
        <w:rPr>
          <w:sz w:val="22"/>
        </w:rPr>
        <w:t xml:space="preserve">site-urile web și aplicațiile mobile ale unităților cu o capacitate mai mică de 2 000 de locuri în întreaga zonă.</w:t>
      </w:r>
      <w:r>
        <w:rPr>
          <w:sz w:val="22"/>
        </w:rPr>
        <w:t xml:space="preserv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8" w:name="_Ref505083249"/>
      <w:r>
        <w:rPr>
          <w:sz w:val="22"/>
        </w:rPr>
        <w:t xml:space="preserve">Servicii comerciale</w:t>
      </w:r>
      <w:bookmarkEnd w:id="8"/>
    </w:p>
    <w:p w14:paraId="3609046E" w14:textId="77777777" w:rsidR="00E526B5" w:rsidRPr="000F0A63" w:rsidRDefault="00E526B5" w:rsidP="00E526B5">
      <w:pPr>
        <w:keepLines/>
        <w:tabs>
          <w:tab w:val="left" w:pos="284"/>
        </w:tabs>
        <w:jc w:val="both"/>
        <w:rPr>
          <w:bCs/>
          <w:sz w:val="22"/>
          <w:szCs w:val="22"/>
          <w:rFonts w:cs="Arial"/>
        </w:rPr>
      </w:pPr>
      <w:r>
        <w:rPr>
          <w:sz w:val="22"/>
        </w:rPr>
        <w:t xml:space="preserve">Următoarele termene finale sunt stabilite pentru ca site-urile și aplicațiile mobile care oferă posibilitatea de a face cumpărături online și cele ale lanțurilor de supermarketuri, precum și ale societăților cu unități de alimentație publică sau mixte, să fie accesibile și să îndeplinească condițiile prevăzute la articolul 126:</w:t>
      </w:r>
    </w:p>
    <w:p w14:paraId="12FBBAE4"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doi ani de la intrarea în vigoare a prezentului cod:</w:t>
      </w:r>
    </w:p>
    <w:p w14:paraId="5E3D88E1" w14:textId="77777777" w:rsidR="00E526B5" w:rsidRPr="000F0A63" w:rsidRDefault="00E526B5" w:rsidP="000F4434">
      <w:pPr>
        <w:numPr>
          <w:ilvl w:val="1"/>
          <w:numId w:val="34"/>
        </w:numPr>
        <w:tabs>
          <w:tab w:val="clear" w:pos="1440"/>
          <w:tab w:val="num" w:pos="567"/>
        </w:tabs>
        <w:ind w:left="0" w:firstLine="0"/>
        <w:jc w:val="both"/>
        <w:rPr>
          <w:bCs/>
          <w:iCs/>
          <w:sz w:val="22"/>
          <w:szCs w:val="22"/>
          <w:rFonts w:cs="Arial"/>
        </w:rPr>
      </w:pPr>
      <w:r>
        <w:rPr>
          <w:sz w:val="22"/>
        </w:rPr>
        <w:t xml:space="preserve">site-urile și aplicațiile, pentru dispozitive mobile, ale lanțurilor de supermarketuri care au 10 sau mai multe unități și spații cu o suprafață utilă de peste 500 m² pentru uz public.</w:t>
      </w:r>
    </w:p>
    <w:p w14:paraId="79B90796"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trei ani de la intrarea în vigoare a prezentului cod:</w:t>
      </w:r>
    </w:p>
    <w:p w14:paraId="4A64FC41" w14:textId="77777777" w:rsidR="00E526B5" w:rsidRPr="000F0A63" w:rsidRDefault="00E526B5" w:rsidP="000F4434">
      <w:pPr>
        <w:numPr>
          <w:ilvl w:val="0"/>
          <w:numId w:val="37"/>
        </w:numPr>
        <w:tabs>
          <w:tab w:val="left" w:pos="567"/>
        </w:tabs>
        <w:ind w:left="0" w:firstLine="0"/>
        <w:jc w:val="both"/>
        <w:rPr>
          <w:bCs/>
          <w:iCs/>
          <w:sz w:val="22"/>
          <w:szCs w:val="22"/>
          <w:rFonts w:cs="Arial"/>
        </w:rPr>
      </w:pPr>
      <w:r>
        <w:rPr>
          <w:sz w:val="22"/>
        </w:rPr>
        <w:t xml:space="preserve">site-urile și aplicațiile, pentru dispozitive mobile, ale lanțurilor de supermarketuri care au între 5 și 9 unități și spații cu o suprafață utilă de peste 500 m² pentru uz public.</w:t>
      </w:r>
    </w:p>
    <w:p w14:paraId="1F2E1FB5" w14:textId="77777777" w:rsidR="00E526B5" w:rsidRPr="000F0A63" w:rsidRDefault="00E526B5" w:rsidP="000F4434">
      <w:pPr>
        <w:numPr>
          <w:ilvl w:val="0"/>
          <w:numId w:val="32"/>
        </w:numPr>
        <w:tabs>
          <w:tab w:val="left" w:pos="284"/>
        </w:tabs>
        <w:ind w:left="0" w:firstLine="0"/>
        <w:jc w:val="both"/>
        <w:rPr>
          <w:sz w:val="22"/>
          <w:szCs w:val="22"/>
          <w:rFonts w:cs="Arial"/>
        </w:rPr>
      </w:pPr>
      <w:r>
        <w:rPr>
          <w:sz w:val="22"/>
        </w:rPr>
        <w:t xml:space="preserve">ani ani de la intrarea în vigoare a prezentului cod:</w:t>
      </w:r>
    </w:p>
    <w:p w14:paraId="47833147" w14:textId="77777777" w:rsidR="00E526B5" w:rsidRPr="000F0A63" w:rsidRDefault="00E526B5" w:rsidP="000F4434">
      <w:pPr>
        <w:numPr>
          <w:ilvl w:val="0"/>
          <w:numId w:val="38"/>
        </w:numPr>
        <w:tabs>
          <w:tab w:val="left" w:pos="567"/>
        </w:tabs>
        <w:ind w:left="0" w:firstLine="0"/>
        <w:jc w:val="both"/>
        <w:rPr>
          <w:bCs/>
          <w:iCs/>
          <w:sz w:val="22"/>
          <w:szCs w:val="22"/>
          <w:rFonts w:cs="Arial"/>
        </w:rPr>
      </w:pPr>
      <w:r>
        <w:rPr>
          <w:sz w:val="22"/>
        </w:rPr>
        <w:t xml:space="preserve">site-urile și aplicațiile, pentru dispozitive mobile, ale lanțurilor de supermarketuri și ale unităților de alimentație publică sau mixte care au spații cu o suprafață utilă mai mare de 500 m² pentru uz public.</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9" w:name="_Ref505083279"/>
      <w:r>
        <w:rPr>
          <w:sz w:val="22"/>
        </w:rPr>
        <w:t xml:space="preserve">Servicii financiare și de asigurări</w:t>
      </w:r>
      <w:bookmarkEnd w:id="9"/>
    </w:p>
    <w:p w14:paraId="6258DBF3" w14:textId="77777777" w:rsidR="00E526B5" w:rsidRPr="000F0A63" w:rsidRDefault="00E526B5" w:rsidP="00E526B5">
      <w:pPr>
        <w:keepLines/>
        <w:tabs>
          <w:tab w:val="left" w:pos="284"/>
        </w:tabs>
        <w:jc w:val="both"/>
        <w:rPr>
          <w:sz w:val="22"/>
          <w:szCs w:val="22"/>
          <w:rFonts w:cs="Arial"/>
        </w:rPr>
      </w:pPr>
      <w:r>
        <w:rPr>
          <w:sz w:val="22"/>
        </w:rPr>
        <w:t xml:space="preserve">Următoarele termene finale sunt stabilite pentru ca site-urile și aplicațiile, pentru dispozitive mobile, care permit efectuarea de operațiuni bancare, contractarea, consultarea consiliilor medicale sau orice alt tip de gestionare sau consultare cu privire la produsele contractate cu entitatea să fie accesibile și să îndeplinească condițiile indicate la articolul 127:</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un an de la intrarea în vigoare a prezentului cod:</w:t>
      </w:r>
    </w:p>
    <w:p w14:paraId="05594252" w14:textId="77777777" w:rsidR="00E526B5" w:rsidRPr="000F0A63" w:rsidRDefault="00E526B5" w:rsidP="000F4434">
      <w:pPr>
        <w:numPr>
          <w:ilvl w:val="0"/>
          <w:numId w:val="40"/>
        </w:numPr>
        <w:tabs>
          <w:tab w:val="clear" w:pos="1440"/>
          <w:tab w:val="num" w:pos="567"/>
        </w:tabs>
        <w:ind w:left="0" w:firstLine="0"/>
        <w:jc w:val="both"/>
        <w:rPr>
          <w:sz w:val="22"/>
          <w:szCs w:val="22"/>
          <w:rFonts w:cs="Arial"/>
        </w:rPr>
      </w:pPr>
      <w:r>
        <w:rPr>
          <w:sz w:val="22"/>
        </w:rPr>
        <w:t xml:space="preserve">Site-urile</w:t>
      </w:r>
      <w:r>
        <w:rPr>
          <w:sz w:val="22"/>
        </w:rPr>
        <w:t xml:space="preserv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doi ani de la intrarea în vigoare a prezentului cod:</w:t>
      </w:r>
    </w:p>
    <w:p w14:paraId="7D3D57C1" w14:textId="77777777" w:rsidR="00E526B5" w:rsidRPr="000F0A63" w:rsidRDefault="00E526B5" w:rsidP="000F4434">
      <w:pPr>
        <w:numPr>
          <w:ilvl w:val="0"/>
          <w:numId w:val="41"/>
        </w:numPr>
        <w:tabs>
          <w:tab w:val="left" w:pos="567"/>
        </w:tabs>
        <w:ind w:left="0" w:firstLine="0"/>
        <w:jc w:val="both"/>
        <w:rPr>
          <w:sz w:val="22"/>
          <w:szCs w:val="22"/>
          <w:rFonts w:cs="Arial"/>
        </w:rPr>
      </w:pPr>
      <w:r>
        <w:rPr>
          <w:sz w:val="22"/>
        </w:rPr>
        <w:t xml:space="preserve">aplicații pentru dispozitive mobile;</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0" w:name="_Ref505083294"/>
      <w:r>
        <w:rPr>
          <w:sz w:val="22"/>
        </w:rPr>
        <w:t xml:space="preserve">servicii legate de transportul privat</w:t>
      </w:r>
      <w:bookmarkEnd w:id="10"/>
    </w:p>
    <w:p w14:paraId="0C12C9D0" w14:textId="77777777" w:rsidR="00E526B5" w:rsidRPr="000F0A63" w:rsidRDefault="00E526B5" w:rsidP="00E526B5">
      <w:pPr>
        <w:tabs>
          <w:tab w:val="left" w:pos="284"/>
        </w:tabs>
        <w:jc w:val="both"/>
        <w:rPr>
          <w:bCs/>
          <w:sz w:val="22"/>
          <w:szCs w:val="22"/>
          <w:rFonts w:cs="Arial"/>
        </w:rPr>
      </w:pPr>
      <w:r>
        <w:rPr>
          <w:sz w:val="22"/>
        </w:rPr>
        <w:t xml:space="preserve">Următoarele termene finale sunt stabilite astfel încât întreprinderile care oferă un serviciu de închiriere de mașini autonome, cu o flotă de peste 100 de vehicule, și cele care oferă un serviciu de închiriere de mașini cu șofer, cu o flotă de peste 50 de vehicule, să poată respecta condițiile prevăzute la articolul 128:</w:t>
      </w:r>
      <w:r>
        <w:rPr>
          <w:sz w:val="22"/>
        </w:rPr>
        <w:t xml:space="preserve"> </w:t>
      </w:r>
    </w:p>
    <w:p w14:paraId="47D4E7EF"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un an de la intrarea în vigoare a prezentului cod:</w:t>
      </w:r>
      <w:r>
        <w:rPr>
          <w:sz w:val="22"/>
        </w:rPr>
        <w:t xml:space="preserve"> </w:t>
      </w:r>
    </w:p>
    <w:p w14:paraId="4DD29E94" w14:textId="37067D80" w:rsidR="00E526B5" w:rsidRPr="000F0A63" w:rsidRDefault="00E526B5" w:rsidP="00E526B5">
      <w:pPr>
        <w:widowControl w:val="0"/>
        <w:tabs>
          <w:tab w:val="left" w:pos="426"/>
        </w:tabs>
        <w:jc w:val="both"/>
        <w:rPr>
          <w:sz w:val="22"/>
          <w:szCs w:val="22"/>
          <w:rFonts w:cs="Arial"/>
        </w:rPr>
      </w:pPr>
      <w:r>
        <w:rPr>
          <w:sz w:val="22"/>
        </w:rPr>
        <w:t xml:space="preserve">a1.</w:t>
      </w:r>
      <w:r>
        <w:rPr>
          <w:sz w:val="22"/>
        </w:rPr>
        <w:tab/>
      </w:r>
      <w:r>
        <w:rPr>
          <w:sz w:val="22"/>
        </w:rPr>
        <w:t xml:space="preserve">Acestea trebuie să dispună de o ofertă de vehicule capabile să transporte persoane care nu sunt șoferi în scaune cu rotile care să fie egală sau mai mare de 1 % din parcul auto pe care îl gestionează.</w:t>
      </w:r>
      <w:r>
        <w:rPr>
          <w:sz w:val="22"/>
        </w:rPr>
        <w:t xml:space="preserve"> </w:t>
      </w:r>
    </w:p>
    <w:p w14:paraId="241A7D0B" w14:textId="07973EFE" w:rsidR="00E526B5" w:rsidRPr="000F0A63" w:rsidRDefault="00E526B5" w:rsidP="00B670F2">
      <w:pPr>
        <w:widowControl w:val="0"/>
        <w:tabs>
          <w:tab w:val="left" w:pos="426"/>
        </w:tabs>
        <w:jc w:val="both"/>
        <w:rPr>
          <w:sz w:val="22"/>
          <w:szCs w:val="22"/>
          <w:rFonts w:cs="Arial"/>
        </w:rPr>
      </w:pPr>
      <w:r>
        <w:rPr>
          <w:sz w:val="22"/>
        </w:rPr>
        <w:t xml:space="preserve">a2.</w:t>
      </w:r>
      <w:r>
        <w:rPr>
          <w:sz w:val="22"/>
        </w:rPr>
        <w:tab/>
      </w:r>
      <w:r>
        <w:rPr>
          <w:sz w:val="22"/>
        </w:rPr>
        <w:t xml:space="preserve">Trebuie să dispună de o ofertă de vehicule adaptate, destinate conducătorilor auto cu mobilitate redusă, egală sau mai mare de 0,5 % din parcul auto pe care îl gestionează.</w:t>
      </w:r>
      <w:r>
        <w:rPr>
          <w:sz w:val="22"/>
        </w:rPr>
        <w:t xml:space="preserve"> </w:t>
      </w:r>
    </w:p>
    <w:p w14:paraId="273BCA57" w14:textId="19D21C18" w:rsidR="00E526B5" w:rsidRPr="000F0A63" w:rsidRDefault="00E526B5" w:rsidP="00B670F2">
      <w:pPr>
        <w:widowControl w:val="0"/>
        <w:tabs>
          <w:tab w:val="left" w:pos="426"/>
        </w:tabs>
        <w:jc w:val="both"/>
        <w:rPr>
          <w:sz w:val="22"/>
          <w:szCs w:val="22"/>
          <w:rFonts w:cs="Arial"/>
        </w:rPr>
      </w:pPr>
      <w:r>
        <w:rPr>
          <w:sz w:val="22"/>
        </w:rPr>
        <w:t xml:space="preserve">a3.</w:t>
      </w:r>
      <w:r>
        <w:rPr>
          <w:sz w:val="22"/>
        </w:rPr>
        <w:tab/>
      </w:r>
      <w:r>
        <w:rPr>
          <w:sz w:val="22"/>
        </w:rPr>
        <w:t xml:space="preserve">Prestarea de servicii indicată la punctele anterioare poate fi asigurată prin intermediul vehiculelor proprii sau prin acorduri cu alți operatori care garantează o disponibilitate suficientă.</w:t>
      </w:r>
    </w:p>
    <w:p w14:paraId="3BCE400D"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trei ani de la intrarea în vigoare a prezentului cod:</w:t>
      </w:r>
      <w:r>
        <w:rPr>
          <w:sz w:val="22"/>
        </w:rPr>
        <w:t xml:space="preserve"> </w:t>
      </w:r>
    </w:p>
    <w:p w14:paraId="727C0165" w14:textId="23D3973D" w:rsidR="00E526B5" w:rsidRPr="000F0A63" w:rsidRDefault="00E526B5" w:rsidP="00B670F2">
      <w:pPr>
        <w:widowControl w:val="0"/>
        <w:tabs>
          <w:tab w:val="left" w:pos="426"/>
        </w:tabs>
        <w:jc w:val="both"/>
        <w:rPr>
          <w:sz w:val="22"/>
          <w:szCs w:val="22"/>
          <w:rFonts w:cs="Arial"/>
        </w:rPr>
      </w:pPr>
      <w:r>
        <w:rPr>
          <w:sz w:val="22"/>
        </w:rPr>
        <w:t xml:space="preserve">b1.</w:t>
      </w:r>
      <w:r>
        <w:rPr>
          <w:sz w:val="22"/>
        </w:rPr>
        <w:tab/>
      </w:r>
      <w:r>
        <w:rPr>
          <w:sz w:val="22"/>
        </w:rPr>
        <w:t xml:space="preserve">Cel puțin 0,5 % din vehiculele din flota proprie trebuie să aibă capacitatea de a transporta persoane care nu sunt șoferi în scaune cu rotile.</w:t>
      </w:r>
      <w:r>
        <w:rPr>
          <w:sz w:val="22"/>
        </w:rPr>
        <w:t xml:space="preserve"> </w:t>
      </w:r>
    </w:p>
    <w:p w14:paraId="1A4E7542" w14:textId="77777777" w:rsidR="00E526B5" w:rsidRPr="000F0A63" w:rsidRDefault="00E526B5" w:rsidP="000F4434">
      <w:pPr>
        <w:keepNext/>
        <w:numPr>
          <w:ilvl w:val="0"/>
          <w:numId w:val="31"/>
        </w:numPr>
        <w:tabs>
          <w:tab w:val="left" w:pos="284"/>
        </w:tabs>
        <w:ind w:left="0" w:firstLine="0"/>
        <w:jc w:val="both"/>
        <w:rPr>
          <w:sz w:val="22"/>
          <w:szCs w:val="22"/>
          <w:rFonts w:cs="Arial"/>
        </w:rPr>
      </w:pPr>
      <w:r>
        <w:rPr>
          <w:sz w:val="22"/>
        </w:rPr>
        <w:t xml:space="preserve">6 ani de la intrarea în vigoare a prezentului cod:</w:t>
      </w:r>
      <w:r>
        <w:rPr>
          <w:sz w:val="22"/>
        </w:rPr>
        <w:t xml:space="preserve"> </w:t>
      </w:r>
    </w:p>
    <w:p w14:paraId="4EF5184D" w14:textId="39EC3E47" w:rsidR="00E526B5" w:rsidRPr="000F0A63" w:rsidRDefault="00E526B5" w:rsidP="00B670F2">
      <w:pPr>
        <w:widowControl w:val="0"/>
        <w:tabs>
          <w:tab w:val="left" w:pos="426"/>
        </w:tabs>
        <w:jc w:val="both"/>
        <w:rPr>
          <w:sz w:val="22"/>
          <w:szCs w:val="22"/>
          <w:rFonts w:cs="Arial"/>
        </w:rPr>
      </w:pPr>
      <w:r>
        <w:rPr>
          <w:sz w:val="22"/>
        </w:rPr>
        <w:t xml:space="preserve">c1.</w:t>
      </w:r>
      <w:r>
        <w:rPr>
          <w:sz w:val="22"/>
        </w:rPr>
        <w:tab/>
      </w:r>
      <w:r>
        <w:rPr>
          <w:sz w:val="22"/>
        </w:rPr>
        <w:t xml:space="preserve">Cel puțin 2 % din vehiculele din flota proprie trebuie să aibă capacitatea de a transporta persoane care nu sunt șoferi în scaune cu rotile.</w:t>
      </w:r>
    </w:p>
    <w:p w14:paraId="2BB22C13" w14:textId="169DA298" w:rsidR="00E526B5" w:rsidRPr="000F0A63" w:rsidRDefault="00E526B5" w:rsidP="00B670F2">
      <w:pPr>
        <w:widowControl w:val="0"/>
        <w:tabs>
          <w:tab w:val="left" w:pos="426"/>
        </w:tabs>
        <w:jc w:val="both"/>
        <w:rPr>
          <w:sz w:val="22"/>
          <w:szCs w:val="22"/>
          <w:rFonts w:cs="Arial"/>
        </w:rPr>
      </w:pPr>
      <w:r>
        <w:rPr>
          <w:sz w:val="22"/>
        </w:rPr>
        <w:t xml:space="preserve">c2.</w:t>
      </w:r>
      <w:r>
        <w:rPr>
          <w:sz w:val="22"/>
        </w:rPr>
        <w:tab/>
      </w:r>
      <w:r>
        <w:rPr>
          <w:sz w:val="22"/>
        </w:rPr>
        <w:t xml:space="preserve">Cel puțin 0,5 % din vehiculele din flota proprie trebuie să fie adaptate pentru șoferii cu mobilitate redusă.</w:t>
      </w:r>
      <w:r>
        <w:rPr>
          <w:sz w:val="22"/>
        </w:rPr>
        <w:t xml:space="preserv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1" w:name="_Ref505095784"/>
      <w:r>
        <w:rPr>
          <w:sz w:val="22"/>
        </w:rPr>
        <w:t xml:space="preserve">Servicii legate de unitățile de cazare turistică</w:t>
      </w:r>
      <w:bookmarkEnd w:id="11"/>
      <w:r>
        <w:rPr>
          <w:sz w:val="22"/>
        </w:rPr>
        <w:t xml:space="preserve"> </w:t>
      </w:r>
    </w:p>
    <w:p w14:paraId="4E8242D0" w14:textId="77777777" w:rsidR="00E526B5" w:rsidRPr="000F0A63" w:rsidRDefault="00E526B5" w:rsidP="00E526B5">
      <w:pPr>
        <w:tabs>
          <w:tab w:val="left" w:pos="284"/>
        </w:tabs>
        <w:jc w:val="both"/>
        <w:rPr>
          <w:bCs/>
          <w:sz w:val="22"/>
          <w:szCs w:val="22"/>
          <w:rFonts w:cs="Arial"/>
        </w:rPr>
      </w:pPr>
      <w:r>
        <w:rPr>
          <w:sz w:val="22"/>
        </w:rPr>
        <w:t xml:space="preserve">Următoarele termene finale sunt stabilite pentru ca site-urile și aplicațiile mobile ale lanțurilor hoteliere și ale unităților cu o capacitate mai mare de 100 de camere, care permit rezervarea de unități de cazare și servicii online, să fie accesibile și să îndeplinească condițiile indicate la articolul 130:</w:t>
      </w:r>
    </w:p>
    <w:p w14:paraId="764A0265"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doi ani de la intrarea în vigoare a prezentului cod:</w:t>
      </w:r>
    </w:p>
    <w:p w14:paraId="104ADEEC" w14:textId="77777777" w:rsidR="00E526B5" w:rsidRPr="000F0A63" w:rsidRDefault="00E526B5" w:rsidP="000F4434">
      <w:pPr>
        <w:numPr>
          <w:ilvl w:val="0"/>
          <w:numId w:val="43"/>
        </w:numPr>
        <w:tabs>
          <w:tab w:val="clear" w:pos="1440"/>
          <w:tab w:val="num" w:pos="567"/>
        </w:tabs>
        <w:ind w:left="0" w:firstLine="0"/>
        <w:jc w:val="both"/>
        <w:rPr>
          <w:bCs/>
          <w:iCs/>
          <w:sz w:val="22"/>
          <w:szCs w:val="22"/>
          <w:rFonts w:cs="Arial"/>
        </w:rPr>
      </w:pPr>
      <w:r>
        <w:rPr>
          <w:sz w:val="22"/>
        </w:rPr>
        <w:t xml:space="preserve">site-urile și aplicațiile mobile ale lanțurilor hoteliere care au cinci sau mai multe unități și o ofertă comună de peste 500 de camere.</w:t>
      </w:r>
    </w:p>
    <w:p w14:paraId="2356AB86"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trei ani de la intrarea în vigoare a prezentului cod:</w:t>
      </w:r>
    </w:p>
    <w:p w14:paraId="4EFEF877"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site-urile și aplicațiile mobile ale lanțurilor hoteliere care au până la patru unități și o ofertă comună de peste 500 de camere;</w:t>
      </w:r>
    </w:p>
    <w:p w14:paraId="268EBD55"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site-urile și aplicațiile mobile ale unităților care au 500 sau mai multe camere.</w:t>
      </w:r>
    </w:p>
    <w:p w14:paraId="4D022006" w14:textId="77777777" w:rsidR="00E526B5" w:rsidRPr="000F0A63" w:rsidRDefault="00E526B5" w:rsidP="000F4434">
      <w:pPr>
        <w:numPr>
          <w:ilvl w:val="0"/>
          <w:numId w:val="42"/>
        </w:numPr>
        <w:tabs>
          <w:tab w:val="left" w:pos="284"/>
        </w:tabs>
        <w:ind w:left="0" w:firstLine="0"/>
        <w:jc w:val="both"/>
        <w:rPr>
          <w:sz w:val="22"/>
          <w:szCs w:val="22"/>
          <w:rFonts w:cs="Arial"/>
        </w:rPr>
      </w:pPr>
      <w:r>
        <w:rPr>
          <w:sz w:val="22"/>
        </w:rPr>
        <w:t xml:space="preserve">ani ani de la intrarea în vigoare a prezentului cod:</w:t>
      </w:r>
    </w:p>
    <w:p w14:paraId="65935E38" w14:textId="77777777" w:rsidR="00E526B5" w:rsidRPr="000F0A63" w:rsidRDefault="00E526B5" w:rsidP="000F4434">
      <w:pPr>
        <w:numPr>
          <w:ilvl w:val="0"/>
          <w:numId w:val="45"/>
        </w:numPr>
        <w:tabs>
          <w:tab w:val="left" w:pos="567"/>
        </w:tabs>
        <w:ind w:left="0" w:firstLine="0"/>
        <w:jc w:val="both"/>
        <w:rPr>
          <w:bCs/>
          <w:iCs/>
          <w:sz w:val="22"/>
          <w:szCs w:val="22"/>
          <w:rFonts w:cs="Arial"/>
        </w:rPr>
      </w:pPr>
      <w:r>
        <w:rPr>
          <w:sz w:val="22"/>
        </w:rPr>
        <w:t xml:space="preserve">site-urile și aplicațiile mobile ale lanțurilor hoteliere care au o ofertă comună între 100 și 500 de camere;</w:t>
      </w:r>
    </w:p>
    <w:p w14:paraId="61927497" w14:textId="77777777" w:rsidR="00E526B5" w:rsidRPr="000F0A63" w:rsidRDefault="00E526B5" w:rsidP="000F4434">
      <w:pPr>
        <w:numPr>
          <w:ilvl w:val="0"/>
          <w:numId w:val="45"/>
        </w:numPr>
        <w:tabs>
          <w:tab w:val="left" w:pos="284"/>
          <w:tab w:val="left" w:pos="567"/>
        </w:tabs>
        <w:ind w:left="0" w:firstLine="0"/>
        <w:jc w:val="both"/>
        <w:rPr>
          <w:bCs/>
          <w:iCs/>
          <w:sz w:val="22"/>
          <w:szCs w:val="22"/>
          <w:rFonts w:cs="Arial"/>
        </w:rPr>
      </w:pPr>
      <w:r>
        <w:rPr>
          <w:sz w:val="22"/>
        </w:rPr>
        <w:t xml:space="preserve">site-urile și aplicațiile pentru dispozitive mobile ale unităților care au între 50 și 500 de camere.</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12" w:name="_Ref63848315"/>
      <w:r>
        <w:rPr>
          <w:sz w:val="22"/>
        </w:rPr>
        <w:t xml:space="preserve">Servicii educaționale</w:t>
      </w:r>
      <w:bookmarkEnd w:id="12"/>
    </w:p>
    <w:p w14:paraId="355384ED" w14:textId="77777777" w:rsidR="00E526B5" w:rsidRPr="000F0A63" w:rsidRDefault="00E526B5" w:rsidP="00E526B5">
      <w:pPr>
        <w:tabs>
          <w:tab w:val="left" w:pos="284"/>
        </w:tabs>
        <w:jc w:val="both"/>
        <w:rPr>
          <w:bCs/>
          <w:sz w:val="22"/>
          <w:szCs w:val="22"/>
          <w:rFonts w:cs="Arial"/>
        </w:rPr>
      </w:pPr>
      <w:r>
        <w:rPr>
          <w:sz w:val="22"/>
        </w:rPr>
        <w:t xml:space="preserve">Următoarele termene finale sunt stabilite astfel încât site-urile și aplicațiile mobile ale unităților de învățământ care oferă educație formală să poată fi accesibile și să îndeplinească condițiile prevăzute la articolul 135:</w:t>
      </w:r>
    </w:p>
    <w:p w14:paraId="601F3FE1"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doi ani de la intrarea în vigoare a prezentului cod:</w:t>
      </w:r>
    </w:p>
    <w:p w14:paraId="29E27507" w14:textId="77777777" w:rsidR="00E526B5" w:rsidRPr="000F0A63" w:rsidRDefault="00E526B5" w:rsidP="000F4434">
      <w:pPr>
        <w:numPr>
          <w:ilvl w:val="0"/>
          <w:numId w:val="47"/>
        </w:numPr>
        <w:tabs>
          <w:tab w:val="clear" w:pos="1440"/>
          <w:tab w:val="num" w:pos="567"/>
        </w:tabs>
        <w:ind w:left="0" w:firstLine="0"/>
        <w:jc w:val="both"/>
        <w:rPr>
          <w:bCs/>
          <w:iCs/>
          <w:sz w:val="22"/>
          <w:szCs w:val="22"/>
          <w:rFonts w:cs="Arial"/>
        </w:rPr>
      </w:pPr>
      <w:r>
        <w:rPr>
          <w:sz w:val="22"/>
        </w:rPr>
        <w:t xml:space="preserve">pagini web și aplicații pentru dispozitive mobile care permit căutarea dosarelor academice, gestionarea facturilor sau alte procese online.</w:t>
      </w:r>
    </w:p>
    <w:p w14:paraId="6FB062A9"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trei ani de la intrarea în vigoare a prezentului cod:</w:t>
      </w:r>
    </w:p>
    <w:p w14:paraId="5CC5D46B" w14:textId="77777777" w:rsidR="00E526B5" w:rsidRPr="000F0A63" w:rsidRDefault="00E526B5" w:rsidP="000F4434">
      <w:pPr>
        <w:numPr>
          <w:ilvl w:val="0"/>
          <w:numId w:val="48"/>
        </w:numPr>
        <w:tabs>
          <w:tab w:val="clear" w:pos="1440"/>
          <w:tab w:val="num" w:pos="567"/>
        </w:tabs>
        <w:ind w:left="0" w:firstLine="0"/>
        <w:jc w:val="both"/>
        <w:rPr>
          <w:bCs/>
          <w:sz w:val="22"/>
          <w:szCs w:val="22"/>
          <w:rFonts w:cs="Arial"/>
        </w:rPr>
      </w:pPr>
      <w:r>
        <w:rPr>
          <w:sz w:val="22"/>
        </w:rPr>
        <w:t xml:space="preserve">pagini web și aplicații pentru dispozitive mobile care oferă informații despre școală, facilități și oferte educaționale.</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r>
        <w:rPr>
          <w:sz w:val="22"/>
        </w:rPr>
        <w:t xml:space="preserve">Servicii de sănătate</w:t>
      </w:r>
    </w:p>
    <w:p w14:paraId="62E28D59" w14:textId="77777777" w:rsidR="00E526B5" w:rsidRPr="000F0A63" w:rsidRDefault="00E526B5" w:rsidP="00E526B5">
      <w:pPr>
        <w:tabs>
          <w:tab w:val="left" w:pos="284"/>
        </w:tabs>
        <w:jc w:val="both"/>
        <w:rPr>
          <w:bCs/>
          <w:sz w:val="22"/>
          <w:szCs w:val="22"/>
          <w:rFonts w:cs="Arial"/>
        </w:rPr>
      </w:pPr>
      <w:r>
        <w:rPr>
          <w:sz w:val="22"/>
        </w:rPr>
        <w:t xml:space="preserve">Centrele de sănătate cu un număr de paturi egal sau mai mare de 50 trebuie să respecte următoarele termene și condiții:</w:t>
      </w:r>
      <w:r>
        <w:rPr>
          <w:sz w:val="22"/>
        </w:rPr>
        <w:t xml:space="preserve"> </w:t>
      </w:r>
    </w:p>
    <w:p w14:paraId="28557BD4" w14:textId="77777777" w:rsidR="00E526B5" w:rsidRPr="000F0A63" w:rsidRDefault="00E526B5" w:rsidP="000F4434">
      <w:pPr>
        <w:numPr>
          <w:ilvl w:val="0"/>
          <w:numId w:val="49"/>
        </w:numPr>
        <w:tabs>
          <w:tab w:val="left" w:pos="284"/>
        </w:tabs>
        <w:ind w:left="0" w:firstLine="0"/>
        <w:jc w:val="both"/>
        <w:rPr>
          <w:bCs/>
          <w:iCs/>
          <w:sz w:val="22"/>
          <w:szCs w:val="22"/>
          <w:rFonts w:cs="Arial"/>
        </w:rPr>
      </w:pPr>
      <w:r>
        <w:rPr>
          <w:sz w:val="22"/>
        </w:rPr>
        <w:t xml:space="preserve">trei ani de la intrarea în vigoare a prezentului cod:</w:t>
      </w:r>
    </w:p>
    <w:p w14:paraId="727C4E74" w14:textId="77777777" w:rsidR="00E526B5" w:rsidRPr="000F0A63" w:rsidRDefault="00E526B5" w:rsidP="00E526B5">
      <w:pPr>
        <w:tabs>
          <w:tab w:val="left" w:pos="284"/>
        </w:tabs>
        <w:jc w:val="both"/>
        <w:rPr>
          <w:sz w:val="22"/>
          <w:szCs w:val="22"/>
          <w:rFonts w:cs="Arial"/>
        </w:rPr>
      </w:pPr>
      <w:r>
        <w:rPr>
          <w:sz w:val="22"/>
        </w:rPr>
        <w:t xml:space="preserve">să dispună de infrastructură, dispozitive mobile și protocoale pentru deservirea persoanelor surde prin intermediul limbajului catalan al semnelor prin intermediul tehnologiei de interpretare la distanță, cu o capacitate de cel puțin 2 % din paturi.</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