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Se propune Consiliului de Miniștri aprobarea următorului proiect de dispoziție:</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Proiect de decret regal de modificare a Codului tehnic al construcțiilor, aprobat prin Decretul regal 314/2006 din 17 martie 2006.</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Legea 38/1999 din 5 noiembrie 1999 privind reglementările în domeniul construcțiilor definește Codul tehnic al construcțiilor (CTE) ca fiind cadrul de reglementare care stabilește cerințele de calitate de bază pentru clădiri și instalațiile acestora și care permite respectarea cerințelor de bază stabilite la articolul 3. Codul tehnic al construcțiilor (CTE) prevăzut de această lege a fost aprobat prin Decretul regal 314/2006 din 17 martie 2006. Documentele de bază care alcătuiesc partea a II-a a CTE stabilesc și, după caz, cuantifică cerințele de bază prevăzute în partea I prin stabilirea unor niveluri-țintă de performanță sau a unor limite sau a altor parametri. În special, documentul de bază DB-HE „Economii de energie” specifică și cuantifică cerințele de eficiență energetică care trebuie îndeplinite de clădirile nou construite, precum și intervențiile asupra clădirilor existente.</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La 30 mai 2018, a fost adoptată Directiva (UE) 2018/844 a Parlamentului European și a Consiliului de modificare a Directivei 2010/31/UE privind performanța energetică a clădirilor și a Directivei 2012/27/UE privind eficiența energetică.</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Prezenta directivă încurajează introducerea de cerințe specifice pentru implementarea infrastructurilor de încărcare a vehiculelor electrice în parcările din clădiri. Astfel, atât sectorul construcțiilor, cât și cel al mobilității sunt domenii strategice pentru decarbonizarea generală a economiei, cu un cadru de reglementare care vizează stimularea inovării, a durabilității și a eficienței energetice în aceste sectoare.</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La rândul său, dezvoltarea infrastructurii pentru încărcarea inteligentă a vehiculelor electrice va contribui la gestionarea și flexibilitatea energetică, la utilizarea energiilor din surse regenerabile și la îmbunătățirea calității aerului, iar performanța sa energetică va fi optimizată prin digitalizarea clădirilor și prin încorporarea noilor tehnologii în acest domeniu.</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În ceea ce îl privește, Planul național integrat privind energia și clima 2021-2030 (PNIEC) prezentat de Spania Comisiei Europene prevede promovarea mobilității electrice ca măsură de reducere a consumului de energie și a emisiilor vehiculelor prin adaptarea normativă și încorporarea dreptului Uniunii Europene care să permită instalarea infrastructurii de încărcare a vehiculelor electrice în conformitate cu dezvoltarea electrificării parcului de vehicule, precum și prin alte mecanisme de încurajare și sprijin.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Pentru a atinge aceste obiective și pentru a transpune parțial directiva în acest sens, prezentul decret regal introduce în Codul tehnic al construcțiilor o nouă cerință de bază privind economiile de energie referitoare la alocările minime pentru infrastructura de încărcare a vehiculelor electrice, care este în curs de elaborare în noua secțiune HE 6 „Dotări minime pentru infrastructura de încărcare a vehiculelor electrice” din documentul de bază DB-HE „Economii de energie”.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Pe de altă parte, trebuie menționat faptul că Legea 7/2021 din 20 mai 2021 privind schimbările climatice și tranziția energetică, la articolul 15 alineatul (10), face trimitere la CTE pentru ca acest regulament să stabilească prevederile minime privind infrastructura de încărcare a vehiculelor electrice pentru clădirile existente pentru o altă utilizare decât cea rezidențială privată care au o zonă de parcare cu mai mult de douăzeci de locuri, fie în interior, fie într-un spațiu exterior alocat, dispoziții care ar trebui sa fie intre în vigoare înainte de 1 ianuarie 2023. Cu toate acestea, aceste alocări minime au fost stabilite în cele din urmă prin Decretul-lege regal 29/2021 din 21 decembrie 2021, care adoptă măsuri urgente în domeniul energiei pentru a promova mobilitatea electrică, autoconsumul și utilizarea energiei din surse regenerabile, care include această cerință la articolul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Pentru a finaliza reglementarea infrastructurilor de încărcare a vehiculelor electrice, se modifică și Decretul regal nr. 1053/2014 din 12 decembrie 2014, prin care se aprobă o nouă Instrucțiune tehnică complementară (ITC) BT 52 „Instalații cu destinație specială. Infrastructura de reîncărcare a vehiculelor electrice”, din Regulamentul electrotehnic pentru joasă tensiune, aprobat prin Decretul regal nr. 842/2002 din 2 august 2002, și alte instrucțiuni tehnice complementare ale acestuia.</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În plus, ca măsură de promovare a energiilor din surse regenerabile, de îmbunătățire a competitivității sectoarelor de producție și de stimulare a implicării consumatorilor în gestionarea energiei lor, PNIEC prevede dezvoltarea autoconsumului cu energii din surse regenerabile și producția distribuită în zonele rezidențiale și de afaceri.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În acest sens, aprobarea Decretului regal 244/2019 din 5 aprilie 2019, care reglementează condițiile administrative, tehnice și economice pentru autoconsumul de energie electrică, a permis, printre altele, autoconsumul colectiv și, în același timp, a redus procedurile administrative de punere în aplicare a autoconsumului. Prin urmare, se consideră că actualul cadru juridic permite extinderea domeniului de aplicare al cerinței de bază HE 5 referitoare la producția minimă de energie electrică din surse regenerabile de energie, atât prin aplicarea acesteia în clădirile destinate uzului rezidențial privat, cât și prin reducerea pragului suprafeței construite în clădiri pentru toate utilizările începând de la care se aplică cerința.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În plus, se consideră necesară modificarea unor secțiuni din Documentele de bază DB-HE „Economii de energie”</w:t>
      </w:r>
      <w:bookmarkStart w:id="0" w:name="_Hlk92819359"/>
      <w:bookmarkEnd w:id="0"/>
      <w:r>
        <w:rPr>
          <w:rFonts w:ascii="Calibri" w:hAnsi="Calibri"/>
          <w:sz w:val="22"/>
        </w:rPr>
        <w:t xml:space="preserve"> și DB-HS „Sănătate” pentru a facilita aplicarea acestora, precum și modificarea promptă a documentului de bază DB-SUA „Siguranța utilizării și accesibilitatea” pentru a încorpora criteriile de accesibilitate pentru stațiile de reîncărcare în spațiile de parcare accesibile.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Modificarea CTE cu privire la încorporarea noii secțiuni HE 6 „Dotări minime pentru infrastructura de încărcare a vehiculelor electrice” din documentul de bază DB-HE privind economiile de energie, precum și modificarea Decretului regal nr. 1053/2014 din 12 decembrie 2014, care aprobă o nouă Instrucțiune tehnică complementară (ITC) BT 52 inclusă în prima dispoziție finală, fac parte din reformele de reglementare prevăzute în planul de redresare, transformare și reziliență (PRTR). În mod specific, componenta 1 a PRTR privind „Planul de șoc al mobilității durabile, sigure și conectate în medii urbane și metropolitane” angajează aprobarea prezentului decret regal de punere în aplicare a reformelor de reglementare menționate anterior în cadrul reformei C1.R1, intitulată „Plan pentru instalarea infrastructurii de încărcare și promovarea vehiculelor electrice”.  Reforma C1.R1 este concepută ca un cadru statutar, de reglementare și strategic pentru a facilita implementarea infrastructurii de încărcare pentru promovarea vehiculelor electrice în Spania și are două etape. Prima dintre acestea este constituită prin Ordinul TMA/178/2020 din 19 februarie 2020 de modificare a Ordinului din 16 decembrie 1997, care reglementează căile de acces la drumurile </w:t>
      </w:r>
      <w:r>
        <w:rPr>
          <w:rFonts w:ascii="Calibri" w:hAnsi="Calibri"/>
          <w:sz w:val="22"/>
        </w:rPr>
        <w:lastRenderedPageBreak/>
        <w:t xml:space="preserve">de stat, drumurile de serviciu și construcția de infrastructuri de servicii, și prin Decretul-lege regal 23/2020 din 23 iunie 2020, care aprobă măsuri în domeniul energiei și în alte domenii de reactivare economică. A doua etapă a reformei C1.R1 include aprobarea prezentului decret regal de modificare a Codului tehnic al construcțiilor și a Decretului regal 1053/2014 din 12 decembrie 2014, de aprobare a unei noi instrucțiuni tehnice complementare (ITC) BT 52.  Etapa de referință a angajamentului temporal pentru această reformă este intrarea în vigoare a decretului regal care o reglementează înainte de 30 iunie 2022. Reforma C1.R1. este legată de investiția C1.I2 „Planul de stimulare a instalării punctelor de încărcare, achiziționarea de vehicule electrice și de pile de combustie și inovarea în domeniul electromobilității, al încărcării și al hidrogenului verde”. Această investiție include liniile de ajutor pentru instalarea stațiilor de încărcare specificate în Decretul regal 266/2021 din 13 aprilie 2021 de aprobare a acordării directe a ajutorului pentru comunitățile autonome și orașele Ceuta și Melilla pentru punerea în aplicare a programelor de stimulare legate de mobilitatea electrică (MOVES III) în cadrul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Prezentul decret regal respectă [principiul de a nu prejudicia în mod semnificativ mediul (DNSH) și condițiile pentru etichetarea climatică și digitală, în conformitate cu dispozițiile PRTR, ale Regulamentului (UE) 2021/241 al Parlamentului European și al Consiliului din 12 februarie 2021 de instituire a mecanismului de reziliență și redresare, precum și ale legislației sale de punere în aplicare, în special Comunicarea Comisiei intitulată „Orientări tehnice privind aplicarea principiului de «a nu prejudicia în mod semnificativ» în temeiul Regulamentului privind Mecanismul de redresare și reziliență”, precum și cerințele Deciziei de punere în aplicare a Consiliului privind aprobarea evaluării planului de redresare, transformare și reziliență al Spaniei. Aceasta include respectarea condițiilor specifice prevăzute în componenta 1, precum și în reforma 1 în care este încadrat prezentul decret regal, atât în ceea ce privește principiul DNSH, cât și etichetarea climatică și digitală, în special cele prevăzute în secțiunile 3, 6 și 8 din documentul privind componenta PRTR. Investițiile PRTR C1.I2, asociate cu reforma C1.R1, respectă, de asemenea, principiul de a nu prejudicia în mod semnificativ mediul și condițiile climatice și etichetarea digitală.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Prezentul decret regal respectă principiile necesității, eficacității, proporționalității, securității juridice, transparenței și eficienței stabilite la articolul 129 din Legea nr. 39/2015 din 1 octombrie 2015 privind procedura administrativă comună a administrațiilor publice. În ceea ce privește principiile necesității și eficacității, legea răspunde obligației de transpunere a directivelor europene în legislația națională și este în concordanță cu obiectivele de interes general, cum ar fi adaptarea infrastructurii de construcție pentru a promova mobilitatea durabilă și utilizarea energiei din surse regenerabile. Acest lucru va duce la bunăstare în societate și la protejarea mediului. Prezentul decret regal este, de asemenea, în conformitate cu principiul proporționalității, întrucât oferă mijloacele necesare și suficiente pentru punerea în aplicare a mandatului juridic prevăzut de directivă, dar nu impune o inovație care poate fi inutilă sau poate depăși cerințele legale și nici nu implică o restrângere a drepturilor cetățenilor. Prezentul regulament respectă principiul securității juridice, deoarece a fost elaborat în conformitate cu procedurile definite în Legea guvernamentală nr. 50/1997 din 27 noiembrie 1997 și cu principiul transparenței, deoarece identifică în mod clar scopul său, iar expunerea sa de motive accesibilă publicului explică integral conținutul său. În cele din urmă, acesta respectă, de asemenea, principiul eficienței, deoarece nu impune nicio sarcină administrativă.</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Această dispoziție generală a făcut obiectul procedurilor de consultare publică prealabilă și audiere și informare publică prevăzute la articolul 26 din Legea 50/1997 din 27 noiembrie 1997 a Guvernului, precum și procedurii de informare în domeniul reglementărilor tehnice și al normelor privind serviciile societății informaționale, prevăzută în Directiva (UE) 2015/1535 a Parlamentului European și a Consiliului din 9 septembrie 2015 și în Decretul regal 1337/1999 din 31 iulie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În acest sens, la propunerea ministrului transporturilor, mobilității și agendei urbane și a ministrului tranziției ecologice și provocării demografice, în acord cu Consiliul de Stat și după deliberările Consiliului de Miniștri în cadrul reuniunii sale din data</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lastRenderedPageBreak/>
        <w:t>SE DISPUN URMĂTOARELE: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Articol unic. </w:t>
      </w:r>
      <w:r>
        <w:rPr>
          <w:rFonts w:ascii="Calibri" w:hAnsi="Calibri"/>
          <w:i/>
          <w:sz w:val="22"/>
        </w:rPr>
        <w:t>Modificarea Codului tehnic al construcțiilor (CTC), aprobat prin Decretul regal 314/2006 din 17 martie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Codul tehnic al construcțiilor (CTE), aprobat prin Decretul regal nr. 314/2006 din 17 martie 2006, se modifică după cum urmează:</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1. Indicele din partea I se modifică după cum urmează:</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Formularea „15.6. Cerința de bază HE 5: Producția minimă de energie electrică” are următoarea formulare:</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Cerința de bază HE 5: Producția minimă de energie electrică din surse regenerabile”</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În trimiterea la articolul 15 se introduce un punct suplimentar cu următorul text:</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Cerința de bază HE6: Dotări minime pentru infrastructura de încărcare a vehiculelor electrice.”</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2. Articolul 15 din partea I se modifică după cum urmează:</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Punctul 15.6 se modifică și are următoarea formulare:</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Cerința de bază HE 5: Producția minimă de energie electrică din surse regenerabile.</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Clădirile trebuie să dispună de sisteme de producție a energiei electrice din surse regenerabile pentru uz propriu sau pentru alimentarea rețelei.”</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Se adaugă un punct nou 15.7 cu următoarea formulare:</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Cerința de bază HE 6: Dotări minime pentru infrastructura de încărcare a vehiculelor electrice.</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Clădirile trebuie să dispună de o infrastructură minimă care să permită încărcarea vehiculelor electrice.”</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3. În documentul de bază DB-HE „Economii de energie” se introduc următoarele modificări, incluse în partea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La primul paragraf din secțiunea „I Obiectul” din „Introducere”, în teza „Secțiunile din prezentul DB corespund cerințelor de bază HE 0-HE 5”, în loc de „HE 5” trebuie să figureze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În secțiunea I „Obiectul” din „Introducere”, trimiterea la articolul 15.6 din partea I a CTE se modifică după cum urmează:</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Cerința de bază HE 5: Producția minimă de energie electrică din surse regenerabile.</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Clădirile trebuie să dispună de sisteme de producție a energiei electrice din surse regenerabile pentru uz propriu sau pentru alimentarea rețelei.”</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În secțiunea I „Obiectul” din „Introducere”, se introduce un punct suplimentar în trimiterea la articolul 15 din partea I a CTE de la sfârșitul CTE, cu următoarea formulare:</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Cerința de bază HE 6: Dotări minime pentru infrastructura de încărcare a vehiculelor electrice.</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Clădirile trebuie să dispună de o infrastructură minimă care să permită încărcarea </w:t>
      </w:r>
      <w:r>
        <w:rPr>
          <w:rFonts w:ascii="Calibri" w:hAnsi="Calibri"/>
          <w:i/>
          <w:sz w:val="22"/>
        </w:rPr>
        <w:t>vehiculelor electrice</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În cuprins, titlul secțiunii HE 5 se modifică după cum urmează:</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„Secțiunea HE 5 Producția minimă de energie electrică din surse regenerabile.”</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La trimiterea la articolul 15 din cuprins se introduce un punct suplimentar cu următoarea formulare:</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„Secțiunea HE 6 Dotări minime pentru infrastructura de încărcare a vehiculelor electrice</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Domeniul de aplicare</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Descrierea cerinței</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Cuantificarea cerinței</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Justificarea cerinței</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Construcție, întreținere și conservare</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Executare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Monitorizarea executării lucrărilor</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Verificarea lucrărilor finalizate</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Întreținerea și conservarea clădirii”</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0, articolul 1 Domeniul de aplicare, alineatul (1) , textul: „...în cazul în care suprafața utilă extinsă totală depășește 50 m</w:t>
      </w:r>
      <w:r>
        <w:rPr>
          <w:rFonts w:ascii="Calibri" w:hAnsi="Calibri"/>
          <w:sz w:val="22"/>
          <w:vertAlign w:val="superscript"/>
        </w:rPr>
        <w:t>2</w:t>
      </w:r>
      <w:r>
        <w:rPr>
          <w:rFonts w:ascii="Calibri" w:hAnsi="Calibri"/>
          <w:sz w:val="22"/>
        </w:rPr>
        <w:t>;”, se înlocuiește cu textul „...în cazul în care suprafața utilă extinsă depășește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0, articolul 3 Cuantificarea cerinței, articolul 3.1 Consumul de energie primară din surse neregenerabile</w:t>
      </w:r>
      <w:bookmarkStart w:id="1" w:name="_Hlk96944651"/>
      <w:r>
        <w:rPr>
          <w:rFonts w:ascii="Calibri" w:hAnsi="Calibri"/>
          <w:sz w:val="22"/>
        </w:rPr>
        <w:t>,</w:t>
      </w:r>
      <w:bookmarkEnd w:id="1"/>
      <w:r>
        <w:rPr>
          <w:rFonts w:ascii="Calibri" w:hAnsi="Calibri"/>
          <w:sz w:val="22"/>
        </w:rPr>
        <w:t xml:space="preserve"> alineatul (1),</w:t>
      </w:r>
      <w:bookmarkStart w:id="2" w:name="_Hlk96943118"/>
      <w:r>
        <w:rPr>
          <w:rFonts w:ascii="Calibri" w:hAnsi="Calibri"/>
          <w:sz w:val="22"/>
        </w:rPr>
        <w:t>termenul „Cep,nren” se înlocuiește cu „</w:t>
      </w:r>
      <w:r>
        <w:rPr>
          <w:rFonts w:ascii="Calibri" w:hAnsi="Calibri"/>
          <w:sz w:val="22"/>
          <w:vertAlign w:val="subscript"/>
        </w:rPr>
        <w:t>ep,nren</w:t>
      </w:r>
      <w:r>
        <w:rPr>
          <w:rFonts w:ascii="Calibri" w:hAnsi="Calibri"/>
          <w:sz w:val="22"/>
        </w:rPr>
        <w:t>”, iar termenul „Cep,nren,lim” se înlocuiește cu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0, articolul 3 Cuantificarea cerinței, articolul 3.1 Consumul de energie primară din surse neregenerabile, alineatul (2), termenul „Cep,nren,lim” se înlocuiește cu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0, articolul 3 Cuantificarea cerinței, articolul 3.2. Consumul de energie primară totală, alineatul (1), termenul „Cep,tot” se înlocuiește cu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0, articolul 3 Cuantificarea cerinței, articolul 3.2 Consumul de energie primară totală, alineatul (2), termenul „Cep,tot,lim” se înlocuiește cu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În secțiunea HE 0, articolul 3 Cuantificarea cerinței, termenul </w:t>
      </w:r>
      <w:r>
        <w:rPr>
          <w:rFonts w:ascii="Calibri" w:hAnsi="Calibri"/>
          <w:i/>
          <w:sz w:val="22"/>
        </w:rPr>
        <w:t>utilizare rezidențială privată</w:t>
      </w:r>
      <w:r>
        <w:rPr>
          <w:rFonts w:ascii="Calibri" w:hAnsi="Calibri"/>
          <w:sz w:val="22"/>
        </w:rPr>
        <w:t xml:space="preserve"> ar trebui să fie redactat cu caractere cursive.</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0, la articolul 4.1 „Procedura de calcul”, la alineatul (9), cuvintele „document recunoscut” se înlocuiesc cu „Document de certificare energetică recunoscută pentru clădiri”.</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În secțiunea HE 0, la articolul 4.1 „Procedura de calcul”, alineatul (9) devine alineatul (11) și se adaugă următoarele alineate:</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Calculul bilanțului energetic necesar pentru verificarea cerințelor prezentei BD se efectuează în conformitate cu standardul UNE-EN ISO 52000-1:2019: </w:t>
      </w:r>
      <w:r>
        <w:rPr>
          <w:rFonts w:ascii="Calibri" w:hAnsi="Calibri"/>
          <w:i/>
          <w:sz w:val="22"/>
        </w:rPr>
        <w:t>Evaluarea globală a performanței energetice a clădirilor. Partea 1: cadrul general și procedurile</w:t>
      </w:r>
      <w:r>
        <w:rPr>
          <w:rFonts w:ascii="Calibri" w:hAnsi="Calibri"/>
          <w:sz w:val="22"/>
        </w:rPr>
        <w:t>, utilizând un factor de export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În scopul repartizării diferitelor servicii, distribuția energiei electrice produse la fața locului, în fiecare interval de timp, se calculează proporțional cu consumul de energie electrică al consumului în cauză (încălzire, răcire, ventilație, ACS și în uz terțiar, în plus, iluminat).”</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0, articolul 4.3 Cereri interne și condiții operaționale, alineatul (2), termenul „utilizare rezidențială privată” ar trebui să fie redactat cu caractere cursive.</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lastRenderedPageBreak/>
        <w:t>(ñ) În secțiunea HE 0, articolul 4.5 Sisteme de referință pentru uz rezidențial privat, termenul „utilizare rezidențială privată” ar trebui să fie redactat cu litere cursive atât în titlu, cât și la alineatul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În secțiunea HE 1, articolul 3 Cuantificarea cerinței, articolul 3.1.1. Transmitanța </w:t>
      </w:r>
      <w:r>
        <w:rPr>
          <w:rFonts w:ascii="Calibri" w:hAnsi="Calibri"/>
          <w:i/>
          <w:sz w:val="22"/>
        </w:rPr>
        <w:t>anvelopei termice</w:t>
      </w:r>
      <w:r>
        <w:rPr>
          <w:rFonts w:ascii="Calibri" w:hAnsi="Calibri"/>
          <w:sz w:val="22"/>
        </w:rPr>
        <w:t>, termenul „densitate” din tabelele 3.1.1.b-HE1 și tabelele 3.1.1.c-HE1 ar trebui să fie redactat cu caractere cursive.</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În secțiunea HE 1, articolul 3 Cuantificarea cerinței, articolul 3.1.1. Transmitanța </w:t>
      </w:r>
      <w:r>
        <w:rPr>
          <w:rFonts w:ascii="Calibri" w:hAnsi="Calibri"/>
          <w:i/>
          <w:sz w:val="22"/>
        </w:rPr>
        <w:t>anvelopei termice</w:t>
      </w:r>
      <w:r>
        <w:rPr>
          <w:rFonts w:ascii="Calibri" w:hAnsi="Calibri"/>
          <w:sz w:val="22"/>
        </w:rPr>
        <w:t>, termenul „densitate” din notele de subsol ale tabelelor 3.1.1.b-HE1 și tabelele 3.1.1.c-HE1, precum și termenul „densitate” din nota de subsol din tabelul 3.1.1.c-HE1 ar trebui să fie redactate cu caractere cursive.</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În secțiunea HE 1, articolul 3 Cuantificarea cerinței, articolul 3.1.1. Transmitanța </w:t>
      </w:r>
      <w:r>
        <w:rPr>
          <w:rFonts w:ascii="Calibri" w:hAnsi="Calibri"/>
          <w:i/>
          <w:sz w:val="22"/>
        </w:rPr>
        <w:t>anvelopei termice</w:t>
      </w:r>
      <w:r>
        <w:rPr>
          <w:rFonts w:ascii="Calibri" w:hAnsi="Calibri"/>
          <w:sz w:val="22"/>
        </w:rPr>
        <w:t>, articolul 3, termenul „utilizare rezidențială privată” ar trebui să fie redactat cu caractere cursive atât la alineatul (3), cât și în tabelul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În secțiunea HE 1, articolul 3 Cuantificarea cerinței, articolul 3.1.1. Transmitanța </w:t>
      </w:r>
      <w:r>
        <w:rPr>
          <w:rFonts w:ascii="Calibri" w:hAnsi="Calibri"/>
          <w:i/>
          <w:sz w:val="22"/>
        </w:rPr>
        <w:t>anvelopei termice</w:t>
      </w:r>
      <w:r>
        <w:rPr>
          <w:rFonts w:ascii="Calibri" w:hAnsi="Calibri"/>
          <w:sz w:val="22"/>
        </w:rPr>
        <w:t>, termenul „anvelopă termică” din tabelele 3.1.1.b-HE1 și 3.1.1.c-HE1 ar trebui să fie redactat cu caractere cursive.</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În secțiunea HE 1, articolul 3 Cuantificarea cerinței, articolul 3.1.1 „Transmitanța anvelopei termice”, se adaugă următorul punct:</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Alternativ, clădirile sau, în cazul intervențiilor parțiale asupra clădirilor existente, părțile clădirilor pe care se efectuează intervenții, ale căror cerințe de încălzire și răcire sunt mai mici, în ambele cazuri, de 15 kWh/m</w:t>
      </w:r>
      <w:r>
        <w:rPr>
          <w:rFonts w:ascii="Calibri" w:hAnsi="Calibri"/>
          <w:sz w:val="22"/>
          <w:vertAlign w:val="superscript"/>
        </w:rPr>
        <w:t>2</w:t>
      </w:r>
      <w:r>
        <w:rPr>
          <w:rFonts w:ascii="Calibri" w:hAnsi="Calibri"/>
          <w:sz w:val="22"/>
        </w:rPr>
        <w:t xml:space="preserve"> pot fi excluse de la respectarea </w:t>
      </w:r>
      <w:r>
        <w:rPr>
          <w:rFonts w:ascii="Calibri" w:hAnsi="Calibri"/>
          <w:i/>
          <w:sz w:val="22"/>
        </w:rPr>
        <w:t>coeficientului global de transfer de căldură prin anvelopa termică</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În secțiunea HE 1, articolul 3, Cuantificarea cerinței, articolul 3.1.2 Controlul solar al anvelopei termice, textul: „Tabelul 3.1.2-HE1 Valoarea-limită a parametrului de control solar qsol;jul,lim [kWh/m</w:t>
      </w:r>
      <w:r>
        <w:rPr>
          <w:rFonts w:ascii="Calibri" w:hAnsi="Calibri"/>
          <w:sz w:val="22"/>
          <w:vertAlign w:val="superscript"/>
        </w:rPr>
        <w:t>2</w:t>
      </w:r>
      <w:r>
        <w:rPr>
          <w:rFonts w:ascii="Calibri" w:hAnsi="Calibri"/>
          <w:sz w:val="22"/>
        </w:rPr>
        <w:t>mes]” se înlocuiește cu: „Tabelul 3.1.2-HE1 Valoarea-limită a parametrului de control solar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În secțiunea HE 1, articolul 3 Cuantificarea cerinței, articolul 3.1.3 Permeabilitatea la aer a anvelopei termice, termenul „anvelopă termică” trebuie să fie redactat cu caractere cursive atât în titlul secțiunii, cât și în titlul tabelului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În secțiunea HE 1, articolul 3 Cuantificarea cerinței, articolul 3.1.3 „Permeabilitatea la aer a </w:t>
      </w:r>
      <w:r>
        <w:rPr>
          <w:rFonts w:ascii="Calibri" w:hAnsi="Calibri"/>
          <w:i/>
          <w:sz w:val="22"/>
        </w:rPr>
        <w:t>anvelopei termice</w:t>
      </w:r>
      <w:r>
        <w:rPr>
          <w:rFonts w:ascii="Calibri" w:hAnsi="Calibri"/>
          <w:sz w:val="22"/>
        </w:rPr>
        <w:t>”, se adaugă următorul alineat (3) nou:</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În cazul modificărilor, tabelul 3.1.3.a-HE1 de mai sus se aplică numai acelor elemente ale </w:t>
      </w:r>
      <w:r>
        <w:rPr>
          <w:rFonts w:ascii="Calibri" w:hAnsi="Calibri"/>
          <w:i/>
          <w:sz w:val="22"/>
        </w:rPr>
        <w:t>anvelopei termice</w:t>
      </w:r>
      <w:r>
        <w:rPr>
          <w:rFonts w:ascii="Calibri" w:hAnsi="Calibri"/>
          <w:sz w:val="22"/>
        </w:rPr>
        <w:t xml:space="preserve"> care sunt înlocuite, încorporate sau modificate substanțial;”</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Numerotarea alineatelor (3) și (4) actuale din articolul 3.1.3 „Permeabilitatea la aer a anvelopei termice” se înlocuiește cu (4) și, respectiv,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În secțiunea HE 1, articolul 3 Cuantificarea cerinței, articolul 3.1.3 Permeabilitatea la aer a </w:t>
      </w:r>
      <w:r>
        <w:rPr>
          <w:rFonts w:ascii="Calibri" w:hAnsi="Calibri"/>
          <w:i/>
          <w:sz w:val="22"/>
        </w:rPr>
        <w:t>anvelopei termice</w:t>
      </w:r>
      <w:r>
        <w:rPr>
          <w:rFonts w:ascii="Calibri" w:hAnsi="Calibri"/>
          <w:sz w:val="22"/>
        </w:rPr>
        <w:t>, termenul „densitate” din tabelul 3.1.3.b-HE1, termenul „densitate” din tabelul 3.1.3.b-HE1 și termenul „utilizare rezidențială privată” de la alineatul (3) ar trebui să fie redactați cu caractere cursive.</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În secțiunea HE 1, articolul 3 Cuantificarea cerinței, articolul 3.1.3 Permeabilitatea la aer a </w:t>
      </w:r>
      <w:r>
        <w:rPr>
          <w:rFonts w:ascii="Calibri" w:hAnsi="Calibri"/>
          <w:i/>
          <w:sz w:val="22"/>
        </w:rPr>
        <w:t>anvelopei termice,</w:t>
      </w:r>
      <w:r>
        <w:rPr>
          <w:rFonts w:ascii="Calibri" w:hAnsi="Calibri"/>
          <w:sz w:val="22"/>
        </w:rPr>
        <w:t xml:space="preserve"> tabelul 3.1.3.b-HE1, fiecare ocurență a „m</w:t>
      </w:r>
      <w:r>
        <w:rPr>
          <w:rFonts w:ascii="Calibri" w:hAnsi="Calibri"/>
          <w:sz w:val="22"/>
          <w:vertAlign w:val="superscript"/>
        </w:rPr>
        <w:t>3</w:t>
      </w:r>
      <w:r>
        <w:rPr>
          <w:rFonts w:ascii="Calibri" w:hAnsi="Calibri"/>
          <w:sz w:val="22"/>
        </w:rPr>
        <w:t>/m2” se înlocuiește cu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cu 2 ca scriere la exponent.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În secțiunea HE 1, articolul 4 Justificarea cerinței, termenul „densitate” de la articolul 4.1.b) și termenul „utilizare rezidențială privată” de la articolul 4.1.g) ar trebui să fie redactați cu caractere cursive.</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În secțiunea HE 3, în tabelul 3.1-HE3 Valoarea-limită a eficienței instalării (VEEI</w:t>
      </w:r>
      <w:r>
        <w:rPr>
          <w:rFonts w:ascii="Calibri" w:hAnsi="Calibri"/>
          <w:sz w:val="22"/>
          <w:vertAlign w:val="subscript"/>
        </w:rPr>
        <w:t>lim</w:t>
      </w:r>
      <w:r>
        <w:rPr>
          <w:rFonts w:ascii="Calibri" w:hAnsi="Calibri"/>
          <w:sz w:val="22"/>
        </w:rPr>
        <w:t>), cuvintele „Antrepozite și magazine mici” se înlocuiesc cu „Antrepozite și magazine mici</w:t>
      </w:r>
      <w:r>
        <w:rPr>
          <w:rFonts w:ascii="Calibri" w:hAnsi="Calibri"/>
          <w:sz w:val="22"/>
          <w:vertAlign w:val="superscript"/>
        </w:rPr>
        <w:t>(10)</w:t>
      </w:r>
      <w:r>
        <w:rPr>
          <w:rFonts w:ascii="Calibri" w:hAnsi="Calibri"/>
          <w:sz w:val="22"/>
        </w:rPr>
        <w:t>” și se adaugă următoarea notă de subsol:</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lastRenderedPageBreak/>
        <w:t>„</w:t>
      </w:r>
      <w:r>
        <w:rPr>
          <w:rFonts w:ascii="Calibri" w:hAnsi="Calibri"/>
          <w:sz w:val="22"/>
          <w:vertAlign w:val="superscript"/>
        </w:rPr>
        <w:t>(10)</w:t>
      </w:r>
      <w:r>
        <w:rPr>
          <w:rFonts w:ascii="Calibri" w:hAnsi="Calibri"/>
          <w:sz w:val="22"/>
        </w:rPr>
        <w:t xml:space="preserve"> Termenul «antrepozit» se referă atât la mici magazine independente, cât și la partea pentru uz comercial care nu este utilizată în mod obișnuit în centrele comerciale.”</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În secțiunea HE 3, articolul 3.3 Sisteme de control și reglementare, alineatul (2), textul „... poate fi înlocuit cu una dintre următoarele două opțiuni: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controlul activării și dezactivării printr-un sistem de detectare a prezenței temporizat; sau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un sistem cu buton temporizat.”</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se înlocuiește cu „...poate fi înlocuit cu una dintre următoarele două opțiuni: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controlul activării și dezactivării de către un </w:t>
      </w:r>
      <w:r>
        <w:rPr>
          <w:rFonts w:ascii="Calibri" w:hAnsi="Calibri"/>
          <w:i/>
          <w:sz w:val="22"/>
        </w:rPr>
        <w:t>sistem de detectare a prezenței temporizat</w:t>
      </w:r>
      <w:r>
        <w:rPr>
          <w:rFonts w:ascii="Calibri" w:hAnsi="Calibri"/>
          <w:sz w:val="22"/>
        </w:rPr>
        <w:t xml:space="preserve">, sau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un </w:t>
      </w:r>
      <w:r>
        <w:rPr>
          <w:rFonts w:ascii="Calibri" w:hAnsi="Calibri"/>
          <w:i/>
          <w:sz w:val="22"/>
        </w:rPr>
        <w:t>sistem de temporizare</w:t>
      </w:r>
      <w:r>
        <w:rPr>
          <w:rFonts w:ascii="Calibri" w:hAnsi="Calibri"/>
          <w:sz w:val="22"/>
        </w:rPr>
        <w:t xml:space="preserve"> cu ajutorul unui buton.”</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În secțiunea HE 3, articolul 4 Justificarea cerinței, alineatul (1) litera (b), textul „... randamentul </w:t>
      </w:r>
      <w:r>
        <w:rPr>
          <w:rFonts w:ascii="Calibri" w:hAnsi="Calibri"/>
          <w:i/>
          <w:sz w:val="22"/>
        </w:rPr>
        <w:t>lămpilor</w:t>
      </w:r>
      <w:r>
        <w:rPr>
          <w:rFonts w:ascii="Calibri" w:hAnsi="Calibri"/>
          <w:sz w:val="22"/>
        </w:rPr>
        <w:t xml:space="preserve"> utilizate (în termeni de lum/W)” se înlocuiește cu „... eficiența </w:t>
      </w:r>
      <w:r>
        <w:rPr>
          <w:rFonts w:ascii="Calibri" w:hAnsi="Calibri"/>
          <w:i/>
          <w:sz w:val="22"/>
        </w:rPr>
        <w:t>lămpilor</w:t>
      </w:r>
      <w:r>
        <w:rPr>
          <w:rFonts w:ascii="Calibri" w:hAnsi="Calibri"/>
          <w:sz w:val="22"/>
        </w:rPr>
        <w:t xml:space="preserve"> utilizate (în termeni de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În secțiunea HE 4, articolul 2 Descrierea cerinței, alineatul (1) are următoarea formulare:</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În mare măsură, clădirile trebuie să își satisfacă nevoile de încălzire a apei calde menajere și a apei pentru piscinele interioare încălzite prin utilizarea </w:t>
      </w:r>
      <w:r>
        <w:rPr>
          <w:rFonts w:ascii="Calibri" w:hAnsi="Calibri"/>
          <w:i/>
          <w:sz w:val="22"/>
        </w:rPr>
        <w:t>energiei din surse regenerabile</w:t>
      </w:r>
      <w:r>
        <w:rPr>
          <w:rFonts w:ascii="Calibri" w:hAnsi="Calibri"/>
          <w:sz w:val="22"/>
        </w:rPr>
        <w:t xml:space="preserve"> sau a proceselor de cogenerare din surse regenerabile; fie generate în clădirea propriu-zisă, fie prin conectarea la un </w:t>
      </w:r>
      <w:r>
        <w:rPr>
          <w:rFonts w:ascii="Calibri" w:hAnsi="Calibri"/>
          <w:i/>
          <w:sz w:val="22"/>
        </w:rPr>
        <w:t>sistem de termoficare</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În secțiunea HE 4, articolul 3 Cuantificarea cerinței, articolul 3.1 Contribuția minimă din surse regenerabile pentru DHW și/sau încălzirea pentru piscină, alineatul (4), textul: </w:t>
      </w:r>
      <w:bookmarkStart w:id="3" w:name="_Hlk96945986"/>
      <w:r>
        <w:rPr>
          <w:rFonts w:ascii="Calibri" w:hAnsi="Calibri"/>
          <w:sz w:val="22"/>
        </w:rPr>
        <w:t xml:space="preserve">„... </w:t>
      </w:r>
      <w:bookmarkEnd w:id="3"/>
      <w:r>
        <w:rPr>
          <w:rFonts w:ascii="Calibri" w:hAnsi="Calibri"/>
          <w:sz w:val="22"/>
        </w:rPr>
        <w:t>mai mare de 2,5 atunci când este acționat electric și mai mare de 1,15 atunci când funcționează cu energie termică...” se înlocuiește cu textul „... egal sau mai mare de 2,5 atunci când este acționat electric și mai mare sau egal cu 1,15 atunci când este acționat cu energie termică...”.</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În secțiunea HE 4, articolul 3 Cuantificarea cerinței, articolul 3.1 Contribuția minimă din surse regenerabile pentru DHW și/sau încălzirea pentru piscine, alineatul (5), textul: „... clădiri rezidențiale...” se înlocuiește cu textul „... clădiri de uz rezidențial privat...”.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În secțiunea HE 4, înainte de articolul „5.1. Executare” se introduce fraza: „5. Construcție, întreținere și conservare” ca titlu.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În secțiunea HE 5, titlul „Secțiunea HE 5 Producția minimă de energie electrică” se înlocuiește cu „Secțiunea HE 5</w:t>
      </w:r>
      <w:bookmarkStart w:id="4" w:name="_Hlk92123384"/>
      <w:r>
        <w:rPr>
          <w:rFonts w:ascii="Calibri" w:hAnsi="Calibri"/>
          <w:sz w:val="22"/>
        </w:rPr>
        <w:t>Producția minimă de energie electrică</w:t>
      </w:r>
      <w:bookmarkEnd w:id="4"/>
      <w:r>
        <w:t xml:space="preserve"> </w:t>
      </w:r>
      <w:r>
        <w:rPr>
          <w:rFonts w:ascii="Calibri" w:hAnsi="Calibri"/>
          <w:sz w:val="22"/>
        </w:rPr>
        <w:t>din surse regenerabile”.</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În secțiunea HE 5, articolul 1 „Domeniul de aplicare” are următoarea formulare: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Prezenta secțiune se aplică în următoarele cazuri: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clădiri nou construite atunci când acestea depășesc 1 000 m</w:t>
      </w:r>
      <w:r>
        <w:rPr>
          <w:rFonts w:ascii="Calibri" w:hAnsi="Calibri"/>
          <w:sz w:val="22"/>
          <w:vertAlign w:val="superscript"/>
        </w:rPr>
        <w:t xml:space="preserve">2 </w:t>
      </w:r>
      <w:r>
        <w:rPr>
          <w:rFonts w:ascii="Calibri" w:hAnsi="Calibri"/>
          <w:sz w:val="22"/>
        </w:rPr>
        <w:t xml:space="preserve"> construiți;</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extinderi ale clădirilor existente, atunci când suprafața construită este mărită cu mai mult de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clădiri existente care sunt complet renovate sau, în cazul în care există o schimbare de utilizare caracteristică a acestora, atunci când acestea depășesc 1 000 m</w:t>
      </w:r>
      <w:r>
        <w:rPr>
          <w:rFonts w:ascii="Calibri" w:hAnsi="Calibri"/>
          <w:sz w:val="22"/>
          <w:vertAlign w:val="superscript"/>
        </w:rPr>
        <w:t xml:space="preserve">2 </w:t>
      </w:r>
      <w:r>
        <w:rPr>
          <w:rFonts w:ascii="Calibri" w:hAnsi="Calibri"/>
          <w:sz w:val="22"/>
        </w:rPr>
        <w:t xml:space="preserve"> de suprafață construită.</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Se consideră că zona construită include suprafața locurilor de parcare din interiorul clădirii și exclude zonele comune în aer liber.”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În secțiunea HE 5, alineatul (2) primul paragraf „Caracterizarea cerinței” are următoarea formulare:</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 Clădirile trebuie să dispună de sisteme de producție a energiei electrice din surse regenerabile pentru uz propriu sau pentru alimentarea rețelei.”</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În secțiunea HE 5, alineatul (3) „Cuantificarea cerinței” are următoarea formulare:</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 xml:space="preserve">Puterea de instalare minimă </w:t>
      </w:r>
      <w:r>
        <w:rPr>
          <w:rFonts w:ascii="Calibri" w:hAnsi="Calibri"/>
          <w:sz w:val="22"/>
        </w:rPr>
        <w:t xml:space="preserve"> P</w:t>
      </w:r>
      <w:r>
        <w:rPr>
          <w:rFonts w:ascii="Calibri" w:hAnsi="Calibri"/>
          <w:sz w:val="22"/>
          <w:vertAlign w:val="subscript"/>
        </w:rPr>
        <w:t>min</w:t>
      </w:r>
      <w:r>
        <w:rPr>
          <w:rFonts w:ascii="Calibri" w:hAnsi="Calibri"/>
          <w:sz w:val="22"/>
        </w:rPr>
        <w:t xml:space="preserve"> este cea mai mică dintre rezultatele obținute din următoarele două ecuații: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unde: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puterea de instalare</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factorul de producție a energiei, care are o valoare de 0,005 pentru uz rezidențial privat și 0,010 pentru alte utilizări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suprafața construită a clădirii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suprafața acoperișului netranzitabil sau accesibil numai pentru întreținere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suprafața acoperișului netranzitabil sau accesibil pentru întreținere ocupat numai de colectoare solare termice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În clădirile în care, din motive urbane sau arhitecturale sau pentru că sunt clădiri protejate în mod oficial, în cazul cărora autoritatea care acordă protecția oficială este cea care determină elementele inalterabile, </w:t>
      </w:r>
      <w:r>
        <w:rPr>
          <w:rFonts w:ascii="Calibri" w:hAnsi="Calibri"/>
          <w:i/>
          <w:sz w:val="22"/>
        </w:rPr>
        <w:t>puterea de instalare</w:t>
      </w:r>
      <w:r>
        <w:rPr>
          <w:rFonts w:ascii="Calibri" w:hAnsi="Calibri"/>
          <w:sz w:val="22"/>
        </w:rPr>
        <w:t xml:space="preserve"> minimă nu poate fi atinsă, această imposibilitate se justifică prin analizarea diferitelor alternative și se adoptă soluția care atinge puterea maximă instalată posibilă.”</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În secțiunea HE 5, la alineatul (4) „Justificarea cerinței” se adaugă următorul text:</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dacă este cazul, motive care împiedică atingerea </w:t>
      </w:r>
      <w:r>
        <w:rPr>
          <w:rFonts w:ascii="Calibri" w:hAnsi="Calibri"/>
          <w:i/>
          <w:sz w:val="22"/>
        </w:rPr>
        <w:t>puterii de instalare</w:t>
      </w:r>
      <w:r>
        <w:rPr>
          <w:rFonts w:ascii="Calibri" w:hAnsi="Calibri"/>
          <w:sz w:val="22"/>
        </w:rPr>
        <w:t xml:space="preserve"> minime exigibile, analiza alternativelor și soluția adoptată pentru a atinge puterea maximă instalată posibilă.”</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ll) În documentul de bază DB-HE „Economii de energie”, secțiunea HE 6 se adaugă cu titlul „</w:t>
      </w:r>
      <w:r>
        <w:rPr>
          <w:rFonts w:ascii="Calibri" w:hAnsi="Calibri"/>
          <w:i/>
          <w:sz w:val="22"/>
        </w:rPr>
        <w:t>Dotări minime pentru infrastructura de încărcare a vehiculelor electrice</w:t>
      </w:r>
      <w:r>
        <w:rPr>
          <w:rFonts w:ascii="Calibri" w:hAnsi="Calibri"/>
          <w:sz w:val="22"/>
        </w:rPr>
        <w:t xml:space="preserve">” cu următoarea formulare: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 xml:space="preserve">„Secțiunea HE 6 </w:t>
      </w:r>
      <w:r>
        <w:rPr>
          <w:rFonts w:ascii="Calibri" w:hAnsi="Calibri"/>
          <w:i/>
          <w:sz w:val="22"/>
        </w:rPr>
        <w:t>Dotări minime pentru infrastructura de încărcare a vehiculelor electrice</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Domeniul de aplicare</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Cerințele stabilite în prezenta secțiune se aplică clădirilor care au o zonă de parcare, fie în interiorul, fie în exteriorul clădirii, în următoarele cazuri:</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clădiri nou construite;</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clădiri existente, în următoarele cazuri:</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modificări ale utilizării caracteristice a clădirii;</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extinderile, în cazurile care includ intervențiile în parcare și se mărește cu mai mult de 10 % suprafața sau volumul construit al unității sau</w:t>
      </w:r>
      <w:r>
        <w:rPr>
          <w:rFonts w:ascii="Calibri" w:hAnsi="Calibri"/>
          <w:i/>
          <w:sz w:val="22"/>
        </w:rPr>
        <w:t xml:space="preserve"> unităților de utilizare</w:t>
      </w:r>
      <w:r>
        <w:rPr>
          <w:rFonts w:ascii="Calibri" w:hAnsi="Calibri"/>
          <w:sz w:val="22"/>
        </w:rPr>
        <w:t xml:space="preserve"> pe care are loc intervenția , iar suprafața utilă mărită este mai mare de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reforme care includ intervenții în parcare și care reînnoiesc mai mult de 25 % din suprafața totală a </w:t>
      </w:r>
      <w:r>
        <w:rPr>
          <w:rFonts w:ascii="Calibri" w:hAnsi="Calibri"/>
          <w:i/>
          <w:sz w:val="22"/>
        </w:rPr>
        <w:t>anvelopei termice</w:t>
      </w:r>
      <w:r>
        <w:rPr>
          <w:rFonts w:ascii="Calibri" w:hAnsi="Calibri"/>
          <w:sz w:val="22"/>
        </w:rPr>
        <w:t xml:space="preserve"> finale a clădirii;</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lastRenderedPageBreak/>
        <w:t>intervențiile la instalația electrică a clădirii care afectează mai mult de 50 % din energia instalată în clădire înainte de intervenție, în cazurile în care parcarea se află în interiorul clădirii</w:t>
      </w:r>
      <w:r>
        <w:rPr>
          <w:rFonts w:ascii="Calibri" w:hAnsi="Calibri"/>
          <w:sz w:val="22"/>
          <w:u w:color="FF0000"/>
        </w:rPr>
        <w:t>, cu condiția să existe un drept de a acționa în zona de parcare de către dezvoltatorul care efectuează o astfel de intervenție</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intervenții la instalația electrică a parcării care afectează mai mult de 50 % din puterea instalată în parcare înainte de intervenție.</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Următoarele nu intră în domeniul de aplicare:</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clădirile destinate altei utilizări decât utilizării rezidențiale private, cu o zonă de parcare de maximum 10 locuri de parcare;</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clădirile existente destinate altei utilizări decât utilizării rezidențiale private, cu o zonă de parcare de cel mult 20 de locuri de parcare și clădirile existente de </w:t>
      </w:r>
      <w:r>
        <w:rPr>
          <w:rFonts w:ascii="Calibri" w:hAnsi="Calibri"/>
          <w:i/>
          <w:sz w:val="22"/>
        </w:rPr>
        <w:t>uz rezidențial privat</w:t>
      </w:r>
      <w:r>
        <w:rPr>
          <w:rFonts w:ascii="Calibri" w:hAnsi="Calibri"/>
          <w:sz w:val="22"/>
        </w:rPr>
        <w:t>, în cazul în care, în ambele cazuri, costul respectării prezentului paragraf depășește 7 % din costul extinderii, schimbării utilizării sau intervenției de renovare care dă naștere obligației de conformitate. Pentru a determina costul intervențiilor menționate mai sus, costul real și efectiv al acestora se consideră a fi costul lor de construcție fizică;</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clădirile care sunt protejate oficial deoarece fac parte dintr-un mediu declarat sau datorită valorii lor arhitecturale sau istorice specifice sunt excluse de la aceste obligații în măsura în care respectarea cerințelor stabilite în prezenta secțiune ar putea modifica în mod nejustificat caracterul sau aspectul lor și autoritatea oficială de protecție este cea care determină elementele inalterabile.</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Descrierea cerinței</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Clădirile trebuie să dispună de o infrastructură minimă care să permită încărcarea </w:t>
      </w:r>
      <w:r>
        <w:rPr>
          <w:rFonts w:ascii="Calibri" w:hAnsi="Calibri"/>
          <w:i/>
          <w:sz w:val="22"/>
        </w:rPr>
        <w:t>vehiculelor electrice</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Această </w:t>
      </w:r>
      <w:r>
        <w:rPr>
          <w:rFonts w:ascii="Calibri" w:hAnsi="Calibri"/>
          <w:i/>
          <w:sz w:val="22"/>
        </w:rPr>
        <w:t>infrastructură de reîncărcare a vehiculelor electrice</w:t>
      </w:r>
      <w:r>
        <w:rPr>
          <w:rFonts w:ascii="Calibri" w:hAnsi="Calibri"/>
          <w:sz w:val="22"/>
        </w:rPr>
        <w:t xml:space="preserve"> va respecta prevederile actualei reglementări electrotehnice de joasă tensiune și ale Instrucțiunii sale tehnice suplimentare (ITC) BT 52 „Instalații cu destinație specială. Infrastructură de reîncărcare a </w:t>
      </w:r>
      <w:r>
        <w:rPr>
          <w:rFonts w:ascii="Calibri" w:hAnsi="Calibri"/>
          <w:i/>
          <w:sz w:val="22"/>
        </w:rPr>
        <w:t>vehiculelor electrice</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Cuantificarea cerinței</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În clădirile destinate </w:t>
      </w:r>
      <w:r>
        <w:rPr>
          <w:rFonts w:ascii="Calibri" w:hAnsi="Calibri"/>
          <w:i/>
          <w:sz w:val="22"/>
        </w:rPr>
        <w:t>utilizării rezidențiale private</w:t>
      </w:r>
      <w:r>
        <w:rPr>
          <w:rFonts w:ascii="Calibri" w:hAnsi="Calibri"/>
          <w:sz w:val="22"/>
        </w:rPr>
        <w:t xml:space="preserve"> sistemele de cablare vor fi instalate pentru a permite alimentarea viitoare a </w:t>
      </w:r>
      <w:r>
        <w:rPr>
          <w:rFonts w:ascii="Calibri" w:hAnsi="Calibri"/>
          <w:i/>
          <w:sz w:val="22"/>
        </w:rPr>
        <w:t>stațiilor de reîncărcare</w:t>
      </w:r>
      <w:r>
        <w:rPr>
          <w:rFonts w:ascii="Calibri" w:hAnsi="Calibri"/>
          <w:sz w:val="22"/>
        </w:rPr>
        <w:t xml:space="preserve"> pentru 100 % din locurile de parcare.</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În clădirile destinate altor utilizări decât cele rezidențiale private, vor fi instalate sisteme de cablare pentru a permite alimentarea viitoare a </w:t>
      </w:r>
      <w:r>
        <w:rPr>
          <w:rFonts w:ascii="Calibri" w:hAnsi="Calibri"/>
          <w:i/>
          <w:sz w:val="22"/>
        </w:rPr>
        <w:t>stațiilor de reîncărcare</w:t>
      </w:r>
      <w:r>
        <w:rPr>
          <w:rFonts w:ascii="Calibri" w:hAnsi="Calibri"/>
          <w:sz w:val="22"/>
        </w:rPr>
        <w:t xml:space="preserve"> pentru cel puțin 20 % din locurile de parcare.</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În plus, o </w:t>
      </w:r>
      <w:r>
        <w:rPr>
          <w:rFonts w:ascii="Calibri" w:hAnsi="Calibri"/>
          <w:i/>
          <w:sz w:val="22"/>
        </w:rPr>
        <w:t>stație de reîncărcare</w:t>
      </w:r>
      <w:r>
        <w:rPr>
          <w:rFonts w:ascii="Calibri" w:hAnsi="Calibri"/>
          <w:sz w:val="22"/>
        </w:rPr>
        <w:t xml:space="preserve"> va fi instalată pentru fiecare 40 de locuri de parcare sau o fracțiune a acestora.</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În clădirile destinate altor utilizări decât cele rezidențiale private deținute de Administrația Generală de Stat sau de organismele publice legate de aceasta sau dependente de aceasta, dispoziția trebuie să fie mai mare decât cea stabilită în general, cu instalarea</w:t>
      </w:r>
      <w:r>
        <w:rPr>
          <w:rFonts w:ascii="Calibri" w:hAnsi="Calibri"/>
          <w:color w:val="1F497D"/>
          <w:sz w:val="22"/>
        </w:rPr>
        <w:t xml:space="preserve"> </w:t>
      </w:r>
      <w:r>
        <w:rPr>
          <w:rFonts w:ascii="Calibri" w:hAnsi="Calibri"/>
          <w:sz w:val="22"/>
        </w:rPr>
        <w:t xml:space="preserve">unei </w:t>
      </w:r>
      <w:r>
        <w:rPr>
          <w:rFonts w:ascii="Calibri" w:hAnsi="Calibri"/>
          <w:i/>
          <w:sz w:val="22"/>
        </w:rPr>
        <w:t>stații de reîncărcare</w:t>
      </w:r>
      <w:r>
        <w:rPr>
          <w:rFonts w:ascii="Calibri" w:hAnsi="Calibri"/>
          <w:sz w:val="22"/>
        </w:rPr>
        <w:t xml:space="preserve"> pentru fiecare 20 de locuri de parcare sau o fracțiune a acestora.</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În cazul parcărilor cu locuri de parcare accesibile, astfel cum se prevede în Documentul de bază privind siguranța în utilizare și accesibilitate (DB SUA), se va instala câte o </w:t>
      </w:r>
      <w:r>
        <w:rPr>
          <w:rFonts w:ascii="Calibri" w:hAnsi="Calibri"/>
          <w:i/>
          <w:sz w:val="22"/>
        </w:rPr>
        <w:t>stație de reîncărcare</w:t>
      </w:r>
      <w:r>
        <w:rPr>
          <w:rFonts w:ascii="Calibri" w:hAnsi="Calibri"/>
          <w:sz w:val="22"/>
        </w:rPr>
        <w:t xml:space="preserve"> pentru fiecare cinci locuri de parcare accesibile. </w:t>
      </w:r>
      <w:r>
        <w:rPr>
          <w:rFonts w:ascii="Calibri" w:hAnsi="Calibri"/>
          <w:i/>
          <w:sz w:val="22"/>
        </w:rPr>
        <w:t>Stațiile de reîncărcare</w:t>
      </w:r>
      <w:r>
        <w:rPr>
          <w:rFonts w:ascii="Calibri" w:hAnsi="Calibri"/>
          <w:sz w:val="22"/>
        </w:rPr>
        <w:t xml:space="preserve"> din aceste locații sunt luate în considerare în scopul conformității cu cuantificarea cerinței.</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lastRenderedPageBreak/>
        <w:t>3</w:t>
      </w:r>
      <w:r>
        <w:rPr>
          <w:rFonts w:ascii="Calibri" w:hAnsi="Calibri"/>
          <w:sz w:val="22"/>
        </w:rPr>
        <w:tab/>
        <w:t xml:space="preserve">Pentru clădirile care au unități destinate </w:t>
      </w:r>
      <w:r>
        <w:rPr>
          <w:rFonts w:ascii="Calibri" w:hAnsi="Calibri"/>
          <w:i/>
          <w:sz w:val="22"/>
        </w:rPr>
        <w:t xml:space="preserve">utilizării rezidențiale private </w:t>
      </w:r>
      <w:r>
        <w:rPr>
          <w:rFonts w:ascii="Calibri" w:hAnsi="Calibri"/>
          <w:sz w:val="22"/>
        </w:rPr>
        <w:t>împreună cu unitățile pentru utilizări diferite, în cazul în care zonele de parcare legate de fiecare utilizare nu sunt clar diferențiate, se aplică criteriul pentru utilizarea caracteristică a clădirii.</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Justificarea cerinței</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Pentru a demonstra că o clădire îndeplinește cerințele prezentului document de bază, documentele de proiectare trebuie să includă următoarele informații privind clădirea sau partea relevantă a acesteia:</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diagrama de cablare utilizată pentru dimensionare, astfel cum este descrisă în regulamentul electrotehnic de joasă tensiune;</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descrierea canalului principal și a conductelor pregătite, cu indicarea procentului de locuri de parcare cu sisteme de cablare și procentul minim necesar;</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numărul de </w:t>
      </w:r>
      <w:r>
        <w:rPr>
          <w:rFonts w:ascii="Calibri" w:hAnsi="Calibri"/>
          <w:i/>
          <w:sz w:val="22"/>
        </w:rPr>
        <w:t>stații de reîncărcare</w:t>
      </w:r>
      <w:r>
        <w:rPr>
          <w:rFonts w:ascii="Calibri" w:hAnsi="Calibri"/>
          <w:sz w:val="22"/>
        </w:rPr>
        <w:t xml:space="preserve"> instalate și numărul minim care rezultă din cuantificarea cerinței;</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tipurile de </w:t>
      </w:r>
      <w:r>
        <w:rPr>
          <w:rFonts w:ascii="Calibri" w:hAnsi="Calibri"/>
          <w:i/>
          <w:sz w:val="22"/>
        </w:rPr>
        <w:t xml:space="preserve"> stații de reîncărcare </w:t>
      </w:r>
      <w:r>
        <w:rPr>
          <w:rFonts w:ascii="Calibri" w:hAnsi="Calibri"/>
          <w:sz w:val="22"/>
        </w:rPr>
        <w:t xml:space="preserve"> și puterea lor maximă nominală.</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Construcție, întreținere și conservare</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Executare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Lucrările de construcție a clădirii se efectuează în conformitate cu proiectul și modificările sale autorizate de către directorul de lucrări, sub rezerva acordului dezvoltatorului, a legislației aplicabile, a specificațiilor Regulamentului electrotehnic de joasă tensiune și a Instrucțiunii tehnice suplimentare ITC BT-52 „Instalații cu destinație specială. Infrastructura de reîncărcare a </w:t>
      </w:r>
      <w:r>
        <w:rPr>
          <w:rFonts w:ascii="Calibri" w:hAnsi="Calibri"/>
          <w:i/>
          <w:sz w:val="22"/>
        </w:rPr>
        <w:t>vehiculelor electrice</w:t>
      </w:r>
      <w:r>
        <w:rPr>
          <w:rFonts w:ascii="Calibri" w:hAnsi="Calibri"/>
          <w:sz w:val="22"/>
        </w:rPr>
        <w:t>”, la standardele de bune practici de construcție și la instrucțiunile directorului de lucrările și ale directorului de executare a proiectului, astfel cum se menționează la articolul 7 din partea I a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Monitorizarea executării lucrărilor</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Executarea lucrărilor </w:t>
      </w:r>
      <w:r>
        <w:rPr>
          <w:rFonts w:ascii="Calibri" w:hAnsi="Calibri"/>
          <w:color w:val="FF0000"/>
          <w:sz w:val="22"/>
        </w:rPr>
        <w:t xml:space="preserve"> </w:t>
      </w:r>
      <w:r>
        <w:rPr>
          <w:rFonts w:ascii="Calibri" w:hAnsi="Calibri"/>
          <w:sz w:val="22"/>
        </w:rPr>
        <w:t>se monitorizează în conformitate cu specificațiile proiectului, anexele și modificările sale autorizate de către directorul de lucrări și cu instrucțiunile directorului de executare a proiectului, în conformitate cu specificațiile Regulamentului electrotehnic de joasă tensiune, în conformitate cu articolul 7 alineatul (3) din partea I a CTE și cu alte reglementări aplicabile.</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Executarea lucrărilor se verifică pentru a se asigura că inspecțiile sunt efectuate la frecvența cerută, conform specificațiilor proiectului.</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Orice modificare efectuată în timpul executării lucrărilor se înregistrează în documentația de lucru completată și, în toate cazurile, trebuie îndeplinite condițiile minime stabilite în prezentul document de bază.</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Documentația referitoare la caracteristicile produselor, echipamentelor și sistemelor încorporate în clădire va fi inclusă în Cartea clădirii.</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Verificarea lucrărilor finalizate</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Inspecția lucrărilor finalizate trebuie să respecte criteriile indicate la articolul 7 alineatul (4) din partea I a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Această secțiune a documentului de bază nu prevede teste finale.</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lastRenderedPageBreak/>
        <w:t>5.4 Întreținerea și conservarea clădirii</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Planul de întreținere inclus în Cartea clădirii trebuie să includă operațiunile și frecvența necesare pentru întreținerea, în timp, a parametrilor de proiectare și performanță ai </w:t>
      </w:r>
      <w:r>
        <w:rPr>
          <w:rFonts w:ascii="Calibri" w:hAnsi="Calibri"/>
          <w:i/>
          <w:sz w:val="22"/>
        </w:rPr>
        <w:t>infrastructurii de încărcare a vehiculelor electrice</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De asemenea, Cartea clădirii va documenta toate intervențiile, fie că este vorba de lucrări de reparații, renovare sau reabilitare, efectuate pe toată durata de viață a clădirii.”</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În anexa A, termenii „Iluminare inițială” și „Reflectanță” se elimină.</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În anexa A, în definiția „coeficientului total de transfer al căldurii (prin anvelopa termică a clădirii) (K)”, textul: „... K = X Hx/Aint...” se va citi, cu „x”, „x” și „int” ca subindice: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/A</w:t>
      </w:r>
      <w:r>
        <w:rPr>
          <w:rFonts w:ascii="Calibri" w:hAnsi="Calibri"/>
          <w:sz w:val="22"/>
          <w:vertAlign w:val="subscript"/>
        </w:rPr>
        <w:t>int</w:t>
      </w:r>
      <w:r>
        <w:rPr>
          <w:rFonts w:ascii="Calibri" w:hAnsi="Calibri"/>
          <w:sz w:val="22"/>
        </w:rPr>
        <w:t>...”, termenii «pereți parietodinamici» și «pereți Trombe» ar trebui să fie redactați cu caractere cursive.</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În anexa A, în definiția „Densității”, cuvântul „densitate” de la al doilea paragraf ar trebui să fie redactat cu caractere cursive.</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În anexa A, în definiția „Condițiilor de funcționare”, termenul „uz rezidențial privat” ar trebui să fie redactat cu caractere cursive.</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În anexa A, în definiția „Consumului primar de energie din surse neregenerabile”, textul: „... Consumul de energie primară din surse neregenerabile...” se înlocuiește cu „ep,nren” ca subindice: „... Consumul de energie primară neregenerabilă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În anexa A, în definiția „Consumului total de energie primară”, care are următoarea formulare: „... Consumul total de energie primară...” se înlocuiește cu „ep,tot” ca subindice: „... Consumul total de energie primară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În anexa A, în definiția „controlului solar (q</w:t>
      </w:r>
      <w:r>
        <w:rPr>
          <w:rFonts w:ascii="Calibri" w:hAnsi="Calibri"/>
          <w:sz w:val="22"/>
          <w:vertAlign w:val="subscript"/>
        </w:rPr>
        <w:t>sol;jul</w:t>
      </w:r>
      <w:r>
        <w:rPr>
          <w:rFonts w:ascii="Calibri" w:hAnsi="Calibri"/>
          <w:sz w:val="22"/>
        </w:rPr>
        <w:t>)”, care are următoarea formulare: „... suprafața utilă a spațiilor...” se va citi: „... suprafața utilă a spațiilor de locuit...”. Punctul și noul paragraf de la sfârșitul definiției componentei formulei „Hsol;jul” se înlocuiesc cu punct și virgulă, iar definiția unei alte componente a formulei se adaugă după cum urmează:</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w:t>
      </w:r>
      <w:r>
        <w:rPr>
          <w:rFonts w:ascii="Calibri" w:hAnsi="Calibri"/>
          <w:sz w:val="22"/>
          <w:vertAlign w:val="subscript"/>
        </w:rPr>
        <w:t>util</w:t>
      </w:r>
      <w:r>
        <w:rPr>
          <w:rFonts w:ascii="Calibri" w:hAnsi="Calibri"/>
          <w:sz w:val="22"/>
        </w:rPr>
        <w:t>zonă considerată a fi în conformitate cu secțiunea 4.6 din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În anexa A, în definiția termenului „Energie finală”, sintagma „Este cea achiziționată de consumatori, sub formă de energie electrică sau combustibili utilizați direct” se înlocuiește cu „Este cea furnizată sistemelor de clădiri pentru a furniza servicii; aceasta este de obicei furnizată prin combustibili, producție la fața locului sau rețele specifice (energie electrică, gaze, încălzire sau răcire centralizată etc.)”.</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În anexa A, în definiția „Spațiului de locuit condiționat”, termenul „utilizare rezidențială privată” ar trebui să fie redactat cu caractere cursive.</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În anexa A, în definiția „Perioadei de utilizare”, termenul „utilizare rezidențială privată” de la al doilea paragraf ar trebui să fie redactat cu caractere cursive.</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În anexa A, în definiția termenului „Transmitanță termică (valoare U)”, se adaugă următoarea teză la sfârșitul definiției:</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„Se exprimă în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În anexa A, în definiția „Valorii de eficiență energetică a instalației (VEEI)”, termenul „utilizare rezidențială privată” ar trebui să fie redactat cu caractere cursive.</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lastRenderedPageBreak/>
        <w:t>(xx) Următorii termeni sunt încorporați în anexa A „Terminologie”:</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Echipamente auxiliare”</w:t>
      </w:r>
      <w:r>
        <w:rPr>
          <w:rFonts w:ascii="Calibri" w:hAnsi="Calibri"/>
          <w:sz w:val="22"/>
        </w:rPr>
        <w:t>înseamnă</w:t>
      </w:r>
      <w:r>
        <w:rPr>
          <w:rFonts w:ascii="Calibri" w:hAnsi="Calibri"/>
          <w:b/>
          <w:sz w:val="22"/>
        </w:rPr>
        <w:t xml:space="preserve"> </w:t>
      </w:r>
      <w:r>
        <w:rPr>
          <w:rFonts w:ascii="Calibri" w:hAnsi="Calibri"/>
          <w:sz w:val="22"/>
        </w:rPr>
        <w:t>echipamente electrice sau electronice asociate cu lumina, diferite pentru fiecare tip de lumină, a căror funcție este aprinderea și controlul condițiilor de funcționare. Aceste echipamente auxiliare, cu excepția cazului în care sunt electronice, sunt formate dintr-o combinație de demaror, balast și condensator.”</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Stație de încărcare”</w:t>
      </w:r>
      <w:r>
        <w:rPr>
          <w:rFonts w:ascii="Calibri" w:hAnsi="Calibri"/>
          <w:sz w:val="22"/>
        </w:rPr>
        <w:t xml:space="preserve"> înseamnă</w:t>
      </w:r>
      <w:r>
        <w:rPr>
          <w:rFonts w:ascii="Calibri" w:hAnsi="Calibri"/>
          <w:b/>
          <w:sz w:val="22"/>
        </w:rPr>
        <w:t xml:space="preserve"> </w:t>
      </w:r>
      <w:r>
        <w:rPr>
          <w:rFonts w:ascii="Calibri" w:hAnsi="Calibri"/>
          <w:sz w:val="22"/>
        </w:rPr>
        <w:t xml:space="preserve">un set de elemente necesare pentru a conecta vehiculul electric la instalația electrică fixă necesară pentru încărcare. </w:t>
      </w:r>
      <w:r>
        <w:rPr>
          <w:rFonts w:ascii="Calibri" w:hAnsi="Calibri"/>
          <w:i/>
          <w:sz w:val="22"/>
        </w:rPr>
        <w:t>Stațiile de încărcare</w:t>
      </w:r>
      <w:r>
        <w:rPr>
          <w:rFonts w:ascii="Calibri" w:hAnsi="Calibri"/>
          <w:sz w:val="22"/>
        </w:rPr>
        <w:t xml:space="preserve"> sunt clasificate ca:</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Punct de încărcare simplu, compus din protecțiile necesare, una sau mai multe prize care nu sunt specifice </w:t>
      </w:r>
      <w:r>
        <w:rPr>
          <w:rFonts w:ascii="Calibri" w:hAnsi="Calibri"/>
          <w:i/>
          <w:sz w:val="22"/>
        </w:rPr>
        <w:t>vehiculului electric</w:t>
      </w:r>
      <w:r>
        <w:rPr>
          <w:rFonts w:ascii="Calibri" w:hAnsi="Calibri"/>
          <w:sz w:val="22"/>
        </w:rPr>
        <w:t xml:space="preserve"> și, după caz, anvelopei.</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Punct de reîncărcare de tip SAVE</w:t>
      </w:r>
      <w:r>
        <w:rPr>
          <w:rFonts w:ascii="Calibri" w:hAnsi="Calibri"/>
          <w:i/>
          <w:sz w:val="22"/>
        </w:rPr>
        <w:t xml:space="preserve"> (Sistem de alimentare specific pentru vehicule electrice)</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Infrastructură de încărcare pentru vehicule electrice</w:t>
      </w:r>
      <w:r>
        <w:rPr>
          <w:rFonts w:ascii="Calibri" w:hAnsi="Calibri"/>
          <w:sz w:val="22"/>
        </w:rPr>
        <w:t xml:space="preserve"> înseamnă</w:t>
      </w:r>
      <w:r>
        <w:rPr>
          <w:rFonts w:ascii="Calibri" w:hAnsi="Calibri"/>
          <w:b/>
          <w:sz w:val="22"/>
        </w:rPr>
        <w:t xml:space="preserve"> </w:t>
      </w:r>
      <w:r>
        <w:rPr>
          <w:rFonts w:ascii="Calibri" w:hAnsi="Calibri"/>
          <w:sz w:val="22"/>
        </w:rPr>
        <w:t xml:space="preserve">un set de dispozitive fizice și logice destinate încărcării vehiculelor electrice care îndeplinesc cerințele de siguranță și disponibilitate prevăzute pentru fiecare caz de Regulamentul electrotehnic de joasă tensiune, capabile să furnizeze un serviciu de încărcare complet și cuprinzător. Acesta include </w:t>
      </w:r>
      <w:r>
        <w:rPr>
          <w:rFonts w:ascii="Calibri" w:hAnsi="Calibri"/>
          <w:i/>
          <w:sz w:val="22"/>
        </w:rPr>
        <w:t>stații de încărcare</w:t>
      </w:r>
      <w:r>
        <w:rPr>
          <w:rFonts w:ascii="Calibri" w:hAnsi="Calibri"/>
          <w:sz w:val="22"/>
        </w:rPr>
        <w:t xml:space="preserve">, sistemul de control, conductele electrice, panourile electrice de comandă și protecție și echipamentele de măsurare, atunci când acestea sunt destinate exclusiv încărcării </w:t>
      </w:r>
      <w:r>
        <w:rPr>
          <w:rFonts w:ascii="Calibri" w:hAnsi="Calibri"/>
          <w:i/>
          <w:sz w:val="22"/>
        </w:rPr>
        <w:t>vehiculelor electrice</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Sistem de alimentare specific pentru vehicule electrice (SAVE)”</w:t>
      </w:r>
      <w:r>
        <w:rPr>
          <w:rFonts w:ascii="Calibri" w:hAnsi="Calibri"/>
          <w:sz w:val="22"/>
        </w:rPr>
        <w:t xml:space="preserve"> înseamnă un set de echipamente asamblate pentru alimentarea cu energie electrică pentru încărcarea unui vehicul electric inclusiv protecția stației de încărcare, cablul de conectare (cu conductoare de fază, neutre și de protecție) baza prizei sau conectorul și, după caz, un convertizor alternativ-continuu. Dacă este cazul, acest sistem permite comunicarea între </w:t>
      </w:r>
      <w:r>
        <w:rPr>
          <w:rFonts w:ascii="Calibri" w:hAnsi="Calibri"/>
          <w:i/>
          <w:sz w:val="22"/>
        </w:rPr>
        <w:t>vehiculul electric</w:t>
      </w:r>
      <w:r>
        <w:rPr>
          <w:rFonts w:ascii="Calibri" w:hAnsi="Calibri"/>
          <w:sz w:val="22"/>
        </w:rPr>
        <w:t xml:space="preserve"> și instalația fixă.”</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Utilizare rezidențială privată</w:t>
      </w:r>
      <w:r>
        <w:rPr>
          <w:rFonts w:ascii="Calibri" w:hAnsi="Calibri"/>
          <w:sz w:val="22"/>
        </w:rPr>
        <w:t xml:space="preserve"> înseamnă o clădire sau o suprafață destinată reședinței permanente, indiferent de tipul de clădire: locuință unifamilială, bloc de apartamente etc., atât pentru dezvoltarea publică, cât și pentru cea privată.” </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Vehicul electric</w:t>
      </w:r>
      <w:r>
        <w:rPr>
          <w:rFonts w:ascii="Calibri" w:hAnsi="Calibri"/>
          <w:sz w:val="22"/>
        </w:rPr>
        <w:t xml:space="preserve"> înseamnă un autovehicul echipat cu un grup propulsor cu cel puțin un mecanism electric neperiferic care funcționează ca convertizor de energie și echipat cu un sistem reîncărcabil de stocare a energiei electrice, care poate fi reîncărcat din exterior.”</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În anexa C, termenul „anvelopă termică” din titlu și termenul „spații nelocuibile” din secțiunea 1 litera (a) trebuie să fie redactați cu caractere cursive.</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În anexa D, termenii „Condiții de funcționare”, „profiluri de utilizare” și „utilizare rezidențială privată” trebuie să fie redactați cu caractere cursive în titlu, punctul 2 și în tabelele Tabelul a-Anexa D, Tabelul b-Anexa D și Tabelul c-Anexa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În anexa D, punctul „2 </w:t>
      </w:r>
      <w:r>
        <w:rPr>
          <w:rFonts w:ascii="Calibri" w:hAnsi="Calibri"/>
          <w:i/>
          <w:sz w:val="22"/>
        </w:rPr>
        <w:t>Condiții de funcționare</w:t>
      </w:r>
      <w:r>
        <w:rPr>
          <w:rFonts w:ascii="Calibri" w:hAnsi="Calibri"/>
          <w:sz w:val="22"/>
        </w:rPr>
        <w:t xml:space="preserve"> și, </w:t>
      </w:r>
      <w:r>
        <w:rPr>
          <w:rFonts w:ascii="Calibri" w:hAnsi="Calibri"/>
          <w:i/>
          <w:sz w:val="22"/>
        </w:rPr>
        <w:t>profilul de utilizare</w:t>
      </w:r>
      <w:r>
        <w:rPr>
          <w:rFonts w:ascii="Calibri" w:hAnsi="Calibri"/>
          <w:sz w:val="22"/>
        </w:rPr>
        <w:t xml:space="preserve">...” ar trebui să fie renumerotate „3 </w:t>
      </w:r>
      <w:r>
        <w:rPr>
          <w:rFonts w:ascii="Calibri" w:hAnsi="Calibri"/>
          <w:i/>
          <w:sz w:val="22"/>
        </w:rPr>
        <w:t>Condiții de funcționare</w:t>
      </w:r>
      <w:r>
        <w:rPr>
          <w:rFonts w:ascii="Calibri" w:hAnsi="Calibri"/>
          <w:sz w:val="22"/>
        </w:rPr>
        <w:t xml:space="preserve"> și </w:t>
      </w:r>
      <w:r>
        <w:rPr>
          <w:rFonts w:ascii="Calibri" w:hAnsi="Calibri"/>
          <w:i/>
          <w:sz w:val="22"/>
        </w:rPr>
        <w:t>profilul de utilizare</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În anexa D punctul 4, textul „Document recunoscut” se înlocuiește cu „Document recunoscut pentru certificarea energetică a clădirilor”.</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(ccc) În anexa E, termenul „utilizare rezidențială privată” de la articolul 1 ar trebui să fie redactat cu caractere cursive.</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În anexa F, termenul „utilizare rezidențială privată” ar trebui să fie redactat cu caractere cursive atât la articolul 1, cât și în tabelul a-anexa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În anexa H, după titlul secțiunii se introduce următoarea formulare: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„Determinarea </w:t>
      </w:r>
      <w:r>
        <w:rPr>
          <w:rFonts w:ascii="Calibri" w:hAnsi="Calibri"/>
          <w:i/>
          <w:sz w:val="22"/>
        </w:rPr>
        <w:t xml:space="preserve">permeabilității la aer </w:t>
      </w:r>
      <w:r>
        <w:rPr>
          <w:rFonts w:ascii="Calibri" w:hAnsi="Calibri"/>
          <w:sz w:val="22"/>
        </w:rPr>
        <w:t xml:space="preserve">a clădirii trebuie efectuată prin una dintre următoarele metode.”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În anexa H, mențiunea „Valoarea raportului variației aerului la 50 Pa, n50, poate fi obținută prin încercarea realizată conform metodei B din UNE-EN 13829:2002 Determinarea etanșeității la aer în clădiri. Metoda de presurizare cu ajutorul unui ventilator.” se înlocuiește cu: „Valoarea </w:t>
      </w:r>
      <w:r>
        <w:rPr>
          <w:rFonts w:ascii="Calibri" w:hAnsi="Calibri"/>
          <w:i/>
          <w:sz w:val="22"/>
        </w:rPr>
        <w:t>raportului variației aerului</w:t>
      </w:r>
      <w:r>
        <w:rPr>
          <w:rFonts w:ascii="Calibri" w:hAnsi="Calibri"/>
          <w:sz w:val="22"/>
        </w:rPr>
        <w:t xml:space="preserve"> la 50 Pa, n</w:t>
      </w:r>
      <w:r>
        <w:rPr>
          <w:rFonts w:ascii="Calibri" w:hAnsi="Calibri"/>
          <w:sz w:val="22"/>
          <w:vertAlign w:val="subscript"/>
        </w:rPr>
        <w:t>50</w:t>
      </w:r>
      <w:r>
        <w:rPr>
          <w:rFonts w:ascii="Calibri" w:hAnsi="Calibri"/>
          <w:sz w:val="22"/>
        </w:rPr>
        <w:t xml:space="preserve"> prin încercări se obține prin metoda 1 sau 2 din UNE-EN ISO 9972: 2019 </w:t>
      </w:r>
      <w:r>
        <w:rPr>
          <w:rFonts w:ascii="Calibri" w:hAnsi="Calibri"/>
          <w:i/>
          <w:sz w:val="22"/>
        </w:rPr>
        <w:t>Performanța termică a clădirilor. Determinarea permeabilității la aer a clădirilor. Metoda de presurizare cu ventilator.”.</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În Secțiunea H, articolul 2, textul: „... 2. Valoarea raportului variației aerului la 50 Pa, n</w:t>
      </w:r>
      <w:r>
        <w:rPr>
          <w:rFonts w:ascii="Calibri" w:hAnsi="Calibri"/>
          <w:sz w:val="22"/>
          <w:vertAlign w:val="subscript"/>
        </w:rPr>
        <w:t>50</w:t>
      </w:r>
      <w:r>
        <w:rPr>
          <w:rFonts w:ascii="Calibri" w:hAnsi="Calibri"/>
          <w:sz w:val="22"/>
        </w:rPr>
        <w:t xml:space="preserve">, poate fi calculată din următoarea ecuație:” se înlocuiește cu: „... 1. Valoarea </w:t>
      </w:r>
      <w:r>
        <w:rPr>
          <w:rFonts w:ascii="Calibri" w:hAnsi="Calibri"/>
          <w:i/>
          <w:sz w:val="22"/>
        </w:rPr>
        <w:t>raportului dintre variația aerului</w:t>
      </w:r>
      <w:r>
        <w:rPr>
          <w:rFonts w:ascii="Calibri" w:hAnsi="Calibri"/>
          <w:sz w:val="22"/>
        </w:rPr>
        <w:t xml:space="preserve"> la 50 Pa, n</w:t>
      </w:r>
      <w:r>
        <w:rPr>
          <w:rFonts w:ascii="Calibri" w:hAnsi="Calibri"/>
          <w:sz w:val="22"/>
          <w:vertAlign w:val="subscript"/>
        </w:rPr>
        <w:t>50</w:t>
      </w:r>
      <w:r>
        <w:rPr>
          <w:rFonts w:ascii="Calibri" w:hAnsi="Calibri"/>
          <w:sz w:val="22"/>
        </w:rPr>
        <w:t xml:space="preserve"> și valorile de referință se obțin pornind de la următoarea expresie:” unde: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V”se înlocuiesc cu: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unde: „V este volumul intern al anvelopei termice, în [m</w:t>
      </w:r>
      <w:r>
        <w:rPr>
          <w:rFonts w:ascii="Calibri" w:hAnsi="Calibri"/>
          <w:sz w:val="22"/>
          <w:vertAlign w:val="superscript"/>
        </w:rPr>
        <w:t>3</w:t>
      </w:r>
      <w:r>
        <w:rPr>
          <w:rFonts w:ascii="Calibri" w:hAnsi="Calibri"/>
          <w:sz w:val="22"/>
        </w:rPr>
        <w:t>]” se înlocuiește cu: „V</w:t>
      </w:r>
      <w:r>
        <w:rPr>
          <w:rFonts w:ascii="Calibri" w:hAnsi="Calibri"/>
          <w:sz w:val="22"/>
          <w:vertAlign w:val="subscript"/>
        </w:rPr>
        <w:t>int</w:t>
      </w:r>
      <w:r>
        <w:rPr>
          <w:rFonts w:ascii="Calibri" w:hAnsi="Calibri"/>
          <w:sz w:val="22"/>
        </w:rPr>
        <w:t xml:space="preserve"> este volumul intern de aer al </w:t>
      </w:r>
      <w:r>
        <w:rPr>
          <w:rFonts w:ascii="Calibri" w:hAnsi="Calibri"/>
          <w:i/>
          <w:sz w:val="22"/>
        </w:rPr>
        <w:t>anvelopei termice</w:t>
      </w:r>
      <w:r>
        <w:rPr>
          <w:rFonts w:ascii="Calibri" w:hAnsi="Calibri"/>
          <w:sz w:val="22"/>
        </w:rPr>
        <w:t>, în [m</w:t>
      </w:r>
      <w:r>
        <w:rPr>
          <w:rFonts w:ascii="Calibri" w:hAnsi="Calibri"/>
          <w:sz w:val="22"/>
          <w:vertAlign w:val="superscript"/>
        </w:rPr>
        <w:t>3</w:t>
      </w:r>
      <w:r>
        <w:rPr>
          <w:rFonts w:ascii="Calibri" w:hAnsi="Calibri"/>
          <w:sz w:val="22"/>
        </w:rPr>
        <w:t>]”, și unde: „A</w:t>
      </w:r>
      <w:r>
        <w:rPr>
          <w:rFonts w:ascii="Calibri" w:hAnsi="Calibri"/>
          <w:sz w:val="22"/>
          <w:vertAlign w:val="subscript"/>
        </w:rPr>
        <w:t>o</w:t>
      </w:r>
      <w:r>
        <w:rPr>
          <w:rFonts w:ascii="Calibri" w:hAnsi="Calibri"/>
          <w:sz w:val="22"/>
        </w:rPr>
        <w:t xml:space="preserve"> este suprafața părții opace a </w:t>
      </w:r>
      <w:r>
        <w:rPr>
          <w:rFonts w:ascii="Calibri" w:hAnsi="Calibri"/>
          <w:i/>
          <w:sz w:val="22"/>
        </w:rPr>
        <w:t>anvelopei termice</w:t>
      </w:r>
      <w:r>
        <w:rPr>
          <w:rFonts w:ascii="Calibri" w:hAnsi="Calibri"/>
          <w:sz w:val="22"/>
        </w:rPr>
        <w:t>, în [m</w:t>
      </w:r>
      <w:r>
        <w:rPr>
          <w:rFonts w:ascii="Calibri" w:hAnsi="Calibri"/>
          <w:sz w:val="22"/>
          <w:vertAlign w:val="superscript"/>
        </w:rPr>
        <w:t>2</w:t>
      </w:r>
      <w:r>
        <w:rPr>
          <w:rFonts w:ascii="Calibri" w:hAnsi="Calibri"/>
          <w:sz w:val="22"/>
        </w:rPr>
        <w:t>]” se înlocuiește cu: „A</w:t>
      </w:r>
      <w:r>
        <w:rPr>
          <w:rFonts w:ascii="Calibri" w:hAnsi="Calibri"/>
          <w:sz w:val="22"/>
          <w:vertAlign w:val="subscript"/>
        </w:rPr>
        <w:t>o</w:t>
      </w:r>
      <w:r>
        <w:rPr>
          <w:rFonts w:ascii="Calibri" w:hAnsi="Calibri"/>
          <w:sz w:val="22"/>
        </w:rPr>
        <w:t xml:space="preserve"> este suprafața părții opace a </w:t>
      </w:r>
      <w:r>
        <w:rPr>
          <w:rFonts w:ascii="Calibri" w:hAnsi="Calibri"/>
          <w:i/>
          <w:sz w:val="22"/>
        </w:rPr>
        <w:t>anvelopei termice</w:t>
      </w:r>
      <w:r>
        <w:rPr>
          <w:rFonts w:ascii="Calibri" w:hAnsi="Calibri"/>
          <w:sz w:val="22"/>
        </w:rPr>
        <w:t xml:space="preserve"> în contact cu aerul exterior, la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În anexa H, termenii „anvelopa termică” și „găuri” ar trebui să fie redactate cu caractere cursive în descrierea termenilor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și în tabelul a-anexa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4.</w:t>
      </w:r>
      <w:r>
        <w:rPr>
          <w:rFonts w:ascii="Calibri" w:hAnsi="Calibri"/>
          <w:b/>
          <w:sz w:val="22"/>
        </w:rPr>
        <w:t xml:space="preserve"> </w:t>
      </w:r>
      <w:r>
        <w:rPr>
          <w:rFonts w:ascii="Calibri" w:hAnsi="Calibri"/>
          <w:sz w:val="22"/>
        </w:rPr>
        <w:t xml:space="preserve">Următoarele modificări sunt introduse în Documentul de bază DB-SUA „Siguranță în utilizare și accesibilitate” inclus în Partea a II-a a Codului tehnic al construcțiilor: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În anexa A, definiția „Spațiu de parcare accesibil” include o liniuță cu textul:</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În cazul în care </w:t>
      </w:r>
      <w:r>
        <w:rPr>
          <w:rFonts w:ascii="Calibri" w:hAnsi="Calibri"/>
          <w:i/>
          <w:sz w:val="22"/>
        </w:rPr>
        <w:t>spațiul de parcare accesibil</w:t>
      </w:r>
      <w:r>
        <w:rPr>
          <w:rFonts w:ascii="Calibri" w:hAnsi="Calibri"/>
          <w:sz w:val="22"/>
        </w:rPr>
        <w:t xml:space="preserve"> are o stație de încărcare pentru vehicule electrice, </w:t>
      </w:r>
      <w:r>
        <w:rPr>
          <w:rFonts w:ascii="Calibri" w:hAnsi="Calibri"/>
          <w:i/>
          <w:sz w:val="22"/>
        </w:rPr>
        <w:t>itinerariul accesibil</w:t>
      </w:r>
      <w:r>
        <w:rPr>
          <w:rFonts w:ascii="Calibri" w:hAnsi="Calibri"/>
          <w:sz w:val="22"/>
        </w:rPr>
        <w:t xml:space="preserve"> include, de asemenea, această stație de încărcare. Prizele de putere și conectorii acestor stații de încărcare trebuie să fie contrastați cromatic cu mediul, amplasați la o înălțime cuprinsă între 80 și 120 cm, iar distanța de la colțuri trebuie să fie de cel puțin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5. Următoarele modificări sunt introduse în documentul de bază DB-HS „Sănătate”, incluse în partea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În secțiunea HA 4, la articolul 3.2.2.1 punctul 2, teza „contribuția minimă a energiei solare la producția de apă caldă menajeră” se înlocuiește cu teza „contribuția minimă a energiei din surse regenerabile la acoperirea cererii de apă caldă menajeră”.</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În HS articolul 4, la articolul 6.2 litera „(e) tuburi din policlorură de vinil (PVC-C) în conformitate cu UNE-EN ISO 15874-1:2013, UNE-EN ISO 15874-2:2013 și UNE-EN ISO 15874-3:2013;” se înlocuiește cu litera „(e) tuburi din clorură de vinil policlorurat (PVC-C), în conformitate cu UNE-EN ISO 15877-1:2009 (+UNE-EN ISO 15877-1:2009/A1): 2011), UNE-EN ISO 15877-2:2009 (+UNE-EN ISO 15877-2:2009/A1: 2011) și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În secțiunea HS 4, la articolul 6.2 litera „(h) țevi din polibutilenă (PB) în conformitate cu UNE-EN ISO 15876-1:2017, UNE-EN ISO 15876-2:2017 și UNE-EN ISO 15876-3:2017;” se înlocuiește cu litera „(h) țevi din polibutenă (PB) în conformitate cu UNE-EN ISO 15876-1:2017, UNE-EN ISO 15876-2:2017 și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(d) În</w:t>
      </w:r>
      <w:r>
        <w:rPr>
          <w:rFonts w:ascii="Calibri" w:hAnsi="Calibri"/>
          <w:b/>
          <w:sz w:val="22"/>
        </w:rPr>
        <w:t xml:space="preserve"> </w:t>
      </w:r>
      <w:r>
        <w:rPr>
          <w:rFonts w:ascii="Calibri" w:hAnsi="Calibri"/>
          <w:sz w:val="22"/>
        </w:rPr>
        <w:t>secțiunea HS 4, apendicele C, fiecare ocurență: „Sisteme de conducte din plastic pentru instalații de apă caldă și rece. Polibutilenă (PB). Partea 1: Dispoziții generale” se va citi: „Sisteme de conducte din plastic pentru instalații de apă caldă și rece. Polibutenă (PB). Partea 1: Dispoziții generale</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În</w:t>
      </w:r>
      <w:r>
        <w:rPr>
          <w:rFonts w:ascii="Calibri" w:hAnsi="Calibri"/>
          <w:b/>
          <w:sz w:val="22"/>
        </w:rPr>
        <w:t xml:space="preserve"> </w:t>
      </w:r>
      <w:r>
        <w:rPr>
          <w:rFonts w:ascii="Calibri" w:hAnsi="Calibri"/>
          <w:sz w:val="22"/>
        </w:rPr>
        <w:t>secțiunea HS 4, apendicele C, fiecare ocurență: „Sisteme de conducte din plastic pentru instalații de apă caldă și rece. Polibutilenă (PB). Partea 2: Conducte” se va citi: „Sisteme de conducte din plastic pentru instalații de apă caldă și rece. Polibutenă (PB). Partea 2: Conducte.</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În</w:t>
      </w:r>
      <w:r>
        <w:rPr>
          <w:rFonts w:ascii="Calibri" w:hAnsi="Calibri"/>
          <w:b/>
          <w:sz w:val="22"/>
        </w:rPr>
        <w:t xml:space="preserve"> </w:t>
      </w:r>
      <w:r>
        <w:rPr>
          <w:rFonts w:ascii="Calibri" w:hAnsi="Calibri"/>
          <w:sz w:val="22"/>
        </w:rPr>
        <w:t>secțiunea HS 4, apendicele C, fiecare ocurență: „Sisteme de conducte din plastic pentru instalații de apă caldă și rece. Polibutilenă (PB). Partea 3: Accesorii” se va citi: „Sisteme de conducte din plastic pentru instalații de apă caldă și rece. Polibutenă (PB). Partea 3: Accesorii.</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În secțiunea HS 4, apendicele C, următoarele trebuie încorporate după trimiterea la standardul „UNE-EN ISO 15876-3: 2017</w:t>
      </w:r>
      <w:r>
        <w:rPr>
          <w:rFonts w:ascii="Calibri" w:hAnsi="Calibri"/>
          <w:sz w:val="22"/>
        </w:rPr>
        <w:tab/>
        <w:t>Sisteme de conducte din plastic pentru instalații de apă caldă și rece. Polibutenă (PB). Partea 3: Accesorii” se introduc următoarele standarde:</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Sisteme de conducte din plastic pentru instalații de apă caldă și rece. Poli (clorură de vinil) clorată (PVC-C). Partea 1: Dispoziții generale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Sisteme de conducte din plastic pentru instalații de apă caldă și rece. Poli (clorură de vinil) clorată (PVC-C). Partea 2: Conducte.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Sisteme de conducte din plastic pentru instalații de apă caldă și rece. Poli (clorură de vinil) clorată (PVC-C). Partea 3: Accesorii.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Prima dispoziție tranzitorie. </w:t>
      </w:r>
      <w:r>
        <w:rPr>
          <w:rFonts w:ascii="Calibri" w:hAnsi="Calibri"/>
          <w:i/>
          <w:sz w:val="22"/>
        </w:rPr>
        <w:t>Clădiri exceptate de la dispozițiile prezentului decret regal.</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Modificările aduse Codului tehnic al construcțiilor (CTE) adoptate prin prezentul decret regal nu se aplică clădirilor noi sau lucrărilor asupra clădirilor existente care, în ambele cazuri, au solicitat deja o autorizație de lucrări municipale la data intrării în vigoare a prezentului decret regal.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Aceste lucrări încep în termenul maxim de eficiență al autorizației menționate, în conformitate cu normele sale de reglementare sau, în lipsa acestuia, în termen de șase luni de la acordarea autorizației respective. În caz contrar, proiectele trebuie adaptate la modificările aduse CTE aprobate prin prezentul decret regal.</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 doua dispoziție tranzitorie. </w:t>
      </w:r>
      <w:r>
        <w:rPr>
          <w:rFonts w:ascii="Calibri" w:hAnsi="Calibri"/>
          <w:i/>
          <w:sz w:val="22"/>
        </w:rPr>
        <w:t>Clădirile pentru care aplicarea dispozițiilor prezentului decret regal este voluntară.</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Modificările Codului tehnic al construcțiilor aprobate prin prezentul decret regal se aplică în mod voluntar lucrărilor de construcție noi și lucrărilor asupra clădirilor existente pentru care, în ambele cazuri, se solicită o autorizație de lucrări municipale în termen de șase luni de la intrarea în vigoare a prezentului decret regal.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Aceste lucrări încep în termenul maxim de eficiență al autorizației menționate, în conformitate cu normele sale de reglementare sau, în lipsa acestuia, în termen de șase luni de la acordarea autorizației respective. În caz contrar, proiectele trebuie adaptate la modificările aduse CTE aprobate prin prezentul decret regal.</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 treia dispoziție tranzitorie. </w:t>
      </w:r>
      <w:r>
        <w:rPr>
          <w:rFonts w:ascii="Calibri" w:hAnsi="Calibri"/>
          <w:i/>
          <w:sz w:val="22"/>
        </w:rPr>
        <w:t>Clădirile pentru care aplicarea dispozițiilor prezentului decret regal este obligatorie.</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Aplicarea modificărilor aduse Codului tehnic al construcțiilor (CTE) adoptate prin prezentul decret regal este obligatorie pentru clădirile noi sau pentru lucrările asupra clădirilor existente care solicită o autorizație de lucrări municipale la mai mult de nouă luni de la intrarea în vigoare a prezentei dispoziții.</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lastRenderedPageBreak/>
        <w:t xml:space="preserve">Prima dispoziție finală. </w:t>
      </w:r>
      <w:r>
        <w:rPr>
          <w:rFonts w:ascii="Calibri" w:hAnsi="Calibri"/>
          <w:i/>
          <w:sz w:val="22"/>
        </w:rPr>
        <w:t>Modificarea Decretului regal 1053/2014 din 12 decembrie 2014 de aprobare a unei noi instrucțiuni tehnice complementare (ITC) BT 52 „Instalații cu scop special. Infrastructura pentru reîncărcarea vehiculelor electrice”, din regulamentele electrotehnice pentru joasă tensiune, aprobate prin Decretul regal 842/2002 din 2 august 2002, precum și din alte instrucțiuni tehnice complementare.</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Decretul regal 1053/2014 din 12 decembrie 2014 de aprobare a unei noi instrucțiuni tehnice complementare (ITC) BT 52 „Instalații cu destinație specială. Infrastructura pentru reîncărcarea vehiculelor electrice”, din regulamentele electrotehnice de joasă tensiune, aprobate prin Decretul regal 842/2002 din 2 august 2002, precum și din alte instrucțiuni tehnice complementare, se modifică după cum urmează: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1. Prima dispoziție suplimentară se modifică și are următoarea formulare:</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„Prima dispoziție suplimentară. Facilități structurale minime pentru încărcarea vehiculelor electrice în parcări care nu sunt alocate clădirilor, nou construite sau care fac obiectul unor renovări majore, precum și pe drumurile publice.</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În parcările nou construite sau în cele care fac obiectul unor renovări majore care nu sunt situate într-o clădire sau adiacente acesteia și, prin urmare, în afara domeniului de aplicare al Documentului de bază privind economiile de energie (DB HE) din Codul tehnic al construcțiilor, trebuie instalată cel puțin o stație de încărcare pentru fiecare 40 de locuri de parcare sau o fracțiune din acestea. O parcare este considerată a fi nou construită atunci când proiectul de construcție este prezentat administrației publice competente pentru prelucrare după intrarea în vigoare a prezentului decret regal.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Trebuie garantate instalațiile necesare pentru alimentarea stațiilor de încărcare situate în locurile pentru vehiculele electrice de pe drumurile publice prevăzute în planurile de mobilitate durabilă supramunicipale sau municipale.”</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2. Articolul 3.2 din INSTRUCȚIUNEA TEHNICĂ COMPLEMENTARĂ (ITC) BT-52 se modifică după cum urmează:</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Instalarea în parcări sau locuri de parcare colective adiacente clădirilor sau complexelor de clădiri.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Instalațiile electrice pentru încărcarea </w:t>
      </w:r>
      <w:r>
        <w:rPr>
          <w:rFonts w:ascii="Calibri" w:hAnsi="Calibri"/>
          <w:color w:val="000000"/>
          <w:sz w:val="22"/>
        </w:rPr>
        <w:t>vehiculelor electrice</w:t>
      </w:r>
      <w:r>
        <w:rPr>
          <w:rFonts w:ascii="Calibri" w:hAnsi="Calibri"/>
          <w:sz w:val="22"/>
        </w:rPr>
        <w:t xml:space="preserve"> situate în parcări sau parcări în interiorul sau adiacente clădirilor sau locuințelor trebuie să respecte oricare dintre schemele descrise mai sus.</w:t>
      </w:r>
      <w:r>
        <w:rPr>
          <w:rFonts w:ascii="Calibri" w:hAnsi="Calibri"/>
          <w:color w:val="000000"/>
          <w:sz w:val="22"/>
        </w:rPr>
        <w:t xml:space="preserve"> </w:t>
      </w:r>
      <w:r>
        <w:rPr>
          <w:rFonts w:ascii="Calibri" w:hAnsi="Calibri"/>
          <w:sz w:val="22"/>
        </w:rPr>
        <w:t>În aceeași clădire se pot utiliza scheme diferite, cu condiția ca toate cerințele prevăzute în prezenta (ITC) BT-52 să fie îndeplinite.</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În schema 4a, circuitul de încărcare trebuie să respecte condițiile de instalare descrise în (ITC) BT-15, utilizând cabluri și sisteme de conducție de aceleași tipuri și caracteristici ca pentru o șuntare individuală, iar secțiunea cablului se calculează în conformitate cu cerințele generale din secțiunea 5 din prezenta ITC. Nu este necesar să se prevadă o extindere a secțiunii cablurilor pentru a determina diametrul sau dimensiunile transversale ale sistemului de conducție care urmează să fie utilizat.</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Schema 4b se utilizează atunci când alimentarea stațiilor de încărcare este proiectată ca parte integrantă sau ca extensie a instalației electrice care deservește serviciile generale ale garajelor.</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Atât în instalațiile existente, cât și în cele noi și pentru a facilita utilizarea schemei electrice selectate, tabelele care conțin protecții generale și alte dispozitive de încărcare a vehiculelor electrice pot fi amplasate în încăperile desemnate în acest scop sau în zonele comune.</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Preinstalarea electrică pentru încărcarea vehiculelor electrice în parcările situate sau adiacente clădirilor sau complexelor de clădiri facilitează utilizarea ulterioară a oricăruia dintre posibilele scheme de instalare. Aceasta include următoarele elemente: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(a) Instalarea sistemelor de conducere prin cablu de la centralizarea contoarelor și de pe drumurile principale ale parcărilor pentru a putea alimenta ulterior stațiile de încărcare care pot fi amplasate în spațiile de parcare individuale sau în parcările auto. În cazul în care preinstalarea este planificată pentru 100 % din spații, sistemele de conducție a cablurilor trebuie să ajungă la fiecare dintre spații. În cazul în care preinstalarea nu este planificată pentru 100 % din spații, trebuie definite spațiile avute în vedere pentru conformitatea cu dispoziția de reglementare a sistemelor de conducere a cablurilor, iar aceste sisteme trebuie să ajungă la fiecare dintre aceste spații.</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Centralizarea contoarelor trebuie dimensionată în conformitate cu schema electrică aleasă pentru încărcarea vehiculului electric și astfel cum este stabilită în (ITC) BT-16. Modulele de rezervă trebuie instalate pentru cel puțin 20 % din spațiile de garaj care nu sunt asociate unei locuințe și chiar dacă toate spațiile sunt asociate cu locuințele, cel puțin un modul de rezervă. Aceste module de rezervă trebuie să aibă capacitatea de a găzdui contorul principal și dispozitivele de protecție la supracurent asociate contorului, fie cu siguranțe, fie cu întrerupătoare de circuit.</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Prizele sau conectorii instalați în stația de încărcare și întrerupătoarele sale automate de protecție trebuie să respecte una dintre opțiunile indicate la punctul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3. Punctul 5.4. primul paragraf din INSTRUCȚIA TEHNICĂ SUPLIMENTARĂ (ITC) BT-52 se modifică și are următoarea formulare:</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Punctul de conectare. </w:t>
      </w:r>
      <w:bookmarkStart w:id="26" w:name="_Hlk81468651"/>
      <w:r>
        <w:rPr>
          <w:rFonts w:ascii="Calibri" w:hAnsi="Calibri"/>
          <w:sz w:val="22"/>
        </w:rPr>
        <w:t xml:space="preserve">Punctul de conectare trebuie să fie amplasat lângă pătratul care urmează să fie furnizat și să fie instalat permanent într-o incintă.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Înălțimea minimă de instalare pentru prize și conectori trebuie să fie la 60 cm deasupra nivelului solului. </w:t>
      </w:r>
      <w:bookmarkStart w:id="27" w:name="_Hlk81468224"/>
      <w:r>
        <w:rPr>
          <w:rFonts w:ascii="Calibri" w:hAnsi="Calibri"/>
          <w:sz w:val="22"/>
        </w:rPr>
        <w:t>În cazul în care stația de încărcare este destinată uzului public, înălțimea maximă trebuie să fie de 120 cm. În locurile de parcare accesibile, prizele și conectorii trebuie să aibă un contrast cromatic cu împrejurimile, trebuie să fie amplasate la o înălțime cuprinsă între 80 și 120 cm, iar distanța până la joncțiunile de colț trebuie să fie de cel puțin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 doua dispoziție finală. </w:t>
      </w:r>
      <w:r>
        <w:rPr>
          <w:rFonts w:ascii="Calibri" w:hAnsi="Calibri"/>
          <w:i/>
          <w:sz w:val="22"/>
        </w:rPr>
        <w:t>Transpunerea în dreptul Uniunii Europene.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Prezentul decret regal transpune în dreptul spaniol articolele 8 alineatul (2), 8 alineatul (4), 8 alineatul (5) și 8 alineatul (6) din Directiva 2010/31/UE a Parlamentului European și a Consiliului privind performanța energetică a clădirilor, astfel cum a fost modificată prin Directiva (UE) 2018/844 a Parlamentului European și a Consiliului din 30 mai 2018 de modificare a Directivei 2010/31/UE </w:t>
      </w:r>
      <w:bookmarkStart w:id="28" w:name="_Hlk92814279"/>
      <w:r>
        <w:rPr>
          <w:rFonts w:ascii="Calibri" w:hAnsi="Calibri"/>
          <w:sz w:val="22"/>
        </w:rPr>
        <w:t xml:space="preserve">privind performanța energetică a clădirilor </w:t>
      </w:r>
      <w:bookmarkEnd w:id="28"/>
      <w:r>
        <w:rPr>
          <w:rFonts w:ascii="Calibri" w:hAnsi="Calibri"/>
          <w:sz w:val="22"/>
        </w:rPr>
        <w:t>și a Directivei 2012/27/UE privind eficiența energetică.</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 treia dispoziție finală. </w:t>
      </w:r>
      <w:r>
        <w:rPr>
          <w:rFonts w:ascii="Calibri" w:hAnsi="Calibri"/>
          <w:i/>
          <w:sz w:val="22"/>
        </w:rPr>
        <w:t>Intrare în vigoare.</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Prezentul decret regal intră în vigoare la data publicării sale în Monitorul Oficial al Statului.</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URMEAZĂ SĂ FIE ÎNAINTAT CONSILIULUI DE MINIȘTRI</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la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lastRenderedPageBreak/>
              <w:t>MINISTRUL TRANSPORTURILOR, MOBILITĂȚII ȘI AGENDEI URBANE</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AL TREILEA VICEPRIM-MINISTRU AL GUVERNULUI ȘI MINISTRUL TRANZIȚIEI ECOLOGICE ȘI PROVOCĂRII DEMOGRAFICE</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55EE" w14:textId="77777777" w:rsidR="00B2514A" w:rsidRDefault="00B2514A">
      <w:r>
        <w:separator/>
      </w:r>
    </w:p>
  </w:endnote>
  <w:endnote w:type="continuationSeparator" w:id="0">
    <w:p w14:paraId="114C6AF7" w14:textId="77777777" w:rsidR="00B2514A" w:rsidRDefault="00B2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55B1" w14:textId="77777777" w:rsidR="00B2514A" w:rsidRDefault="00B2514A">
      <w:r>
        <w:separator/>
      </w:r>
    </w:p>
  </w:footnote>
  <w:footnote w:type="continuationSeparator" w:id="0">
    <w:p w14:paraId="0D2EC536" w14:textId="77777777" w:rsidR="00B2514A" w:rsidRDefault="00B2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691"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692"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MINISTERUL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TRANSPORTULUI, MOBILITĂȚII ȘI POLITICII URBANE</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MINISTERUL TRANZIȚIEI ECOLOGICE ȘI PROVOCĂRII DEMOGRAFICE</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1121D"/>
    <w:rsid w:val="004D344F"/>
    <w:rsid w:val="00513973"/>
    <w:rsid w:val="00546D77"/>
    <w:rsid w:val="00717198"/>
    <w:rsid w:val="007C6042"/>
    <w:rsid w:val="008577E8"/>
    <w:rsid w:val="008D3E08"/>
    <w:rsid w:val="00991C0F"/>
    <w:rsid w:val="009B305A"/>
    <w:rsid w:val="00B00277"/>
    <w:rsid w:val="00B2514A"/>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ro-RO"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0</TotalTime>
  <Pages>17</Pages>
  <Words>7713</Words>
  <Characters>45822</Characters>
  <Application>Microsoft Office Word</Application>
  <DocSecurity>0</DocSecurity>
  <Lines>636</Lines>
  <Paragraphs>286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2022-09-12T07:38:00Z</dcterms:created>
  <dcterms:modified xsi:type="dcterms:W3CDTF">2022-09-12T07:38:00Z</dcterms:modified>
</cp:coreProperties>
</file>