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0063E" w14:paraId="58F7213C" w14:textId="77777777" w:rsidTr="00A857F7">
        <w:trPr>
          <w:cantSplit/>
        </w:trPr>
        <w:tc>
          <w:tcPr>
            <w:tcW w:w="4338" w:type="dxa"/>
            <w:gridSpan w:val="3"/>
            <w:shd w:val="clear" w:color="auto" w:fill="FFFFFF"/>
            <w:hideMark/>
          </w:tcPr>
          <w:p w14:paraId="091A81ED" w14:textId="77777777" w:rsidR="00A857F7" w:rsidRPr="00A0063E" w:rsidRDefault="00A857F7" w:rsidP="00A857F7">
            <w:pPr>
              <w:suppressAutoHyphens w:val="0"/>
              <w:spacing w:line="276" w:lineRule="auto"/>
              <w:jc w:val="center"/>
              <w:rPr>
                <w:b/>
                <w:bCs/>
                <w:color w:val="auto"/>
                <w:szCs w:val="20"/>
              </w:rPr>
            </w:pPr>
            <w:r w:rsidRPr="00A0063E">
              <w:rPr>
                <w:b/>
                <w:color w:val="auto"/>
              </w:rPr>
              <w:t>REPÚBLICA FRANCESA</w:t>
            </w:r>
          </w:p>
        </w:tc>
      </w:tr>
      <w:tr w:rsidR="00A857F7" w:rsidRPr="00A0063E" w14:paraId="2F616D12" w14:textId="77777777" w:rsidTr="00A857F7">
        <w:trPr>
          <w:cantSplit/>
          <w:trHeight w:hRule="exact" w:val="113"/>
        </w:trPr>
        <w:tc>
          <w:tcPr>
            <w:tcW w:w="1526" w:type="dxa"/>
            <w:shd w:val="clear" w:color="auto" w:fill="FFFFFF"/>
          </w:tcPr>
          <w:p w14:paraId="1BC2E738" w14:textId="77777777" w:rsidR="00A857F7" w:rsidRPr="00A0063E"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F2D22D1" w14:textId="77777777" w:rsidR="00A857F7" w:rsidRPr="00A0063E"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219D6CBE" w14:textId="77777777" w:rsidR="00A857F7" w:rsidRPr="00A0063E"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0063E" w14:paraId="643970B4" w14:textId="77777777" w:rsidTr="00A857F7">
        <w:trPr>
          <w:cantSplit/>
        </w:trPr>
        <w:tc>
          <w:tcPr>
            <w:tcW w:w="4338" w:type="dxa"/>
            <w:gridSpan w:val="3"/>
            <w:shd w:val="clear" w:color="auto" w:fill="FFFFFF"/>
            <w:hideMark/>
          </w:tcPr>
          <w:p w14:paraId="47A22048" w14:textId="77777777" w:rsidR="00A857F7" w:rsidRPr="00A0063E" w:rsidRDefault="00A857F7" w:rsidP="00A857F7">
            <w:pPr>
              <w:widowControl w:val="0"/>
              <w:snapToGrid w:val="0"/>
              <w:spacing w:before="120" w:line="276" w:lineRule="auto"/>
              <w:ind w:hanging="57"/>
              <w:jc w:val="center"/>
              <w:rPr>
                <w:rFonts w:eastAsia="Lucida Sans Unicode"/>
                <w:color w:val="auto"/>
              </w:rPr>
            </w:pPr>
            <w:r w:rsidRPr="00A0063E">
              <w:rPr>
                <w:color w:val="auto"/>
              </w:rPr>
              <w:t>Ministerio de la Transición Ecológica</w:t>
            </w:r>
          </w:p>
          <w:p w14:paraId="47676278" w14:textId="08532887" w:rsidR="00A857F7" w:rsidRPr="00A0063E" w:rsidRDefault="00A857F7" w:rsidP="00972079">
            <w:pPr>
              <w:widowControl w:val="0"/>
              <w:snapToGrid w:val="0"/>
              <w:spacing w:before="120" w:line="276" w:lineRule="auto"/>
              <w:ind w:hanging="57"/>
              <w:jc w:val="center"/>
              <w:rPr>
                <w:rFonts w:eastAsia="Lucida Sans Unicode"/>
                <w:color w:val="auto"/>
              </w:rPr>
            </w:pPr>
            <w:r w:rsidRPr="00A0063E">
              <w:rPr>
                <w:color w:val="auto"/>
              </w:rPr>
              <w:t>Ministerio de Solidaridad y Sanidad</w:t>
            </w:r>
          </w:p>
        </w:tc>
      </w:tr>
      <w:tr w:rsidR="00A857F7" w:rsidRPr="00A0063E" w14:paraId="0D1C3E98" w14:textId="77777777" w:rsidTr="00A857F7">
        <w:trPr>
          <w:cantSplit/>
          <w:trHeight w:hRule="exact" w:val="227"/>
        </w:trPr>
        <w:tc>
          <w:tcPr>
            <w:tcW w:w="1526" w:type="dxa"/>
            <w:shd w:val="clear" w:color="auto" w:fill="FFFFFF"/>
          </w:tcPr>
          <w:p w14:paraId="0AA5A4CD" w14:textId="77777777" w:rsidR="00A857F7" w:rsidRPr="00A0063E"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0FB0062C" w14:textId="77777777" w:rsidR="00A857F7" w:rsidRPr="00A0063E"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EE97436" w14:textId="77777777" w:rsidR="00A857F7" w:rsidRPr="00A0063E"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0063E" w14:paraId="38F1C3CC" w14:textId="77777777" w:rsidTr="00A857F7">
        <w:trPr>
          <w:cantSplit/>
          <w:trHeight w:hRule="exact" w:val="227"/>
        </w:trPr>
        <w:tc>
          <w:tcPr>
            <w:tcW w:w="1526" w:type="dxa"/>
            <w:shd w:val="clear" w:color="auto" w:fill="FFFFFF"/>
          </w:tcPr>
          <w:p w14:paraId="0F9A142E" w14:textId="77777777" w:rsidR="00A857F7" w:rsidRPr="00A0063E"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2504DCB7" w14:textId="77777777" w:rsidR="00A857F7" w:rsidRPr="00A0063E"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46940E34" w14:textId="77777777" w:rsidR="00A857F7" w:rsidRPr="00A0063E" w:rsidRDefault="00A857F7" w:rsidP="00A857F7">
            <w:pPr>
              <w:suppressAutoHyphens w:val="0"/>
              <w:spacing w:after="160" w:line="256" w:lineRule="auto"/>
              <w:rPr>
                <w:rFonts w:ascii="Calibri" w:eastAsia="Calibri" w:hAnsi="Calibri"/>
                <w:color w:val="auto"/>
                <w:sz w:val="22"/>
                <w:szCs w:val="22"/>
                <w:lang w:eastAsia="en-US"/>
              </w:rPr>
            </w:pPr>
          </w:p>
        </w:tc>
      </w:tr>
    </w:tbl>
    <w:p w14:paraId="17EA9DD1" w14:textId="289D73EA" w:rsidR="008347CD" w:rsidRPr="00A0063E" w:rsidRDefault="006D6666">
      <w:pPr>
        <w:pStyle w:val="SNNature"/>
      </w:pPr>
      <w:r w:rsidRPr="00A0063E">
        <w:t xml:space="preserve">Proyecto de Orden </w:t>
      </w:r>
      <w:r w:rsidRPr="00A0063E">
        <w:rPr>
          <w:rStyle w:val="SNDateSignature"/>
        </w:rPr>
        <w:t xml:space="preserve">de </w:t>
      </w:r>
    </w:p>
    <w:p w14:paraId="1EB51F43" w14:textId="190FE6AE" w:rsidR="008347CD" w:rsidRPr="00A0063E" w:rsidRDefault="00A857F7">
      <w:pPr>
        <w:pStyle w:val="SNObjet"/>
        <w:jc w:val="center"/>
      </w:pPr>
      <w:r w:rsidRPr="00A0063E">
        <w:t>por la que se fijan la lista de sustancias que presentan propiedades de alteración endocrina mencionadas en el artículo L. 5232-5, apartados I y II, del Código de Salud Pública y las categorías de productos que presentan un riesgo particular de exposición mencionado en el artículo L. 5232-5, apartado II, del Código de Salud Pública</w:t>
      </w:r>
    </w:p>
    <w:p w14:paraId="478A9991" w14:textId="77777777" w:rsidR="00A857F7" w:rsidRPr="00A0063E" w:rsidRDefault="00A857F7">
      <w:pPr>
        <w:pStyle w:val="SNObjet"/>
        <w:jc w:val="center"/>
        <w:rPr>
          <w:b w:val="0"/>
        </w:rPr>
      </w:pPr>
    </w:p>
    <w:p w14:paraId="4B5AF825" w14:textId="694CEF70" w:rsidR="008347CD" w:rsidRPr="00A0063E" w:rsidRDefault="00C46B5B">
      <w:pPr>
        <w:pStyle w:val="SNObjet"/>
        <w:jc w:val="center"/>
      </w:pPr>
      <w:r w:rsidRPr="00A0063E">
        <w:rPr>
          <w:b w:val="0"/>
        </w:rPr>
        <w:t xml:space="preserve">NOR: </w:t>
      </w:r>
    </w:p>
    <w:p w14:paraId="7BEE793B" w14:textId="1BACFF04" w:rsidR="008347CD" w:rsidRPr="00A0063E" w:rsidRDefault="00C46B5B">
      <w:pPr>
        <w:spacing w:before="720" w:after="120"/>
        <w:jc w:val="both"/>
      </w:pPr>
      <w:r w:rsidRPr="00A0063E">
        <w:rPr>
          <w:b/>
          <w:i/>
        </w:rPr>
        <w:t>Personas a las que afecta:</w:t>
      </w:r>
      <w:r w:rsidRPr="00A0063E">
        <w:rPr>
          <w:i/>
        </w:rPr>
        <w:t xml:space="preserve"> toda persona que comercialice productos destinados a los consumidores que, al término de su fabricación, contengan sustancias para las cuales la Agencia nacional de seguridad alimentaria, ambiental y de salud ocupacional (ANSES, por su versión en francés) califica las propiedades de alteración endocrina como comprobadas, presuntas o sospechosas.</w:t>
      </w:r>
    </w:p>
    <w:p w14:paraId="63145422" w14:textId="56CADA03" w:rsidR="00026E60" w:rsidRPr="00A0063E" w:rsidRDefault="00C46B5B" w:rsidP="003A3003">
      <w:pPr>
        <w:spacing w:before="120" w:after="200"/>
        <w:jc w:val="both"/>
        <w:rPr>
          <w:bCs/>
          <w:i/>
          <w:iCs/>
        </w:rPr>
      </w:pPr>
      <w:r w:rsidRPr="00A0063E">
        <w:rPr>
          <w:b/>
          <w:i/>
        </w:rPr>
        <w:t>Objeto:</w:t>
      </w:r>
      <w:r w:rsidRPr="00A0063E">
        <w:rPr>
          <w:i/>
        </w:rPr>
        <w:t xml:space="preserve"> la presente Orden identifica:</w:t>
      </w:r>
    </w:p>
    <w:p w14:paraId="72CB79D9" w14:textId="554B37C4" w:rsidR="00026E60" w:rsidRPr="00A0063E" w:rsidRDefault="00026E60" w:rsidP="00026E60">
      <w:pPr>
        <w:pStyle w:val="ListParagraph"/>
        <w:numPr>
          <w:ilvl w:val="0"/>
          <w:numId w:val="4"/>
        </w:numPr>
        <w:spacing w:before="120" w:after="200"/>
        <w:jc w:val="both"/>
        <w:rPr>
          <w:i/>
        </w:rPr>
      </w:pPr>
      <w:r w:rsidRPr="00A0063E">
        <w:rPr>
          <w:i/>
        </w:rPr>
        <w:t>las sustancias que presentan propiedades de alteración endocrina calificadas como comprobadas y presuntas según el artículo L. 5232-5 del Código de Salud Pública, en cuyo caso la información sobre la presencia en los productos contemplados en el artículo R. 5232-19 del Código de Salud Pública deberá ser puesta a disposición del público por parte de las personas que las introducen en el mercado,</w:t>
      </w:r>
    </w:p>
    <w:p w14:paraId="1EEAFD30" w14:textId="650B2653" w:rsidR="00026E60" w:rsidRPr="00A0063E" w:rsidRDefault="00026E60" w:rsidP="00026E60">
      <w:pPr>
        <w:pStyle w:val="ListParagraph"/>
        <w:numPr>
          <w:ilvl w:val="0"/>
          <w:numId w:val="4"/>
        </w:numPr>
        <w:jc w:val="both"/>
        <w:rPr>
          <w:bCs/>
          <w:i/>
          <w:iCs/>
        </w:rPr>
      </w:pPr>
      <w:r w:rsidRPr="00A0063E">
        <w:rPr>
          <w:i/>
        </w:rPr>
        <w:t>las sustancias que presentan propiedades de alteración endocrina calificadas como sospechosas según el artículo L. 5232-5, apartado II, del Código de Salud Pública,</w:t>
      </w:r>
    </w:p>
    <w:p w14:paraId="6E3CD793" w14:textId="6D0420B6" w:rsidR="00026E60" w:rsidRPr="00A0063E" w:rsidRDefault="00026E60" w:rsidP="00026E60">
      <w:pPr>
        <w:pStyle w:val="ListParagraph"/>
        <w:numPr>
          <w:ilvl w:val="0"/>
          <w:numId w:val="4"/>
        </w:numPr>
        <w:jc w:val="both"/>
        <w:rPr>
          <w:bCs/>
          <w:i/>
          <w:iCs/>
        </w:rPr>
      </w:pPr>
      <w:r w:rsidRPr="00A0063E">
        <w:rPr>
          <w:i/>
        </w:rPr>
        <w:t>las categorías de productos que presentan un riesgo particular de exposición a los que se aplica la obligación de proporcionar información sobre la presencia de sustancias que presentan propiedades de alteración endocrina calificadas como sospechosas.</w:t>
      </w:r>
      <w:bookmarkStart w:id="0" w:name="move773304541"/>
      <w:bookmarkEnd w:id="0"/>
    </w:p>
    <w:p w14:paraId="5470BC4F" w14:textId="72315F6A" w:rsidR="008347CD" w:rsidRPr="00A0063E" w:rsidRDefault="00C46B5B">
      <w:pPr>
        <w:spacing w:before="120" w:after="120"/>
        <w:jc w:val="both"/>
      </w:pPr>
      <w:r w:rsidRPr="00A0063E">
        <w:rPr>
          <w:b/>
          <w:i/>
        </w:rPr>
        <w:t>Entrada en vigor:</w:t>
      </w:r>
      <w:r w:rsidRPr="00A0063E">
        <w:rPr>
          <w:i/>
        </w:rPr>
        <w:t xml:space="preserve"> el texto entrará en vigor el 1 de enero de 2022.</w:t>
      </w:r>
    </w:p>
    <w:p w14:paraId="733E13B9" w14:textId="7E2678C1" w:rsidR="005C023A" w:rsidRPr="00A0063E" w:rsidRDefault="00C46B5B" w:rsidP="009934B3">
      <w:pPr>
        <w:spacing w:after="120"/>
        <w:jc w:val="both"/>
        <w:rPr>
          <w:i/>
          <w:iCs/>
        </w:rPr>
      </w:pPr>
      <w:r w:rsidRPr="00A0063E">
        <w:rPr>
          <w:b/>
          <w:i/>
        </w:rPr>
        <w:t>Nota explicativa:</w:t>
      </w:r>
      <w:r w:rsidRPr="00A0063E">
        <w:rPr>
          <w:i/>
        </w:rPr>
        <w:t xml:space="preserve"> el artículo 13-II de la Ley n.º 2020-105, de 10 de febrero de 2020, sobre la lucha contra los desperdicios y la economía circular (denominada Ley «AGEC»), establece que toda persona que comercialice productos destinados a los consumidores que contengan sustancias para las cuales la Agencia nacional de seguridad alimentaria, ambiental y de salud ocupacional califica las propiedades de alteración endocrina como comprobadas o presuntas deberá «poner a disposición del público, por medios electrónicos, en un formato abierto y fácilmente reutilizable y explotable por un sistema de tratamiento automatizado, para cada uno de los productos en cuestión, la información que permita identificar la presencia de dichas sustancias en tales productos». Esta obligación también se aplica a determinadas categorías de productos que presentan un riesgo particular de exposición, cuando se trata de sustancias en cuyo caso la Agencia nacional de seguridad alimentaria, ambiental y de salud ocupacional sospecha que presentan propiedades de alteración endocrina.</w:t>
      </w:r>
    </w:p>
    <w:p w14:paraId="5B62B7D5" w14:textId="4A3BF621" w:rsidR="005C023A" w:rsidRPr="00A0063E" w:rsidRDefault="005C023A" w:rsidP="005C023A">
      <w:pPr>
        <w:spacing w:after="120"/>
        <w:jc w:val="both"/>
        <w:rPr>
          <w:i/>
          <w:iCs/>
        </w:rPr>
      </w:pPr>
      <w:r w:rsidRPr="00A0063E">
        <w:rPr>
          <w:i/>
        </w:rPr>
        <w:lastRenderedPageBreak/>
        <w:t xml:space="preserve">Esta obligación está en consonancia con los objetivos de la segunda Estrategia nacional sobre las propiedades de alteración endocrina (NSPE2, por su versión en francés). Su objetivo es proporcionar a los ciudadanos información transparente sobre la presencia de sustancias con propiedades de alteración endocrina en los productos, en el sentido de sustancias, mezclas, artículos y productos alimenticios. </w:t>
      </w:r>
    </w:p>
    <w:p w14:paraId="4B8A6D79" w14:textId="26B4F5AE" w:rsidR="003A3003" w:rsidRPr="00A0063E" w:rsidRDefault="00844E8D" w:rsidP="009934B3">
      <w:pPr>
        <w:spacing w:after="120"/>
        <w:jc w:val="both"/>
        <w:rPr>
          <w:bCs/>
          <w:i/>
          <w:iCs/>
        </w:rPr>
      </w:pPr>
      <w:r w:rsidRPr="00A0063E">
        <w:rPr>
          <w:i/>
        </w:rPr>
        <w:t>Las modalidades de aplicación de esta disposición legislativa se establecieron en los artículos R. 5232-19 a R. 5232-22 del Código de Salud Pública. El artículo R. 5232-19 dispone que una orden conjunta de los Ministros de Sanidad y Medio Ambiente fijará, a propuesta de la Agencia nacional de seguridad alimentaria, ambiental y de salud ocupacional:</w:t>
      </w:r>
    </w:p>
    <w:p w14:paraId="0EF9AEBF" w14:textId="6805D919" w:rsidR="00844E8D" w:rsidRPr="00A0063E" w:rsidRDefault="005C023A" w:rsidP="003A3003">
      <w:pPr>
        <w:pStyle w:val="ListParagraph"/>
        <w:numPr>
          <w:ilvl w:val="0"/>
          <w:numId w:val="4"/>
        </w:numPr>
        <w:spacing w:after="120"/>
        <w:jc w:val="both"/>
        <w:rPr>
          <w:bCs/>
          <w:i/>
          <w:iCs/>
        </w:rPr>
      </w:pPr>
      <w:r w:rsidRPr="00A0063E">
        <w:rPr>
          <w:i/>
        </w:rPr>
        <w:t>la lista de sustancias que presentan propiedades de alteración endocrina según el artículo L. 5232-5, apartado I, dividida en dos categorías (comprobadas y presuntas) en función del nivel de pruebas científicas,</w:t>
      </w:r>
    </w:p>
    <w:p w14:paraId="1DD34A14" w14:textId="0439FE39" w:rsidR="003A3003" w:rsidRPr="00A0063E" w:rsidRDefault="00840BD7" w:rsidP="003A3003">
      <w:pPr>
        <w:pStyle w:val="ListParagraph"/>
        <w:numPr>
          <w:ilvl w:val="0"/>
          <w:numId w:val="4"/>
        </w:numPr>
        <w:autoSpaceDN w:val="0"/>
        <w:jc w:val="both"/>
        <w:textAlignment w:val="baseline"/>
        <w:rPr>
          <w:bCs/>
          <w:i/>
          <w:iCs/>
        </w:rPr>
      </w:pPr>
      <w:r w:rsidRPr="00A0063E">
        <w:rPr>
          <w:i/>
        </w:rPr>
        <w:t xml:space="preserve">la lista de sustancias que presentan propiedades de alteración endocrina sospechosas según el artículo L. 5232-5, </w:t>
      </w:r>
    </w:p>
    <w:p w14:paraId="62A7D081" w14:textId="4DFAECBB" w:rsidR="003A3003" w:rsidRPr="00A0063E" w:rsidRDefault="00840BD7" w:rsidP="003A3003">
      <w:pPr>
        <w:pStyle w:val="ListParagraph"/>
        <w:numPr>
          <w:ilvl w:val="0"/>
          <w:numId w:val="4"/>
        </w:numPr>
        <w:autoSpaceDN w:val="0"/>
        <w:jc w:val="both"/>
        <w:textAlignment w:val="baseline"/>
        <w:rPr>
          <w:bCs/>
          <w:i/>
          <w:iCs/>
        </w:rPr>
      </w:pPr>
      <w:r w:rsidRPr="00A0063E">
        <w:rPr>
          <w:i/>
        </w:rPr>
        <w:t>las categorías de productos que presentan un riesgo particular de exposición según el artículo L. 5232-5, apartado II, del Código de Salud Pública, en lo que respecta a las poblaciones expuestas, a las condiciones de uso y eliminación de dichos productos y a otros criterios pertinentes.</w:t>
      </w:r>
    </w:p>
    <w:p w14:paraId="46CC9886" w14:textId="77777777" w:rsidR="00844E8D" w:rsidRPr="00A0063E" w:rsidRDefault="00844E8D">
      <w:pPr>
        <w:spacing w:after="120"/>
        <w:jc w:val="both"/>
        <w:rPr>
          <w:i/>
          <w:iCs/>
        </w:rPr>
      </w:pPr>
    </w:p>
    <w:p w14:paraId="6983208D" w14:textId="6432FC6E" w:rsidR="008347CD" w:rsidRPr="00A0063E" w:rsidRDefault="00C46B5B">
      <w:pPr>
        <w:spacing w:after="120"/>
        <w:jc w:val="both"/>
      </w:pPr>
      <w:r w:rsidRPr="00A0063E">
        <w:rPr>
          <w:b/>
          <w:i/>
        </w:rPr>
        <w:t>Referencias:</w:t>
      </w:r>
      <w:r w:rsidRPr="00A0063E">
        <w:rPr>
          <w:i/>
        </w:rPr>
        <w:t xml:space="preserve"> el texto puede consultarse en el sitio web de </w:t>
      </w:r>
      <w:proofErr w:type="spellStart"/>
      <w:r w:rsidRPr="00A0063E">
        <w:rPr>
          <w:i/>
        </w:rPr>
        <w:t>Légifrance</w:t>
      </w:r>
      <w:proofErr w:type="spellEnd"/>
      <w:r w:rsidRPr="00A0063E">
        <w:rPr>
          <w:i/>
        </w:rPr>
        <w:t xml:space="preserve"> (http://legifrance.gouv.fr).</w:t>
      </w:r>
    </w:p>
    <w:p w14:paraId="6684B3B6" w14:textId="77777777" w:rsidR="008347CD" w:rsidRPr="00A0063E" w:rsidRDefault="008347CD">
      <w:pPr>
        <w:pStyle w:val="SNObjet"/>
        <w:rPr>
          <w:b w:val="0"/>
        </w:rPr>
      </w:pPr>
    </w:p>
    <w:p w14:paraId="0BEF3BF1" w14:textId="026CEB60" w:rsidR="008347CD" w:rsidRPr="00A0063E" w:rsidRDefault="00C46B5B">
      <w:pPr>
        <w:pStyle w:val="SNObjet"/>
      </w:pPr>
      <w:r w:rsidRPr="00A0063E">
        <w:t>La Ministra de la Transición Ecológica y el Ministro de Solidaridad y Sanidad,</w:t>
      </w:r>
    </w:p>
    <w:p w14:paraId="73DB3276" w14:textId="475B4219" w:rsidR="007F7405" w:rsidRPr="00A0063E" w:rsidRDefault="00C46B5B" w:rsidP="00A42F37">
      <w:pPr>
        <w:pStyle w:val="SNVisa"/>
        <w:ind w:firstLine="708"/>
      </w:pPr>
      <w:r w:rsidRPr="00A0063E">
        <w:t>Visto 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w:t>
      </w:r>
    </w:p>
    <w:p w14:paraId="3B2BD5A0" w14:textId="130383A4" w:rsidR="00A14477" w:rsidRPr="00A0063E" w:rsidRDefault="00A14477" w:rsidP="00A42F37">
      <w:pPr>
        <w:pStyle w:val="SNVisa"/>
        <w:ind w:firstLine="708"/>
      </w:pPr>
      <w:r w:rsidRPr="00A0063E">
        <w:t>Visto el Reglamento (CE) n.º 1107/2009 del Parlamento Europeo y del Consejo, de 21 de octubre de 2009, relativo a la comercialización de productos fitosanitarios y por el que se derogan las Directivas 79/117/CEE y 91/414/CEE del Consejo;</w:t>
      </w:r>
    </w:p>
    <w:p w14:paraId="1BAF1F3D" w14:textId="08DDD3CB" w:rsidR="008347CD" w:rsidRPr="00A0063E" w:rsidRDefault="007F7405" w:rsidP="00A42F37">
      <w:pPr>
        <w:pStyle w:val="SNVisa"/>
        <w:ind w:firstLine="708"/>
      </w:pPr>
      <w:r w:rsidRPr="00A0063E">
        <w:t>Visto el Reglamento (UE) n.º 528/2012 del Parlamento Europeo y del Consejo, de 22 de mayo de 2012, relativo a la comercialización y el uso de los biocidas;</w:t>
      </w:r>
    </w:p>
    <w:p w14:paraId="284E1EE9" w14:textId="12EEA247" w:rsidR="008347CD" w:rsidRPr="00A0063E" w:rsidRDefault="00C46B5B" w:rsidP="00A42F37">
      <w:pPr>
        <w:pStyle w:val="SNVisa"/>
        <w:ind w:firstLine="708"/>
      </w:pPr>
      <w:r w:rsidRPr="00A0063E">
        <w:t xml:space="preserve">Visto el Código de Salud Pública </w:t>
      </w:r>
      <w:bookmarkStart w:id="1" w:name="__DdeLink__11050_299813634"/>
      <w:r w:rsidRPr="00A0063E">
        <w:t>, en particular el artículo L. 5</w:t>
      </w:r>
      <w:bookmarkEnd w:id="1"/>
      <w:r w:rsidRPr="00A0063E">
        <w:t>232-5, en su redacción resultante del artículo 13 de la Ley n.º 2020-105, de 10 de febrero de 2020, sobre la lucha contra los desperdicios y la economía circular, y el artículo R. 5232-19;</w:t>
      </w:r>
    </w:p>
    <w:p w14:paraId="58048984" w14:textId="5480FE12" w:rsidR="008347CD" w:rsidRPr="00A0063E" w:rsidRDefault="00414610" w:rsidP="00A42F37">
      <w:pPr>
        <w:pStyle w:val="SNVisa"/>
        <w:ind w:firstLine="708"/>
      </w:pPr>
      <w:r w:rsidRPr="00A0063E">
        <w:t>Visto el dictamen de la Agencia nacional de seguridad alimentaria, ambiental y de salud ocupacional, emitido el XXXX,</w:t>
      </w:r>
    </w:p>
    <w:p w14:paraId="411C619F" w14:textId="77777777" w:rsidR="008347CD" w:rsidRPr="00A0063E" w:rsidRDefault="00C46B5B">
      <w:pPr>
        <w:pStyle w:val="SNActe"/>
      </w:pPr>
      <w:r w:rsidRPr="00A0063E">
        <w:t>Ordenan:</w:t>
      </w:r>
    </w:p>
    <w:p w14:paraId="78D9F457" w14:textId="77777777" w:rsidR="008347CD" w:rsidRPr="00A0063E" w:rsidRDefault="008347CD">
      <w:pPr>
        <w:pStyle w:val="SNArticle"/>
      </w:pPr>
    </w:p>
    <w:p w14:paraId="5C7F96CE" w14:textId="77777777" w:rsidR="008347CD" w:rsidRPr="00A0063E" w:rsidRDefault="00C46B5B">
      <w:pPr>
        <w:pStyle w:val="SNArticle"/>
      </w:pPr>
      <w:r w:rsidRPr="00A0063E">
        <w:t>Artículo 1</w:t>
      </w:r>
    </w:p>
    <w:p w14:paraId="25C93793" w14:textId="77777777" w:rsidR="00A42F37" w:rsidRPr="00A0063E" w:rsidRDefault="00A42F37">
      <w:pPr>
        <w:jc w:val="both"/>
      </w:pPr>
    </w:p>
    <w:p w14:paraId="658E2A64" w14:textId="1473D7BA" w:rsidR="00A42F37" w:rsidRPr="00A0063E" w:rsidRDefault="00A42F37" w:rsidP="00F92FDA">
      <w:pPr>
        <w:jc w:val="both"/>
      </w:pPr>
      <w:r w:rsidRPr="00A0063E">
        <w:t>Las sustancias que presentan propiedades de alteración endocrina comprobadas y presuntas según el artículo L. 5232-5, apartado I, del Código de Salud Pública figuran en el anexo I, cuadro A, de la presente Orden.</w:t>
      </w:r>
    </w:p>
    <w:p w14:paraId="1CB2A07C" w14:textId="61E452D4" w:rsidR="00220182" w:rsidRPr="00A0063E" w:rsidRDefault="00220182" w:rsidP="00220182">
      <w:pPr>
        <w:pStyle w:val="SNArticle"/>
      </w:pPr>
      <w:r w:rsidRPr="00A0063E">
        <w:lastRenderedPageBreak/>
        <w:t>Artículo 2</w:t>
      </w:r>
    </w:p>
    <w:p w14:paraId="0BC38752" w14:textId="77777777" w:rsidR="00220182" w:rsidRPr="00A0063E" w:rsidRDefault="00220182" w:rsidP="00220182">
      <w:pPr>
        <w:jc w:val="both"/>
      </w:pPr>
    </w:p>
    <w:p w14:paraId="29D79603" w14:textId="7710243A" w:rsidR="00220182" w:rsidRPr="00A0063E" w:rsidRDefault="00220182" w:rsidP="00220182">
      <w:pPr>
        <w:jc w:val="both"/>
      </w:pPr>
      <w:r w:rsidRPr="00A0063E">
        <w:t>Las sustancias que presentan propiedades de alteración endocrina sospechosas según el artículo L. 5232-5, apartado II, del Código de Salud Pública figuran en el anexo I, cuadro B, de la presente Orden.</w:t>
      </w:r>
    </w:p>
    <w:p w14:paraId="414AAF65" w14:textId="77777777" w:rsidR="00840BD7" w:rsidRPr="00A0063E" w:rsidRDefault="00840BD7" w:rsidP="00220182">
      <w:pPr>
        <w:jc w:val="both"/>
      </w:pPr>
    </w:p>
    <w:p w14:paraId="414FCA1E" w14:textId="71ABDFE8" w:rsidR="00220182" w:rsidRPr="00A0063E" w:rsidRDefault="00220182" w:rsidP="00220182">
      <w:pPr>
        <w:pStyle w:val="SNArticle"/>
      </w:pPr>
      <w:r w:rsidRPr="00A0063E">
        <w:t>Artículo 3</w:t>
      </w:r>
    </w:p>
    <w:p w14:paraId="2D09A589" w14:textId="77777777" w:rsidR="00220182" w:rsidRPr="00A0063E" w:rsidRDefault="00220182" w:rsidP="00220182">
      <w:pPr>
        <w:jc w:val="both"/>
      </w:pPr>
    </w:p>
    <w:p w14:paraId="19C5E591" w14:textId="14F23B7A" w:rsidR="00220182" w:rsidRPr="00A0063E" w:rsidRDefault="00220182" w:rsidP="00220182">
      <w:pPr>
        <w:jc w:val="both"/>
      </w:pPr>
      <w:r w:rsidRPr="00A0063E">
        <w:t>Las categorías de productos que presentan un riesgo particular de exposición según el artículo L. 5232-5, apartado II, del Código de Salud Pública figuran en el anexo II de la presente Orden.</w:t>
      </w:r>
    </w:p>
    <w:p w14:paraId="1FF4DAAD" w14:textId="21F9B44B" w:rsidR="00220182" w:rsidRPr="00A0063E" w:rsidRDefault="00220182" w:rsidP="00220182">
      <w:pPr>
        <w:jc w:val="both"/>
      </w:pPr>
    </w:p>
    <w:p w14:paraId="1137E4CD" w14:textId="3090F12E" w:rsidR="008347CD" w:rsidRPr="00A0063E" w:rsidRDefault="00C46B5B">
      <w:pPr>
        <w:pStyle w:val="SNArticle"/>
      </w:pPr>
      <w:r w:rsidRPr="00A0063E">
        <w:t>Artículo 4</w:t>
      </w:r>
    </w:p>
    <w:p w14:paraId="285154DB" w14:textId="77777777" w:rsidR="008347CD" w:rsidRPr="00A0063E" w:rsidRDefault="00C46B5B">
      <w:pPr>
        <w:pStyle w:val="SNArticle"/>
        <w:jc w:val="left"/>
        <w:rPr>
          <w:b w:val="0"/>
        </w:rPr>
      </w:pPr>
      <w:r w:rsidRPr="00A0063E">
        <w:rPr>
          <w:b w:val="0"/>
        </w:rPr>
        <w:t xml:space="preserve">Las disposiciones de la presente Orden entrarán en vigor el 1 de enero de 2022. </w:t>
      </w:r>
    </w:p>
    <w:p w14:paraId="716A6006" w14:textId="77777777" w:rsidR="009F20C4" w:rsidRPr="00A0063E" w:rsidRDefault="009F20C4">
      <w:pPr>
        <w:pStyle w:val="SNArticle"/>
      </w:pPr>
    </w:p>
    <w:p w14:paraId="1DE0912A" w14:textId="43814AF3" w:rsidR="008347CD" w:rsidRPr="00A0063E" w:rsidRDefault="00C46B5B">
      <w:pPr>
        <w:pStyle w:val="SNArticle"/>
      </w:pPr>
      <w:r w:rsidRPr="00A0063E">
        <w:t>Artículo 5</w:t>
      </w:r>
    </w:p>
    <w:p w14:paraId="4B2DBBEB" w14:textId="77777777" w:rsidR="008347CD" w:rsidRPr="00A0063E" w:rsidRDefault="00C46B5B">
      <w:pPr>
        <w:pStyle w:val="BodyText"/>
        <w:jc w:val="both"/>
      </w:pPr>
      <w:r w:rsidRPr="00A0063E">
        <w:t xml:space="preserve">La presente Orden se publicará en el </w:t>
      </w:r>
      <w:r w:rsidRPr="00A0063E">
        <w:rPr>
          <w:i/>
          <w:iCs/>
        </w:rPr>
        <w:t>Boletín Oficial</w:t>
      </w:r>
      <w:r w:rsidRPr="00A0063E">
        <w:t xml:space="preserve"> de la República Francesa.</w:t>
      </w:r>
    </w:p>
    <w:p w14:paraId="348F0109" w14:textId="121A36A3" w:rsidR="008347CD" w:rsidRPr="00A0063E" w:rsidRDefault="008347CD" w:rsidP="0005179D">
      <w:pPr>
        <w:tabs>
          <w:tab w:val="left" w:pos="5685"/>
        </w:tabs>
      </w:pPr>
    </w:p>
    <w:p w14:paraId="6D2787DD" w14:textId="77777777" w:rsidR="008347CD" w:rsidRPr="00A0063E" w:rsidRDefault="008347CD"/>
    <w:p w14:paraId="20942212" w14:textId="77777777" w:rsidR="008347CD" w:rsidRPr="00A0063E" w:rsidRDefault="00C46B5B">
      <w:pPr>
        <w:ind w:firstLine="540"/>
      </w:pPr>
      <w:r w:rsidRPr="00A0063E">
        <w:t xml:space="preserve">A [fecha] </w:t>
      </w:r>
    </w:p>
    <w:p w14:paraId="6DEBDEE2" w14:textId="77777777" w:rsidR="008347CD" w:rsidRPr="00A0063E" w:rsidRDefault="008347CD">
      <w:pPr>
        <w:ind w:left="539"/>
      </w:pPr>
    </w:p>
    <w:p w14:paraId="0CD275D9" w14:textId="77777777" w:rsidR="008347CD" w:rsidRPr="00A0063E" w:rsidRDefault="008347CD">
      <w:pPr>
        <w:pStyle w:val="SNSignatureGauche"/>
        <w:ind w:left="539"/>
      </w:pPr>
    </w:p>
    <w:p w14:paraId="00FFAF1F" w14:textId="77777777" w:rsidR="008347CD" w:rsidRPr="00A0063E" w:rsidRDefault="008347CD">
      <w:pPr>
        <w:pStyle w:val="SNSignatureGauche"/>
        <w:ind w:left="539"/>
      </w:pPr>
    </w:p>
    <w:p w14:paraId="6BEDEEF5" w14:textId="25330FB5" w:rsidR="008347CD" w:rsidRPr="00A0063E" w:rsidRDefault="00C46B5B">
      <w:pPr>
        <w:pStyle w:val="SNSignatureGauche"/>
        <w:ind w:left="539"/>
      </w:pPr>
      <w:r w:rsidRPr="00A0063E">
        <w:t>La Ministra de la Transición Ecológica,</w:t>
      </w:r>
    </w:p>
    <w:p w14:paraId="21F51DC6" w14:textId="77777777" w:rsidR="008347CD" w:rsidRPr="00A0063E" w:rsidRDefault="00C46B5B">
      <w:pPr>
        <w:pStyle w:val="SNSignatureDroite"/>
        <w:ind w:left="539" w:firstLine="0"/>
      </w:pPr>
      <w:r w:rsidRPr="00A0063E">
        <w:t>En nombre de la Ministra y por delegación:</w:t>
      </w:r>
    </w:p>
    <w:p w14:paraId="5384022E" w14:textId="77777777" w:rsidR="008347CD" w:rsidRPr="00A0063E" w:rsidRDefault="00C46B5B">
      <w:pPr>
        <w:pStyle w:val="SNSignatureDroite"/>
        <w:ind w:left="539" w:firstLine="0"/>
      </w:pPr>
      <w:r w:rsidRPr="00A0063E">
        <w:t>El Director General de Prevención de Riesgos,</w:t>
      </w:r>
    </w:p>
    <w:p w14:paraId="0A5482F8" w14:textId="77777777" w:rsidR="008347CD" w:rsidRPr="00A0063E" w:rsidRDefault="008347CD">
      <w:pPr>
        <w:pStyle w:val="SNSignatureGauche"/>
        <w:ind w:left="539"/>
      </w:pPr>
    </w:p>
    <w:p w14:paraId="673118EB" w14:textId="77777777" w:rsidR="008347CD" w:rsidRPr="00A0063E" w:rsidRDefault="008347CD">
      <w:pPr>
        <w:pStyle w:val="SNSignatureDroite"/>
        <w:ind w:left="539" w:firstLine="0"/>
      </w:pPr>
    </w:p>
    <w:p w14:paraId="6195CB62" w14:textId="77777777" w:rsidR="008347CD" w:rsidRPr="00A0063E" w:rsidRDefault="008347CD">
      <w:pPr>
        <w:pStyle w:val="SNSignatureGauche"/>
        <w:ind w:left="539"/>
      </w:pPr>
    </w:p>
    <w:p w14:paraId="4AA84A8A" w14:textId="77777777" w:rsidR="008347CD" w:rsidRPr="00A0063E" w:rsidRDefault="00C46B5B">
      <w:pPr>
        <w:pStyle w:val="SNSignatureDroite"/>
        <w:ind w:left="539" w:firstLine="0"/>
      </w:pPr>
      <w:r w:rsidRPr="00A0063E">
        <w:t xml:space="preserve">Cédric </w:t>
      </w:r>
      <w:proofErr w:type="spellStart"/>
      <w:r w:rsidRPr="00A0063E">
        <w:t>Bourillet</w:t>
      </w:r>
      <w:proofErr w:type="spellEnd"/>
    </w:p>
    <w:p w14:paraId="3540651A" w14:textId="77777777" w:rsidR="008347CD" w:rsidRPr="00A0063E" w:rsidRDefault="008347CD">
      <w:pPr>
        <w:ind w:left="539"/>
      </w:pPr>
    </w:p>
    <w:p w14:paraId="02736F8A" w14:textId="77777777" w:rsidR="008347CD" w:rsidRPr="00A0063E" w:rsidRDefault="008347CD">
      <w:pPr>
        <w:ind w:left="539"/>
      </w:pPr>
    </w:p>
    <w:p w14:paraId="218AB37D" w14:textId="77777777" w:rsidR="008347CD" w:rsidRPr="00A0063E" w:rsidRDefault="008347CD">
      <w:pPr>
        <w:ind w:left="539"/>
      </w:pPr>
    </w:p>
    <w:p w14:paraId="61147849" w14:textId="32EE603B" w:rsidR="008347CD" w:rsidRPr="00A0063E" w:rsidRDefault="00305F8C" w:rsidP="009934B3">
      <w:pPr>
        <w:ind w:left="539"/>
      </w:pPr>
      <w:r w:rsidRPr="00A0063E">
        <w:t>El Ministro de Solidaridad y Sanidad,</w:t>
      </w:r>
    </w:p>
    <w:p w14:paraId="69576A00" w14:textId="7DEE8A3A" w:rsidR="008347CD" w:rsidRPr="00A0063E" w:rsidRDefault="00C46B5B" w:rsidP="009934B3">
      <w:pPr>
        <w:ind w:left="539"/>
      </w:pPr>
      <w:r w:rsidRPr="00A0063E">
        <w:t>En nombre del Ministro y por delegación:</w:t>
      </w:r>
    </w:p>
    <w:p w14:paraId="598A67E7" w14:textId="77777777" w:rsidR="008347CD" w:rsidRPr="00A0063E" w:rsidRDefault="00C46B5B" w:rsidP="009934B3">
      <w:pPr>
        <w:ind w:left="539"/>
      </w:pPr>
      <w:r w:rsidRPr="00A0063E">
        <w:t>El Director General de Sanidad,</w:t>
      </w:r>
    </w:p>
    <w:p w14:paraId="2DC0E3F5" w14:textId="77777777" w:rsidR="008347CD" w:rsidRPr="00A0063E" w:rsidRDefault="008347CD" w:rsidP="009934B3">
      <w:pPr>
        <w:ind w:left="539"/>
      </w:pPr>
    </w:p>
    <w:p w14:paraId="5BF5FC14" w14:textId="77777777" w:rsidR="008347CD" w:rsidRPr="00A0063E" w:rsidRDefault="008347CD" w:rsidP="009934B3">
      <w:pPr>
        <w:ind w:left="539"/>
      </w:pPr>
    </w:p>
    <w:p w14:paraId="06D46F73" w14:textId="77777777" w:rsidR="008347CD" w:rsidRPr="00A0063E" w:rsidRDefault="008347CD" w:rsidP="009934B3">
      <w:pPr>
        <w:ind w:left="539"/>
      </w:pPr>
    </w:p>
    <w:p w14:paraId="1EC43CA3" w14:textId="26DC16E0" w:rsidR="008347CD" w:rsidRPr="00A0063E" w:rsidRDefault="00C46B5B" w:rsidP="009934B3">
      <w:pPr>
        <w:ind w:left="539"/>
      </w:pPr>
      <w:proofErr w:type="spellStart"/>
      <w:r w:rsidRPr="00A0063E">
        <w:t>Jérôme</w:t>
      </w:r>
      <w:proofErr w:type="spellEnd"/>
      <w:r w:rsidRPr="00A0063E">
        <w:t xml:space="preserve"> </w:t>
      </w:r>
      <w:proofErr w:type="spellStart"/>
      <w:r w:rsidRPr="00A0063E">
        <w:t>Salomon</w:t>
      </w:r>
      <w:proofErr w:type="spellEnd"/>
    </w:p>
    <w:p w14:paraId="646663AB" w14:textId="470A7E39" w:rsidR="0091346D" w:rsidRPr="00A0063E" w:rsidRDefault="0091346D" w:rsidP="009934B3">
      <w:pPr>
        <w:ind w:left="539"/>
      </w:pPr>
    </w:p>
    <w:p w14:paraId="78992825" w14:textId="26A612AC" w:rsidR="0091346D" w:rsidRPr="00A0063E" w:rsidRDefault="0091346D" w:rsidP="009934B3">
      <w:pPr>
        <w:ind w:left="539"/>
      </w:pPr>
    </w:p>
    <w:p w14:paraId="4C271472" w14:textId="12482997" w:rsidR="0091346D" w:rsidRPr="00A0063E" w:rsidRDefault="0091346D" w:rsidP="009934B3">
      <w:pPr>
        <w:ind w:left="539"/>
      </w:pPr>
    </w:p>
    <w:p w14:paraId="757046F7" w14:textId="6F5F6C03" w:rsidR="0091346D" w:rsidRPr="00A0063E" w:rsidRDefault="0091346D" w:rsidP="009934B3">
      <w:pPr>
        <w:ind w:left="539"/>
      </w:pPr>
    </w:p>
    <w:p w14:paraId="30CBFC27" w14:textId="77777777" w:rsidR="009F20C4" w:rsidRPr="00A0063E" w:rsidRDefault="009F20C4" w:rsidP="009934B3">
      <w:pPr>
        <w:ind w:left="539"/>
      </w:pPr>
    </w:p>
    <w:p w14:paraId="203CF528" w14:textId="77777777" w:rsidR="009F20C4" w:rsidRPr="00A0063E" w:rsidRDefault="009F20C4" w:rsidP="009934B3">
      <w:pPr>
        <w:ind w:left="539"/>
      </w:pPr>
    </w:p>
    <w:p w14:paraId="55CCE532" w14:textId="77777777" w:rsidR="009F20C4" w:rsidRPr="00A0063E" w:rsidRDefault="009F20C4" w:rsidP="009934B3">
      <w:pPr>
        <w:ind w:left="539"/>
      </w:pPr>
    </w:p>
    <w:p w14:paraId="75D34D20" w14:textId="77777777" w:rsidR="009F20C4" w:rsidRPr="00A0063E" w:rsidRDefault="009F20C4" w:rsidP="009934B3">
      <w:pPr>
        <w:ind w:left="539"/>
      </w:pPr>
    </w:p>
    <w:p w14:paraId="0EB4AC6D" w14:textId="77777777" w:rsidR="009F20C4" w:rsidRPr="00A0063E" w:rsidRDefault="009F20C4" w:rsidP="009934B3">
      <w:pPr>
        <w:ind w:left="539"/>
      </w:pPr>
    </w:p>
    <w:p w14:paraId="07DFCF09" w14:textId="77777777" w:rsidR="009F20C4" w:rsidRPr="00A0063E" w:rsidRDefault="009F20C4" w:rsidP="009934B3">
      <w:pPr>
        <w:ind w:left="539"/>
      </w:pPr>
    </w:p>
    <w:p w14:paraId="1E7D03FB" w14:textId="77777777" w:rsidR="00F4110C" w:rsidRPr="00A0063E" w:rsidRDefault="00F4110C">
      <w:pPr>
        <w:suppressAutoHyphens w:val="0"/>
      </w:pPr>
      <w:r w:rsidRPr="00A0063E">
        <w:br w:type="page"/>
      </w:r>
    </w:p>
    <w:p w14:paraId="7290D6B3" w14:textId="0CC5E208" w:rsidR="0091346D" w:rsidRPr="00A0063E" w:rsidRDefault="00F9491E" w:rsidP="009934B3">
      <w:pPr>
        <w:ind w:left="539"/>
      </w:pPr>
      <w:r w:rsidRPr="00A0063E">
        <w:lastRenderedPageBreak/>
        <w:t xml:space="preserve">Anexos </w:t>
      </w:r>
    </w:p>
    <w:p w14:paraId="6EA669F8" w14:textId="77777777" w:rsidR="0091346D" w:rsidRPr="00A0063E" w:rsidRDefault="0091346D" w:rsidP="009934B3">
      <w:pPr>
        <w:ind w:left="539"/>
      </w:pPr>
    </w:p>
    <w:p w14:paraId="7CD2C0F1" w14:textId="77777777" w:rsidR="0091346D" w:rsidRPr="00A0063E" w:rsidRDefault="0091346D" w:rsidP="009934B3">
      <w:pPr>
        <w:ind w:left="539"/>
      </w:pPr>
    </w:p>
    <w:p w14:paraId="3ABF99B7" w14:textId="4BA3CD32" w:rsidR="0091346D" w:rsidRPr="00A0063E" w:rsidRDefault="0091346D" w:rsidP="00F92FDA">
      <w:pPr>
        <w:ind w:left="539"/>
        <w:jc w:val="both"/>
      </w:pPr>
      <w:r w:rsidRPr="00A0063E">
        <w:t>Anexo I: Lista de sustancias que presentan propiedades de alteración endocrina según el artículo L. 5232-5, apartados I y II, del Código de Salud Pública</w:t>
      </w:r>
    </w:p>
    <w:p w14:paraId="225B512E" w14:textId="24460C4F" w:rsidR="0091346D" w:rsidRPr="00A0063E" w:rsidRDefault="0091346D" w:rsidP="00F92FDA">
      <w:pPr>
        <w:ind w:left="539"/>
        <w:jc w:val="both"/>
      </w:pPr>
    </w:p>
    <w:p w14:paraId="2E52E7D3" w14:textId="52D8F88D" w:rsidR="0091346D" w:rsidRPr="00A0063E" w:rsidRDefault="0091346D" w:rsidP="00F92FDA">
      <w:pPr>
        <w:ind w:left="539"/>
        <w:jc w:val="both"/>
      </w:pPr>
      <w:r w:rsidRPr="00A0063E">
        <w:t>CUADRO A: Lista de sustancias que presentan propiedades de alteración endocrina comprobadas y presuntas según el artículo L. 5232-5, apartado I, del Código de Salud Pública</w:t>
      </w:r>
    </w:p>
    <w:p w14:paraId="07AAC79F" w14:textId="3DB8C2F4" w:rsidR="0091346D" w:rsidRPr="00A0063E" w:rsidRDefault="0091346D" w:rsidP="009934B3">
      <w:pPr>
        <w:ind w:left="539"/>
      </w:pPr>
    </w:p>
    <w:tbl>
      <w:tblPr>
        <w:tblStyle w:val="TableGrid"/>
        <w:tblW w:w="0" w:type="auto"/>
        <w:tblInd w:w="539" w:type="dxa"/>
        <w:tblLook w:val="04A0" w:firstRow="1" w:lastRow="0" w:firstColumn="1" w:lastColumn="0" w:noHBand="0" w:noVBand="1"/>
      </w:tblPr>
      <w:tblGrid>
        <w:gridCol w:w="3449"/>
        <w:gridCol w:w="2680"/>
        <w:gridCol w:w="2676"/>
      </w:tblGrid>
      <w:tr w:rsidR="00F92FDA" w:rsidRPr="00A0063E" w14:paraId="4DF6403F" w14:textId="602410DF" w:rsidTr="00A95817">
        <w:tc>
          <w:tcPr>
            <w:tcW w:w="3449" w:type="dxa"/>
          </w:tcPr>
          <w:p w14:paraId="36C34FAB" w14:textId="20DA6C2C" w:rsidR="00F92FDA" w:rsidRPr="00A0063E" w:rsidRDefault="00F92FDA" w:rsidP="00840BD7">
            <w:pPr>
              <w:jc w:val="center"/>
              <w:rPr>
                <w:b/>
                <w:sz w:val="20"/>
                <w:szCs w:val="20"/>
              </w:rPr>
            </w:pPr>
            <w:r w:rsidRPr="00A0063E">
              <w:rPr>
                <w:b/>
                <w:sz w:val="20"/>
              </w:rPr>
              <w:t>Nombre de la sustancia</w:t>
            </w:r>
          </w:p>
        </w:tc>
        <w:tc>
          <w:tcPr>
            <w:tcW w:w="2680" w:type="dxa"/>
          </w:tcPr>
          <w:p w14:paraId="133DF615" w14:textId="6C64F141" w:rsidR="00F92FDA" w:rsidRPr="00A0063E" w:rsidRDefault="00F92FDA" w:rsidP="00840BD7">
            <w:pPr>
              <w:jc w:val="center"/>
              <w:rPr>
                <w:b/>
                <w:sz w:val="20"/>
                <w:szCs w:val="20"/>
              </w:rPr>
            </w:pPr>
            <w:r w:rsidRPr="00A0063E">
              <w:rPr>
                <w:b/>
                <w:sz w:val="20"/>
              </w:rPr>
              <w:t>Número CAS</w:t>
            </w:r>
          </w:p>
        </w:tc>
        <w:tc>
          <w:tcPr>
            <w:tcW w:w="2676" w:type="dxa"/>
          </w:tcPr>
          <w:p w14:paraId="62A8287B" w14:textId="4A5E46C1" w:rsidR="00F92FDA" w:rsidRPr="00A0063E" w:rsidRDefault="00E93CF9" w:rsidP="00840BD7">
            <w:pPr>
              <w:jc w:val="center"/>
              <w:rPr>
                <w:b/>
                <w:sz w:val="20"/>
                <w:szCs w:val="20"/>
              </w:rPr>
            </w:pPr>
            <w:r w:rsidRPr="00A0063E">
              <w:rPr>
                <w:b/>
                <w:sz w:val="20"/>
              </w:rPr>
              <w:t>Número CE</w:t>
            </w:r>
          </w:p>
        </w:tc>
      </w:tr>
      <w:tr w:rsidR="00E93CF9" w:rsidRPr="00A0063E" w14:paraId="56F53086" w14:textId="77777777" w:rsidTr="00A95817">
        <w:tc>
          <w:tcPr>
            <w:tcW w:w="3449" w:type="dxa"/>
          </w:tcPr>
          <w:p w14:paraId="2C5938A8" w14:textId="047E872C" w:rsidR="00E93CF9" w:rsidRPr="00A0063E" w:rsidRDefault="00E93CF9" w:rsidP="00E93CF9">
            <w:pPr>
              <w:rPr>
                <w:sz w:val="20"/>
                <w:szCs w:val="20"/>
              </w:rPr>
            </w:pPr>
            <w:r w:rsidRPr="00A0063E">
              <w:rPr>
                <w:sz w:val="20"/>
              </w:rPr>
              <w:t>4,4-(1-metilpropiliden)bisfenol</w:t>
            </w:r>
          </w:p>
        </w:tc>
        <w:tc>
          <w:tcPr>
            <w:tcW w:w="2680" w:type="dxa"/>
          </w:tcPr>
          <w:p w14:paraId="75DF6097" w14:textId="4C4B61B0" w:rsidR="00E93CF9" w:rsidRPr="00A0063E" w:rsidRDefault="00E93CF9" w:rsidP="00E93CF9">
            <w:pPr>
              <w:jc w:val="center"/>
              <w:rPr>
                <w:color w:val="auto"/>
                <w:sz w:val="20"/>
                <w:szCs w:val="20"/>
              </w:rPr>
            </w:pPr>
            <w:r w:rsidRPr="00A0063E">
              <w:rPr>
                <w:color w:val="auto"/>
                <w:sz w:val="20"/>
              </w:rPr>
              <w:t>77-40-7</w:t>
            </w:r>
          </w:p>
        </w:tc>
        <w:tc>
          <w:tcPr>
            <w:tcW w:w="2676" w:type="dxa"/>
          </w:tcPr>
          <w:p w14:paraId="15897FB6" w14:textId="02EF7847" w:rsidR="00E93CF9" w:rsidRPr="00A0063E" w:rsidRDefault="00E93CF9" w:rsidP="00E93CF9">
            <w:pPr>
              <w:jc w:val="center"/>
              <w:rPr>
                <w:color w:val="auto"/>
                <w:sz w:val="20"/>
                <w:szCs w:val="20"/>
              </w:rPr>
            </w:pPr>
            <w:r w:rsidRPr="00A0063E">
              <w:rPr>
                <w:color w:val="auto"/>
                <w:sz w:val="20"/>
              </w:rPr>
              <w:t>201-025-1</w:t>
            </w:r>
          </w:p>
        </w:tc>
      </w:tr>
      <w:tr w:rsidR="00E93CF9" w:rsidRPr="00A0063E" w14:paraId="7FE6D8F2" w14:textId="6825DEFB" w:rsidTr="00A95817">
        <w:tc>
          <w:tcPr>
            <w:tcW w:w="3449" w:type="dxa"/>
          </w:tcPr>
          <w:p w14:paraId="680D6D7E" w14:textId="77777777" w:rsidR="00E93CF9" w:rsidRPr="00A0063E" w:rsidRDefault="00E93CF9" w:rsidP="00E93CF9">
            <w:pPr>
              <w:rPr>
                <w:sz w:val="20"/>
                <w:szCs w:val="20"/>
              </w:rPr>
            </w:pPr>
            <w:r w:rsidRPr="00A0063E">
              <w:rPr>
                <w:sz w:val="20"/>
              </w:rPr>
              <w:t>Fosfito de tris(4-nonilfenilo, ramificado y lineal) (TNPP) con al menos 0,1 % m/m de 4-nonilfenol, ramificado y lineal (4-NP)</w:t>
            </w:r>
          </w:p>
          <w:p w14:paraId="662E5CB4" w14:textId="77777777" w:rsidR="00E93CF9" w:rsidRPr="00A0063E" w:rsidRDefault="00E93CF9" w:rsidP="00E93CF9">
            <w:pPr>
              <w:pStyle w:val="ListParagraph"/>
              <w:numPr>
                <w:ilvl w:val="0"/>
                <w:numId w:val="3"/>
              </w:numPr>
              <w:rPr>
                <w:sz w:val="20"/>
                <w:szCs w:val="20"/>
              </w:rPr>
            </w:pPr>
            <w:r w:rsidRPr="00A0063E">
              <w:rPr>
                <w:sz w:val="20"/>
              </w:rPr>
              <w:t>Fosfito de tris(4-nonilfenilo, ramificado)</w:t>
            </w:r>
          </w:p>
          <w:p w14:paraId="6F2A5ECF" w14:textId="77777777" w:rsidR="00E93CF9" w:rsidRPr="00A0063E" w:rsidRDefault="00E93CF9" w:rsidP="00E93CF9">
            <w:pPr>
              <w:pStyle w:val="ListParagraph"/>
              <w:numPr>
                <w:ilvl w:val="0"/>
                <w:numId w:val="3"/>
              </w:numPr>
              <w:rPr>
                <w:sz w:val="20"/>
                <w:szCs w:val="20"/>
              </w:rPr>
            </w:pPr>
            <w:r w:rsidRPr="00A0063E">
              <w:rPr>
                <w:sz w:val="20"/>
              </w:rPr>
              <w:t>Fenol, 4-nonil-, fosfito (3:1)</w:t>
            </w:r>
          </w:p>
          <w:p w14:paraId="7B0BA21A" w14:textId="3AAF38FF" w:rsidR="00E93CF9" w:rsidRPr="00A0063E" w:rsidRDefault="00E93CF9" w:rsidP="00E93CF9">
            <w:pPr>
              <w:pStyle w:val="ListParagraph"/>
              <w:numPr>
                <w:ilvl w:val="0"/>
                <w:numId w:val="3"/>
              </w:numPr>
              <w:rPr>
                <w:sz w:val="20"/>
                <w:szCs w:val="20"/>
              </w:rPr>
            </w:pPr>
            <w:r w:rsidRPr="00A0063E">
              <w:rPr>
                <w:sz w:val="20"/>
              </w:rPr>
              <w:t>Fosfito de tris(</w:t>
            </w:r>
            <w:proofErr w:type="spellStart"/>
            <w:r w:rsidRPr="00A0063E">
              <w:rPr>
                <w:sz w:val="20"/>
              </w:rPr>
              <w:t>nonilfenilo</w:t>
            </w:r>
            <w:proofErr w:type="spellEnd"/>
            <w:r w:rsidRPr="00A0063E">
              <w:rPr>
                <w:sz w:val="20"/>
              </w:rPr>
              <w:t>)</w:t>
            </w:r>
          </w:p>
        </w:tc>
        <w:tc>
          <w:tcPr>
            <w:tcW w:w="2680" w:type="dxa"/>
          </w:tcPr>
          <w:p w14:paraId="162D69BA" w14:textId="77777777" w:rsidR="00E93CF9" w:rsidRPr="00A0063E" w:rsidRDefault="00E93CF9" w:rsidP="00E93CF9">
            <w:pPr>
              <w:jc w:val="center"/>
              <w:rPr>
                <w:sz w:val="20"/>
                <w:szCs w:val="20"/>
              </w:rPr>
            </w:pPr>
          </w:p>
          <w:p w14:paraId="673DD03F" w14:textId="77777777" w:rsidR="00E93CF9" w:rsidRPr="00A0063E" w:rsidRDefault="00E93CF9" w:rsidP="00E93CF9">
            <w:pPr>
              <w:jc w:val="center"/>
              <w:rPr>
                <w:sz w:val="20"/>
                <w:szCs w:val="20"/>
              </w:rPr>
            </w:pPr>
          </w:p>
          <w:p w14:paraId="496AEC42" w14:textId="77777777" w:rsidR="00E93CF9" w:rsidRPr="00A0063E" w:rsidRDefault="00E93CF9" w:rsidP="00E93CF9">
            <w:pPr>
              <w:jc w:val="center"/>
              <w:rPr>
                <w:sz w:val="20"/>
                <w:szCs w:val="20"/>
              </w:rPr>
            </w:pPr>
          </w:p>
          <w:p w14:paraId="1689416E" w14:textId="77777777" w:rsidR="00E93CF9" w:rsidRPr="00A0063E" w:rsidRDefault="00E93CF9" w:rsidP="00E93CF9">
            <w:pPr>
              <w:jc w:val="center"/>
              <w:rPr>
                <w:sz w:val="20"/>
                <w:szCs w:val="20"/>
              </w:rPr>
            </w:pPr>
          </w:p>
          <w:p w14:paraId="504A4CA9" w14:textId="77777777" w:rsidR="00E93CF9" w:rsidRPr="00A0063E" w:rsidRDefault="00E93CF9" w:rsidP="00E93CF9">
            <w:pPr>
              <w:jc w:val="center"/>
              <w:rPr>
                <w:sz w:val="20"/>
                <w:szCs w:val="20"/>
              </w:rPr>
            </w:pPr>
          </w:p>
          <w:p w14:paraId="25F684FB" w14:textId="2A9FD20F" w:rsidR="00E93CF9" w:rsidRPr="00A0063E" w:rsidRDefault="00E93CF9" w:rsidP="00E93CF9">
            <w:pPr>
              <w:jc w:val="center"/>
              <w:rPr>
                <w:sz w:val="20"/>
                <w:szCs w:val="20"/>
              </w:rPr>
            </w:pPr>
            <w:r w:rsidRPr="00A0063E">
              <w:rPr>
                <w:sz w:val="20"/>
              </w:rPr>
              <w:t>-</w:t>
            </w:r>
          </w:p>
          <w:p w14:paraId="6C8F3D54" w14:textId="77777777" w:rsidR="00E93CF9" w:rsidRPr="00A0063E" w:rsidRDefault="00E93CF9" w:rsidP="00E93CF9">
            <w:pPr>
              <w:jc w:val="center"/>
              <w:rPr>
                <w:sz w:val="20"/>
                <w:szCs w:val="20"/>
              </w:rPr>
            </w:pPr>
          </w:p>
          <w:p w14:paraId="7D586553" w14:textId="4EBD0BB2" w:rsidR="00E93CF9" w:rsidRPr="00A0063E" w:rsidRDefault="00E93CF9" w:rsidP="00E93CF9">
            <w:pPr>
              <w:jc w:val="center"/>
              <w:rPr>
                <w:sz w:val="20"/>
                <w:szCs w:val="20"/>
              </w:rPr>
            </w:pPr>
            <w:r w:rsidRPr="00A0063E">
              <w:rPr>
                <w:sz w:val="20"/>
              </w:rPr>
              <w:t>3050-88-2</w:t>
            </w:r>
          </w:p>
          <w:p w14:paraId="7C685F9A" w14:textId="77777777" w:rsidR="00E93CF9" w:rsidRPr="00A0063E" w:rsidRDefault="00E93CF9" w:rsidP="00E93CF9">
            <w:pPr>
              <w:jc w:val="center"/>
              <w:rPr>
                <w:sz w:val="20"/>
                <w:szCs w:val="20"/>
              </w:rPr>
            </w:pPr>
          </w:p>
          <w:p w14:paraId="2E8935C4" w14:textId="433420AE" w:rsidR="00E93CF9" w:rsidRPr="00A0063E" w:rsidRDefault="00E93CF9" w:rsidP="00E93CF9">
            <w:pPr>
              <w:jc w:val="center"/>
              <w:rPr>
                <w:sz w:val="20"/>
                <w:szCs w:val="20"/>
              </w:rPr>
            </w:pPr>
            <w:r w:rsidRPr="00A0063E">
              <w:rPr>
                <w:sz w:val="20"/>
              </w:rPr>
              <w:t>26523-78-4</w:t>
            </w:r>
          </w:p>
        </w:tc>
        <w:tc>
          <w:tcPr>
            <w:tcW w:w="2676" w:type="dxa"/>
          </w:tcPr>
          <w:p w14:paraId="5FD3F30C" w14:textId="77777777" w:rsidR="00E93CF9" w:rsidRPr="00A0063E" w:rsidRDefault="00E93CF9" w:rsidP="00E93CF9">
            <w:pPr>
              <w:jc w:val="center"/>
              <w:rPr>
                <w:color w:val="384A53"/>
                <w:sz w:val="20"/>
                <w:szCs w:val="20"/>
              </w:rPr>
            </w:pPr>
          </w:p>
          <w:p w14:paraId="611FFC55" w14:textId="77777777" w:rsidR="00E93CF9" w:rsidRPr="00A0063E" w:rsidRDefault="00E93CF9" w:rsidP="00E93CF9">
            <w:pPr>
              <w:jc w:val="center"/>
              <w:rPr>
                <w:color w:val="384A53"/>
                <w:sz w:val="20"/>
                <w:szCs w:val="20"/>
              </w:rPr>
            </w:pPr>
          </w:p>
          <w:p w14:paraId="23203514" w14:textId="77777777" w:rsidR="00E93CF9" w:rsidRPr="00A0063E" w:rsidRDefault="00E93CF9" w:rsidP="00E93CF9">
            <w:pPr>
              <w:jc w:val="center"/>
              <w:rPr>
                <w:color w:val="384A53"/>
                <w:sz w:val="20"/>
                <w:szCs w:val="20"/>
              </w:rPr>
            </w:pPr>
          </w:p>
          <w:p w14:paraId="3DB3B8FA" w14:textId="77777777" w:rsidR="00E93CF9" w:rsidRPr="00A0063E" w:rsidRDefault="00E93CF9" w:rsidP="00E93CF9">
            <w:pPr>
              <w:jc w:val="center"/>
              <w:rPr>
                <w:sz w:val="20"/>
                <w:szCs w:val="20"/>
              </w:rPr>
            </w:pPr>
          </w:p>
          <w:p w14:paraId="5A526ED2" w14:textId="77777777" w:rsidR="00E93CF9" w:rsidRPr="00A0063E" w:rsidRDefault="00E93CF9" w:rsidP="00E93CF9">
            <w:pPr>
              <w:jc w:val="center"/>
              <w:rPr>
                <w:sz w:val="20"/>
                <w:szCs w:val="20"/>
              </w:rPr>
            </w:pPr>
          </w:p>
          <w:p w14:paraId="25A0FED5" w14:textId="5271686F" w:rsidR="00E93CF9" w:rsidRPr="00A0063E" w:rsidRDefault="00E93CF9" w:rsidP="00E93CF9">
            <w:pPr>
              <w:jc w:val="center"/>
              <w:rPr>
                <w:sz w:val="20"/>
                <w:szCs w:val="20"/>
              </w:rPr>
            </w:pPr>
            <w:r w:rsidRPr="00A0063E">
              <w:rPr>
                <w:sz w:val="20"/>
              </w:rPr>
              <w:t>701-028-2</w:t>
            </w:r>
          </w:p>
          <w:p w14:paraId="63C05D56" w14:textId="77777777" w:rsidR="00E93CF9" w:rsidRPr="00A0063E" w:rsidRDefault="00E93CF9" w:rsidP="00E93CF9">
            <w:pPr>
              <w:jc w:val="center"/>
              <w:rPr>
                <w:sz w:val="20"/>
                <w:szCs w:val="20"/>
              </w:rPr>
            </w:pPr>
          </w:p>
          <w:p w14:paraId="2C5CFE8E" w14:textId="65C9A579" w:rsidR="00E93CF9" w:rsidRPr="00A0063E" w:rsidRDefault="00E93CF9" w:rsidP="00E93CF9">
            <w:pPr>
              <w:jc w:val="center"/>
              <w:rPr>
                <w:sz w:val="20"/>
                <w:szCs w:val="20"/>
              </w:rPr>
            </w:pPr>
            <w:r w:rsidRPr="00A0063E">
              <w:rPr>
                <w:sz w:val="20"/>
              </w:rPr>
              <w:t>608-492-4</w:t>
            </w:r>
          </w:p>
          <w:p w14:paraId="03DE0F1E" w14:textId="77777777" w:rsidR="00E93CF9" w:rsidRPr="00A0063E" w:rsidRDefault="00E93CF9" w:rsidP="00E93CF9">
            <w:pPr>
              <w:jc w:val="center"/>
              <w:rPr>
                <w:sz w:val="20"/>
                <w:szCs w:val="20"/>
              </w:rPr>
            </w:pPr>
          </w:p>
          <w:p w14:paraId="0FE83D65" w14:textId="069E6AE0" w:rsidR="00E93CF9" w:rsidRPr="00A0063E" w:rsidRDefault="00E93CF9" w:rsidP="00E93CF9">
            <w:pPr>
              <w:jc w:val="center"/>
              <w:rPr>
                <w:sz w:val="20"/>
                <w:szCs w:val="20"/>
              </w:rPr>
            </w:pPr>
            <w:r w:rsidRPr="00A0063E">
              <w:rPr>
                <w:sz w:val="20"/>
              </w:rPr>
              <w:t>247-759-6</w:t>
            </w:r>
          </w:p>
        </w:tc>
      </w:tr>
      <w:tr w:rsidR="00E93CF9" w:rsidRPr="00A0063E" w14:paraId="0897E629" w14:textId="5B8808FB" w:rsidTr="00EB2FDE">
        <w:tc>
          <w:tcPr>
            <w:tcW w:w="3449" w:type="dxa"/>
          </w:tcPr>
          <w:p w14:paraId="2952BEDB" w14:textId="77777777" w:rsidR="00E93CF9" w:rsidRPr="00A0063E" w:rsidRDefault="00E93CF9" w:rsidP="00E93CF9">
            <w:pPr>
              <w:rPr>
                <w:sz w:val="20"/>
                <w:szCs w:val="20"/>
              </w:rPr>
            </w:pPr>
            <w:r w:rsidRPr="00A0063E">
              <w:rPr>
                <w:sz w:val="20"/>
              </w:rPr>
              <w:t xml:space="preserve">Productos de reacción de 1,3,4-tiadiazolidin-2,5-ditiona, formaldehído y 4-heptilfenol, ramificado y lineal (RP-HP) </w:t>
            </w:r>
          </w:p>
          <w:p w14:paraId="561DC03D" w14:textId="66709812" w:rsidR="00E93CF9" w:rsidRPr="00A0063E" w:rsidRDefault="00E93CF9" w:rsidP="00E93CF9">
            <w:pPr>
              <w:rPr>
                <w:sz w:val="20"/>
                <w:szCs w:val="20"/>
              </w:rPr>
            </w:pPr>
            <w:r w:rsidRPr="00A0063E">
              <w:rPr>
                <w:sz w:val="20"/>
              </w:rPr>
              <w:t>[con ≥0,1 % m/m de 4-heptilfenol, ramificado y lineal]</w:t>
            </w:r>
          </w:p>
        </w:tc>
        <w:tc>
          <w:tcPr>
            <w:tcW w:w="2680" w:type="dxa"/>
            <w:vAlign w:val="center"/>
          </w:tcPr>
          <w:p w14:paraId="1D2CFB63" w14:textId="3B133BDB" w:rsidR="00E93CF9" w:rsidRPr="00A0063E" w:rsidRDefault="00E93CF9" w:rsidP="00E93CF9">
            <w:pPr>
              <w:pStyle w:val="ListParagraph"/>
              <w:ind w:hanging="845"/>
              <w:jc w:val="center"/>
              <w:rPr>
                <w:sz w:val="20"/>
                <w:szCs w:val="20"/>
              </w:rPr>
            </w:pPr>
            <w:r w:rsidRPr="00A0063E">
              <w:rPr>
                <w:sz w:val="20"/>
              </w:rPr>
              <w:t>-</w:t>
            </w:r>
          </w:p>
        </w:tc>
        <w:tc>
          <w:tcPr>
            <w:tcW w:w="2676" w:type="dxa"/>
            <w:vAlign w:val="center"/>
          </w:tcPr>
          <w:p w14:paraId="0CCD755B" w14:textId="5C672518" w:rsidR="00E93CF9" w:rsidRPr="00A0063E" w:rsidRDefault="00E93CF9" w:rsidP="00E93CF9">
            <w:pPr>
              <w:pStyle w:val="ListParagraph"/>
              <w:ind w:hanging="720"/>
              <w:jc w:val="center"/>
              <w:rPr>
                <w:sz w:val="20"/>
                <w:szCs w:val="20"/>
              </w:rPr>
            </w:pPr>
            <w:r w:rsidRPr="00A0063E">
              <w:rPr>
                <w:sz w:val="20"/>
              </w:rPr>
              <w:t>-</w:t>
            </w:r>
          </w:p>
        </w:tc>
      </w:tr>
      <w:tr w:rsidR="00E93CF9" w:rsidRPr="00A0063E" w14:paraId="02A73360" w14:textId="411BD450" w:rsidTr="00A95817">
        <w:tc>
          <w:tcPr>
            <w:tcW w:w="3449" w:type="dxa"/>
          </w:tcPr>
          <w:p w14:paraId="4665671F" w14:textId="15FFA47B" w:rsidR="00E93CF9" w:rsidRPr="00A0063E" w:rsidRDefault="00E93CF9" w:rsidP="00E93CF9">
            <w:pPr>
              <w:rPr>
                <w:sz w:val="20"/>
                <w:szCs w:val="20"/>
              </w:rPr>
            </w:pPr>
            <w:r w:rsidRPr="00A0063E">
              <w:rPr>
                <w:sz w:val="20"/>
              </w:rPr>
              <w:t>4-tert-pentilfenol (PTAP)</w:t>
            </w:r>
          </w:p>
        </w:tc>
        <w:tc>
          <w:tcPr>
            <w:tcW w:w="2680" w:type="dxa"/>
            <w:vAlign w:val="center"/>
          </w:tcPr>
          <w:p w14:paraId="71224A09" w14:textId="7C06FC95" w:rsidR="00E93CF9" w:rsidRPr="00A0063E" w:rsidRDefault="00E93CF9" w:rsidP="00E93CF9">
            <w:pPr>
              <w:jc w:val="center"/>
              <w:rPr>
                <w:sz w:val="20"/>
                <w:szCs w:val="20"/>
              </w:rPr>
            </w:pPr>
            <w:r w:rsidRPr="00A0063E">
              <w:rPr>
                <w:sz w:val="20"/>
              </w:rPr>
              <w:t>80-46-6</w:t>
            </w:r>
          </w:p>
        </w:tc>
        <w:tc>
          <w:tcPr>
            <w:tcW w:w="2676" w:type="dxa"/>
            <w:vAlign w:val="center"/>
          </w:tcPr>
          <w:p w14:paraId="63ACDA00" w14:textId="3314CB6D" w:rsidR="00E93CF9" w:rsidRPr="00A0063E" w:rsidRDefault="00E93CF9" w:rsidP="00E93CF9">
            <w:pPr>
              <w:jc w:val="center"/>
              <w:rPr>
                <w:sz w:val="20"/>
                <w:szCs w:val="20"/>
              </w:rPr>
            </w:pPr>
            <w:r w:rsidRPr="00A0063E">
              <w:rPr>
                <w:sz w:val="20"/>
              </w:rPr>
              <w:t>201-280-9</w:t>
            </w:r>
          </w:p>
        </w:tc>
      </w:tr>
      <w:tr w:rsidR="00E93CF9" w:rsidRPr="00A0063E" w14:paraId="07FA3306" w14:textId="79342323" w:rsidTr="00A95817">
        <w:tc>
          <w:tcPr>
            <w:tcW w:w="3449" w:type="dxa"/>
            <w:vAlign w:val="center"/>
          </w:tcPr>
          <w:p w14:paraId="636A957B" w14:textId="0F92096D" w:rsidR="00E93CF9" w:rsidRPr="00A0063E" w:rsidRDefault="00E93CF9" w:rsidP="00E93CF9">
            <w:pPr>
              <w:rPr>
                <w:sz w:val="20"/>
                <w:szCs w:val="20"/>
              </w:rPr>
            </w:pPr>
            <w:r w:rsidRPr="00A0063E">
              <w:rPr>
                <w:sz w:val="20"/>
              </w:rPr>
              <w:t xml:space="preserve">Ftalato de </w:t>
            </w:r>
            <w:proofErr w:type="spellStart"/>
            <w:r w:rsidRPr="00A0063E">
              <w:rPr>
                <w:sz w:val="20"/>
              </w:rPr>
              <w:t>diisobutilo</w:t>
            </w:r>
            <w:proofErr w:type="spellEnd"/>
            <w:r w:rsidRPr="00A0063E">
              <w:rPr>
                <w:sz w:val="20"/>
              </w:rPr>
              <w:t xml:space="preserve"> (DIBP)</w:t>
            </w:r>
          </w:p>
        </w:tc>
        <w:tc>
          <w:tcPr>
            <w:tcW w:w="2680" w:type="dxa"/>
            <w:vAlign w:val="center"/>
          </w:tcPr>
          <w:p w14:paraId="668D3727" w14:textId="3FCCF2A2" w:rsidR="00E93CF9" w:rsidRPr="00A0063E" w:rsidRDefault="00E93CF9" w:rsidP="00E93CF9">
            <w:pPr>
              <w:jc w:val="center"/>
              <w:rPr>
                <w:sz w:val="20"/>
                <w:szCs w:val="20"/>
              </w:rPr>
            </w:pPr>
            <w:r w:rsidRPr="00A0063E">
              <w:rPr>
                <w:sz w:val="20"/>
              </w:rPr>
              <w:t>84-69-5</w:t>
            </w:r>
          </w:p>
        </w:tc>
        <w:tc>
          <w:tcPr>
            <w:tcW w:w="2676" w:type="dxa"/>
            <w:vAlign w:val="center"/>
          </w:tcPr>
          <w:p w14:paraId="6035008E" w14:textId="5AA54357" w:rsidR="00E93CF9" w:rsidRPr="00A0063E" w:rsidRDefault="00E93CF9" w:rsidP="00E93CF9">
            <w:pPr>
              <w:jc w:val="center"/>
              <w:rPr>
                <w:sz w:val="20"/>
                <w:szCs w:val="20"/>
              </w:rPr>
            </w:pPr>
            <w:r w:rsidRPr="00A0063E">
              <w:rPr>
                <w:sz w:val="20"/>
              </w:rPr>
              <w:t>201-553-2</w:t>
            </w:r>
          </w:p>
        </w:tc>
      </w:tr>
      <w:tr w:rsidR="00E93CF9" w:rsidRPr="00A0063E" w14:paraId="425C7666" w14:textId="6C6337C0" w:rsidTr="00A95817">
        <w:tc>
          <w:tcPr>
            <w:tcW w:w="3449" w:type="dxa"/>
            <w:vAlign w:val="center"/>
          </w:tcPr>
          <w:p w14:paraId="2484315E" w14:textId="39C8F1D1" w:rsidR="00E93CF9" w:rsidRPr="00A0063E" w:rsidRDefault="00E93CF9" w:rsidP="00E93CF9">
            <w:pPr>
              <w:rPr>
                <w:sz w:val="20"/>
                <w:szCs w:val="20"/>
              </w:rPr>
            </w:pPr>
            <w:r w:rsidRPr="00A0063E">
              <w:rPr>
                <w:sz w:val="20"/>
              </w:rPr>
              <w:t xml:space="preserve">Ftalato de </w:t>
            </w:r>
            <w:proofErr w:type="spellStart"/>
            <w:r w:rsidRPr="00A0063E">
              <w:rPr>
                <w:sz w:val="20"/>
              </w:rPr>
              <w:t>diciclohexilo</w:t>
            </w:r>
            <w:proofErr w:type="spellEnd"/>
            <w:r w:rsidRPr="00A0063E">
              <w:rPr>
                <w:sz w:val="20"/>
              </w:rPr>
              <w:t xml:space="preserve"> (DCHP)</w:t>
            </w:r>
          </w:p>
        </w:tc>
        <w:tc>
          <w:tcPr>
            <w:tcW w:w="2680" w:type="dxa"/>
            <w:vAlign w:val="center"/>
          </w:tcPr>
          <w:p w14:paraId="0BACDEA1" w14:textId="3485091E" w:rsidR="00E93CF9" w:rsidRPr="00A0063E" w:rsidRDefault="00E93CF9" w:rsidP="00E93CF9">
            <w:pPr>
              <w:jc w:val="center"/>
              <w:rPr>
                <w:sz w:val="20"/>
                <w:szCs w:val="20"/>
              </w:rPr>
            </w:pPr>
            <w:r w:rsidRPr="00A0063E">
              <w:rPr>
                <w:sz w:val="20"/>
              </w:rPr>
              <w:t>84-61-7</w:t>
            </w:r>
          </w:p>
        </w:tc>
        <w:tc>
          <w:tcPr>
            <w:tcW w:w="2676" w:type="dxa"/>
            <w:vAlign w:val="center"/>
          </w:tcPr>
          <w:p w14:paraId="355EBDBB" w14:textId="6EBB9CB0" w:rsidR="00E93CF9" w:rsidRPr="00A0063E" w:rsidRDefault="00E93CF9" w:rsidP="00E93CF9">
            <w:pPr>
              <w:jc w:val="center"/>
              <w:rPr>
                <w:sz w:val="20"/>
                <w:szCs w:val="20"/>
              </w:rPr>
            </w:pPr>
            <w:r w:rsidRPr="00A0063E">
              <w:rPr>
                <w:sz w:val="20"/>
              </w:rPr>
              <w:t>201-545-9</w:t>
            </w:r>
          </w:p>
        </w:tc>
      </w:tr>
      <w:tr w:rsidR="00E93CF9" w:rsidRPr="00A0063E" w14:paraId="1EEDD8D3" w14:textId="0EA187E0" w:rsidTr="00A95817">
        <w:tc>
          <w:tcPr>
            <w:tcW w:w="3449" w:type="dxa"/>
            <w:vAlign w:val="center"/>
          </w:tcPr>
          <w:p w14:paraId="7036FC18" w14:textId="436DC02A" w:rsidR="00E93CF9" w:rsidRPr="00A0063E" w:rsidRDefault="00E93CF9" w:rsidP="00E93CF9">
            <w:pPr>
              <w:rPr>
                <w:sz w:val="20"/>
                <w:szCs w:val="20"/>
              </w:rPr>
            </w:pPr>
            <w:r w:rsidRPr="00A0063E">
              <w:rPr>
                <w:sz w:val="20"/>
              </w:rPr>
              <w:t xml:space="preserve">Ftalato de </w:t>
            </w:r>
            <w:proofErr w:type="spellStart"/>
            <w:r w:rsidRPr="00A0063E">
              <w:rPr>
                <w:sz w:val="20"/>
              </w:rPr>
              <w:t>dibutilo</w:t>
            </w:r>
            <w:proofErr w:type="spellEnd"/>
            <w:r w:rsidRPr="00A0063E">
              <w:rPr>
                <w:sz w:val="20"/>
              </w:rPr>
              <w:t xml:space="preserve"> (DBP)</w:t>
            </w:r>
          </w:p>
        </w:tc>
        <w:tc>
          <w:tcPr>
            <w:tcW w:w="2680" w:type="dxa"/>
            <w:vAlign w:val="center"/>
          </w:tcPr>
          <w:p w14:paraId="5A8AB5A7" w14:textId="2E76EF25" w:rsidR="00E93CF9" w:rsidRPr="00A0063E" w:rsidRDefault="00E93CF9" w:rsidP="00E93CF9">
            <w:pPr>
              <w:jc w:val="center"/>
              <w:rPr>
                <w:sz w:val="20"/>
                <w:szCs w:val="20"/>
              </w:rPr>
            </w:pPr>
            <w:r w:rsidRPr="00A0063E">
              <w:rPr>
                <w:sz w:val="20"/>
              </w:rPr>
              <w:t>84-74-2</w:t>
            </w:r>
          </w:p>
        </w:tc>
        <w:tc>
          <w:tcPr>
            <w:tcW w:w="2676" w:type="dxa"/>
            <w:vAlign w:val="center"/>
          </w:tcPr>
          <w:p w14:paraId="65E66727" w14:textId="23C124CD" w:rsidR="00E93CF9" w:rsidRPr="00A0063E" w:rsidRDefault="00E93CF9" w:rsidP="00E93CF9">
            <w:pPr>
              <w:jc w:val="center"/>
              <w:rPr>
                <w:sz w:val="20"/>
                <w:szCs w:val="20"/>
              </w:rPr>
            </w:pPr>
            <w:r w:rsidRPr="00A0063E">
              <w:rPr>
                <w:sz w:val="20"/>
              </w:rPr>
              <w:t>201-557-4</w:t>
            </w:r>
          </w:p>
        </w:tc>
      </w:tr>
      <w:tr w:rsidR="00E93CF9" w:rsidRPr="00A0063E" w14:paraId="529DDB67" w14:textId="531027A5" w:rsidTr="00A95817">
        <w:tc>
          <w:tcPr>
            <w:tcW w:w="3449" w:type="dxa"/>
            <w:vAlign w:val="center"/>
          </w:tcPr>
          <w:p w14:paraId="25A3DAD7" w14:textId="6E54A57D" w:rsidR="00E93CF9" w:rsidRPr="00A0063E" w:rsidRDefault="00E93CF9" w:rsidP="00E93CF9">
            <w:pPr>
              <w:rPr>
                <w:sz w:val="20"/>
                <w:szCs w:val="20"/>
              </w:rPr>
            </w:pPr>
            <w:r w:rsidRPr="00A0063E">
              <w:rPr>
                <w:sz w:val="20"/>
              </w:rPr>
              <w:t xml:space="preserve">Colecalciferol </w:t>
            </w:r>
          </w:p>
        </w:tc>
        <w:tc>
          <w:tcPr>
            <w:tcW w:w="2680" w:type="dxa"/>
            <w:vAlign w:val="center"/>
          </w:tcPr>
          <w:p w14:paraId="22976ACA" w14:textId="43AD9574" w:rsidR="00E93CF9" w:rsidRPr="00A0063E" w:rsidRDefault="00E93CF9" w:rsidP="00E93CF9">
            <w:pPr>
              <w:jc w:val="center"/>
              <w:rPr>
                <w:sz w:val="20"/>
                <w:szCs w:val="20"/>
              </w:rPr>
            </w:pPr>
            <w:r w:rsidRPr="00A0063E">
              <w:rPr>
                <w:sz w:val="20"/>
              </w:rPr>
              <w:t>67-97-0</w:t>
            </w:r>
          </w:p>
        </w:tc>
        <w:tc>
          <w:tcPr>
            <w:tcW w:w="2676" w:type="dxa"/>
            <w:vAlign w:val="center"/>
          </w:tcPr>
          <w:p w14:paraId="2DCDD509" w14:textId="754B59D4" w:rsidR="00E93CF9" w:rsidRPr="00A0063E" w:rsidRDefault="00E93CF9" w:rsidP="00E93CF9">
            <w:pPr>
              <w:jc w:val="center"/>
              <w:rPr>
                <w:sz w:val="20"/>
                <w:szCs w:val="20"/>
              </w:rPr>
            </w:pPr>
            <w:r w:rsidRPr="00A0063E">
              <w:rPr>
                <w:sz w:val="20"/>
              </w:rPr>
              <w:t>200-673-2</w:t>
            </w:r>
          </w:p>
        </w:tc>
      </w:tr>
      <w:tr w:rsidR="00E93CF9" w:rsidRPr="00A0063E" w14:paraId="5B54DEFF" w14:textId="77777777" w:rsidTr="00A95817">
        <w:tc>
          <w:tcPr>
            <w:tcW w:w="3449" w:type="dxa"/>
            <w:vAlign w:val="center"/>
          </w:tcPr>
          <w:p w14:paraId="159E6E20" w14:textId="462AB5BD" w:rsidR="00E93CF9" w:rsidRPr="00A0063E" w:rsidRDefault="00E93CF9" w:rsidP="00E93CF9">
            <w:pPr>
              <w:rPr>
                <w:sz w:val="20"/>
                <w:szCs w:val="20"/>
              </w:rPr>
            </w:pPr>
            <w:r w:rsidRPr="00A0063E">
              <w:rPr>
                <w:sz w:val="20"/>
              </w:rPr>
              <w:t>Butil-4-hidroxibenzoato</w:t>
            </w:r>
          </w:p>
        </w:tc>
        <w:tc>
          <w:tcPr>
            <w:tcW w:w="2680" w:type="dxa"/>
            <w:vAlign w:val="center"/>
          </w:tcPr>
          <w:p w14:paraId="79F3709A" w14:textId="66C22049" w:rsidR="00E93CF9" w:rsidRPr="00A0063E" w:rsidRDefault="00E93CF9" w:rsidP="00E93CF9">
            <w:pPr>
              <w:jc w:val="center"/>
              <w:rPr>
                <w:sz w:val="20"/>
                <w:szCs w:val="20"/>
              </w:rPr>
            </w:pPr>
            <w:r w:rsidRPr="00A0063E">
              <w:rPr>
                <w:sz w:val="20"/>
              </w:rPr>
              <w:t>94-26-8</w:t>
            </w:r>
          </w:p>
        </w:tc>
        <w:tc>
          <w:tcPr>
            <w:tcW w:w="2676" w:type="dxa"/>
            <w:vAlign w:val="center"/>
          </w:tcPr>
          <w:p w14:paraId="0B33BFE1" w14:textId="0243ABFA" w:rsidR="00E93CF9" w:rsidRPr="00A0063E" w:rsidRDefault="00E93CF9" w:rsidP="00E93CF9">
            <w:pPr>
              <w:jc w:val="center"/>
              <w:rPr>
                <w:sz w:val="20"/>
                <w:szCs w:val="20"/>
              </w:rPr>
            </w:pPr>
            <w:r w:rsidRPr="00A0063E">
              <w:rPr>
                <w:sz w:val="20"/>
              </w:rPr>
              <w:t>202-318-7</w:t>
            </w:r>
          </w:p>
        </w:tc>
      </w:tr>
      <w:tr w:rsidR="00E93CF9" w:rsidRPr="00A0063E" w14:paraId="13C0F189" w14:textId="77777777" w:rsidTr="00A95817">
        <w:tc>
          <w:tcPr>
            <w:tcW w:w="3449" w:type="dxa"/>
            <w:vAlign w:val="center"/>
          </w:tcPr>
          <w:p w14:paraId="0C63F40B" w14:textId="3A5C7A89" w:rsidR="00E93CF9" w:rsidRPr="00A0063E" w:rsidRDefault="00E93CF9" w:rsidP="00E93CF9">
            <w:pPr>
              <w:rPr>
                <w:sz w:val="20"/>
                <w:szCs w:val="20"/>
              </w:rPr>
            </w:pPr>
            <w:r w:rsidRPr="00A0063E">
              <w:rPr>
                <w:sz w:val="20"/>
              </w:rPr>
              <w:t>4,4'-isopropilidendifenol (bisfenol A)</w:t>
            </w:r>
          </w:p>
        </w:tc>
        <w:tc>
          <w:tcPr>
            <w:tcW w:w="2680" w:type="dxa"/>
            <w:vAlign w:val="center"/>
          </w:tcPr>
          <w:p w14:paraId="7195F839" w14:textId="405D7D8A" w:rsidR="00E93CF9" w:rsidRPr="00A0063E" w:rsidRDefault="00E93CF9" w:rsidP="00E93CF9">
            <w:pPr>
              <w:jc w:val="center"/>
              <w:rPr>
                <w:sz w:val="20"/>
                <w:szCs w:val="20"/>
              </w:rPr>
            </w:pPr>
            <w:r w:rsidRPr="00A0063E">
              <w:rPr>
                <w:sz w:val="20"/>
              </w:rPr>
              <w:t>80-05-7</w:t>
            </w:r>
          </w:p>
        </w:tc>
        <w:tc>
          <w:tcPr>
            <w:tcW w:w="2676" w:type="dxa"/>
            <w:vAlign w:val="center"/>
          </w:tcPr>
          <w:p w14:paraId="2160A5AF" w14:textId="5DA5FBFC" w:rsidR="00E93CF9" w:rsidRPr="00A0063E" w:rsidRDefault="00E93CF9" w:rsidP="00E93CF9">
            <w:pPr>
              <w:jc w:val="center"/>
              <w:rPr>
                <w:sz w:val="20"/>
                <w:szCs w:val="20"/>
              </w:rPr>
            </w:pPr>
            <w:r w:rsidRPr="00A0063E">
              <w:rPr>
                <w:sz w:val="20"/>
              </w:rPr>
              <w:t>201-245-8</w:t>
            </w:r>
          </w:p>
        </w:tc>
      </w:tr>
      <w:tr w:rsidR="00E93CF9" w:rsidRPr="00A0063E" w14:paraId="270E6B64" w14:textId="77777777" w:rsidTr="00A95817">
        <w:tc>
          <w:tcPr>
            <w:tcW w:w="3449" w:type="dxa"/>
            <w:vAlign w:val="center"/>
          </w:tcPr>
          <w:p w14:paraId="4F5992E0" w14:textId="242606A2" w:rsidR="00E93CF9" w:rsidRPr="00A0063E" w:rsidRDefault="00E93CF9" w:rsidP="00E93CF9">
            <w:pPr>
              <w:rPr>
                <w:sz w:val="20"/>
                <w:szCs w:val="20"/>
              </w:rPr>
            </w:pPr>
            <w:r w:rsidRPr="00A0063E">
              <w:rPr>
                <w:sz w:val="20"/>
              </w:rPr>
              <w:t>Ftalato de bis(2-etilhexilo) (DEHP)</w:t>
            </w:r>
          </w:p>
        </w:tc>
        <w:tc>
          <w:tcPr>
            <w:tcW w:w="2680" w:type="dxa"/>
            <w:vAlign w:val="center"/>
          </w:tcPr>
          <w:p w14:paraId="3A6479C9" w14:textId="43C0DF1E" w:rsidR="00E93CF9" w:rsidRPr="00A0063E" w:rsidRDefault="00E93CF9" w:rsidP="00E93CF9">
            <w:pPr>
              <w:jc w:val="center"/>
              <w:rPr>
                <w:sz w:val="20"/>
                <w:szCs w:val="20"/>
              </w:rPr>
            </w:pPr>
            <w:r w:rsidRPr="00A0063E">
              <w:rPr>
                <w:sz w:val="20"/>
              </w:rPr>
              <w:t>117-81-7</w:t>
            </w:r>
          </w:p>
        </w:tc>
        <w:tc>
          <w:tcPr>
            <w:tcW w:w="2676" w:type="dxa"/>
            <w:vAlign w:val="center"/>
          </w:tcPr>
          <w:p w14:paraId="3BA0E8C4" w14:textId="0AE4C2CB" w:rsidR="00E93CF9" w:rsidRPr="00A0063E" w:rsidRDefault="00E93CF9" w:rsidP="00E93CF9">
            <w:pPr>
              <w:jc w:val="center"/>
              <w:rPr>
                <w:sz w:val="20"/>
                <w:szCs w:val="20"/>
              </w:rPr>
            </w:pPr>
            <w:r w:rsidRPr="00A0063E">
              <w:rPr>
                <w:sz w:val="20"/>
              </w:rPr>
              <w:t>204-211-0</w:t>
            </w:r>
          </w:p>
        </w:tc>
      </w:tr>
      <w:tr w:rsidR="00E93CF9" w:rsidRPr="00A0063E" w14:paraId="6797E19F" w14:textId="77777777" w:rsidTr="00A95817">
        <w:tc>
          <w:tcPr>
            <w:tcW w:w="3449" w:type="dxa"/>
            <w:vAlign w:val="center"/>
          </w:tcPr>
          <w:p w14:paraId="29DBA1BA" w14:textId="60CD7756" w:rsidR="00E93CF9" w:rsidRPr="00A0063E" w:rsidRDefault="00E93CF9" w:rsidP="00E93CF9">
            <w:pPr>
              <w:rPr>
                <w:sz w:val="20"/>
                <w:szCs w:val="20"/>
              </w:rPr>
            </w:pPr>
            <w:r w:rsidRPr="00A0063E">
              <w:rPr>
                <w:sz w:val="20"/>
              </w:rPr>
              <w:t>Ftalato de bencilo y butilo (BBP)</w:t>
            </w:r>
          </w:p>
        </w:tc>
        <w:tc>
          <w:tcPr>
            <w:tcW w:w="2680" w:type="dxa"/>
            <w:vAlign w:val="center"/>
          </w:tcPr>
          <w:p w14:paraId="69D82BEB" w14:textId="593C634E" w:rsidR="00E93CF9" w:rsidRPr="00A0063E" w:rsidRDefault="00E93CF9" w:rsidP="00E93CF9">
            <w:pPr>
              <w:jc w:val="center"/>
              <w:rPr>
                <w:sz w:val="20"/>
                <w:szCs w:val="20"/>
              </w:rPr>
            </w:pPr>
            <w:r w:rsidRPr="00A0063E">
              <w:rPr>
                <w:sz w:val="20"/>
              </w:rPr>
              <w:t>85-68-7</w:t>
            </w:r>
          </w:p>
        </w:tc>
        <w:tc>
          <w:tcPr>
            <w:tcW w:w="2676" w:type="dxa"/>
            <w:vAlign w:val="center"/>
          </w:tcPr>
          <w:p w14:paraId="2519BDED" w14:textId="7CBA8644" w:rsidR="00E93CF9" w:rsidRPr="00A0063E" w:rsidRDefault="00E93CF9" w:rsidP="00E93CF9">
            <w:pPr>
              <w:jc w:val="center"/>
              <w:rPr>
                <w:sz w:val="20"/>
                <w:szCs w:val="20"/>
              </w:rPr>
            </w:pPr>
            <w:r w:rsidRPr="00A0063E">
              <w:rPr>
                <w:sz w:val="20"/>
              </w:rPr>
              <w:t>201-622-7</w:t>
            </w:r>
          </w:p>
        </w:tc>
      </w:tr>
      <w:tr w:rsidR="00E93CF9" w:rsidRPr="00A0063E" w14:paraId="20DA067C" w14:textId="77777777" w:rsidTr="00A95817">
        <w:tc>
          <w:tcPr>
            <w:tcW w:w="3449" w:type="dxa"/>
            <w:vAlign w:val="center"/>
          </w:tcPr>
          <w:p w14:paraId="5FD4C2D6" w14:textId="44B73653" w:rsidR="00E93CF9" w:rsidRPr="00A0063E" w:rsidRDefault="00E93CF9" w:rsidP="00E93CF9">
            <w:pPr>
              <w:rPr>
                <w:sz w:val="20"/>
                <w:szCs w:val="20"/>
              </w:rPr>
            </w:pPr>
            <w:r w:rsidRPr="00A0063E">
              <w:rPr>
                <w:sz w:val="20"/>
              </w:rPr>
              <w:t>4-tert-butilfenol</w:t>
            </w:r>
          </w:p>
        </w:tc>
        <w:tc>
          <w:tcPr>
            <w:tcW w:w="2680" w:type="dxa"/>
            <w:vAlign w:val="center"/>
          </w:tcPr>
          <w:p w14:paraId="00437B17" w14:textId="1ABDE43A" w:rsidR="00E93CF9" w:rsidRPr="00A0063E" w:rsidRDefault="00E93CF9" w:rsidP="00E93CF9">
            <w:pPr>
              <w:jc w:val="center"/>
              <w:rPr>
                <w:sz w:val="20"/>
                <w:szCs w:val="20"/>
              </w:rPr>
            </w:pPr>
            <w:r w:rsidRPr="00A0063E">
              <w:rPr>
                <w:sz w:val="20"/>
              </w:rPr>
              <w:t>98-54-4</w:t>
            </w:r>
          </w:p>
        </w:tc>
        <w:tc>
          <w:tcPr>
            <w:tcW w:w="2676" w:type="dxa"/>
            <w:vAlign w:val="center"/>
          </w:tcPr>
          <w:p w14:paraId="37D5D1AF" w14:textId="01E952ED" w:rsidR="00E93CF9" w:rsidRPr="00A0063E" w:rsidRDefault="00E93CF9" w:rsidP="00E93CF9">
            <w:pPr>
              <w:jc w:val="center"/>
              <w:rPr>
                <w:sz w:val="20"/>
                <w:szCs w:val="20"/>
              </w:rPr>
            </w:pPr>
            <w:r w:rsidRPr="00A0063E">
              <w:rPr>
                <w:sz w:val="20"/>
              </w:rPr>
              <w:t>202-679-0</w:t>
            </w:r>
          </w:p>
        </w:tc>
      </w:tr>
      <w:tr w:rsidR="00E93CF9" w:rsidRPr="00A0063E" w14:paraId="5CD11AC7" w14:textId="77777777" w:rsidTr="00A95817">
        <w:tc>
          <w:tcPr>
            <w:tcW w:w="3449" w:type="dxa"/>
            <w:vAlign w:val="center"/>
          </w:tcPr>
          <w:p w14:paraId="595A2B78" w14:textId="338FB50F" w:rsidR="00E93CF9" w:rsidRPr="00A0063E" w:rsidRDefault="00E93CF9" w:rsidP="00E93CF9">
            <w:pPr>
              <w:rPr>
                <w:sz w:val="20"/>
                <w:szCs w:val="20"/>
              </w:rPr>
            </w:pPr>
            <w:proofErr w:type="spellStart"/>
            <w:r w:rsidRPr="00A0063E">
              <w:rPr>
                <w:sz w:val="20"/>
              </w:rPr>
              <w:t>Etoxilato</w:t>
            </w:r>
            <w:proofErr w:type="spellEnd"/>
            <w:r w:rsidRPr="00A0063E">
              <w:rPr>
                <w:sz w:val="20"/>
              </w:rPr>
              <w:t xml:space="preserve"> de 4-nonilfenol, ramificado y lineal [sustancias, con una cadena de </w:t>
            </w:r>
            <w:proofErr w:type="spellStart"/>
            <w:r w:rsidRPr="00A0063E">
              <w:rPr>
                <w:sz w:val="20"/>
              </w:rPr>
              <w:t>alquil</w:t>
            </w:r>
            <w:proofErr w:type="spellEnd"/>
            <w:r w:rsidRPr="00A0063E">
              <w:rPr>
                <w:sz w:val="20"/>
              </w:rPr>
              <w:t xml:space="preserve"> lineal o ramificada, de 9 átomos de carbono unidos covalentemente en la posición 4 del fenol, </w:t>
            </w:r>
            <w:proofErr w:type="spellStart"/>
            <w:r w:rsidRPr="00A0063E">
              <w:rPr>
                <w:sz w:val="20"/>
              </w:rPr>
              <w:t>etoxilados</w:t>
            </w:r>
            <w:proofErr w:type="spellEnd"/>
            <w:r w:rsidRPr="00A0063E">
              <w:rPr>
                <w:sz w:val="20"/>
              </w:rPr>
              <w:t>, que cubren las sustancias UVCB y las sustancias bien definidas, polímeros y homólogos, que incluyen todos los isómeros individuales o combinaciones de estos]</w:t>
            </w:r>
          </w:p>
        </w:tc>
        <w:tc>
          <w:tcPr>
            <w:tcW w:w="2680" w:type="dxa"/>
            <w:vAlign w:val="center"/>
          </w:tcPr>
          <w:p w14:paraId="73427E3F" w14:textId="4AAC527B" w:rsidR="00E93CF9" w:rsidRPr="00A0063E" w:rsidRDefault="00E93CF9" w:rsidP="00E93CF9">
            <w:pPr>
              <w:jc w:val="center"/>
              <w:rPr>
                <w:sz w:val="20"/>
                <w:szCs w:val="20"/>
              </w:rPr>
            </w:pPr>
            <w:r w:rsidRPr="00A0063E">
              <w:rPr>
                <w:sz w:val="20"/>
              </w:rPr>
              <w:t>-</w:t>
            </w:r>
          </w:p>
        </w:tc>
        <w:tc>
          <w:tcPr>
            <w:tcW w:w="2676" w:type="dxa"/>
            <w:vAlign w:val="center"/>
          </w:tcPr>
          <w:p w14:paraId="58F2270E" w14:textId="4C2D10BD" w:rsidR="00E93CF9" w:rsidRPr="00A0063E" w:rsidRDefault="00E93CF9" w:rsidP="00E93CF9">
            <w:pPr>
              <w:jc w:val="center"/>
              <w:rPr>
                <w:sz w:val="20"/>
                <w:szCs w:val="20"/>
              </w:rPr>
            </w:pPr>
            <w:r w:rsidRPr="00A0063E">
              <w:rPr>
                <w:sz w:val="20"/>
              </w:rPr>
              <w:t>-</w:t>
            </w:r>
          </w:p>
        </w:tc>
      </w:tr>
      <w:tr w:rsidR="00E93CF9" w:rsidRPr="00A0063E" w14:paraId="0EE8A2D2" w14:textId="77777777" w:rsidTr="00A95817">
        <w:tc>
          <w:tcPr>
            <w:tcW w:w="3449" w:type="dxa"/>
            <w:vAlign w:val="center"/>
          </w:tcPr>
          <w:p w14:paraId="6ADB878B" w14:textId="3E37E507" w:rsidR="00E93CF9" w:rsidRPr="00A0063E" w:rsidRDefault="00E93CF9" w:rsidP="00E93CF9">
            <w:pPr>
              <w:rPr>
                <w:sz w:val="20"/>
                <w:szCs w:val="20"/>
              </w:rPr>
            </w:pPr>
            <w:r w:rsidRPr="00A0063E">
              <w:rPr>
                <w:sz w:val="20"/>
              </w:rPr>
              <w:t xml:space="preserve">4-nonilfenol, ramificado y lineal [sustancias, con una cadena de </w:t>
            </w:r>
            <w:proofErr w:type="spellStart"/>
            <w:r w:rsidRPr="00A0063E">
              <w:rPr>
                <w:sz w:val="20"/>
              </w:rPr>
              <w:t>alquil</w:t>
            </w:r>
            <w:proofErr w:type="spellEnd"/>
            <w:r w:rsidRPr="00A0063E">
              <w:rPr>
                <w:sz w:val="20"/>
              </w:rPr>
              <w:t xml:space="preserve"> lineal o ramificada, de 9 átomos de carbono unidos covalentemente en la posición 4 del fenol, </w:t>
            </w:r>
            <w:proofErr w:type="spellStart"/>
            <w:r w:rsidRPr="00A0063E">
              <w:rPr>
                <w:sz w:val="20"/>
              </w:rPr>
              <w:t>etoxilados</w:t>
            </w:r>
            <w:proofErr w:type="spellEnd"/>
            <w:r w:rsidRPr="00A0063E">
              <w:rPr>
                <w:sz w:val="20"/>
              </w:rPr>
              <w:t>, que cubren las sustancias UVCB y las sustancias bien definidas, polímeros y homólogos, que incluyen todos los isómeros individuales o combinaciones de estos]</w:t>
            </w:r>
          </w:p>
        </w:tc>
        <w:tc>
          <w:tcPr>
            <w:tcW w:w="2680" w:type="dxa"/>
            <w:vAlign w:val="center"/>
          </w:tcPr>
          <w:p w14:paraId="02EBD6A3" w14:textId="5BDF1D2B" w:rsidR="00E93CF9" w:rsidRPr="00A0063E" w:rsidRDefault="00E93CF9" w:rsidP="00E93CF9">
            <w:pPr>
              <w:jc w:val="center"/>
              <w:rPr>
                <w:sz w:val="20"/>
                <w:szCs w:val="20"/>
              </w:rPr>
            </w:pPr>
            <w:r w:rsidRPr="00A0063E">
              <w:rPr>
                <w:sz w:val="20"/>
              </w:rPr>
              <w:t>-</w:t>
            </w:r>
          </w:p>
        </w:tc>
        <w:tc>
          <w:tcPr>
            <w:tcW w:w="2676" w:type="dxa"/>
            <w:vAlign w:val="center"/>
          </w:tcPr>
          <w:p w14:paraId="2C95EE6D" w14:textId="77E800D8" w:rsidR="00E93CF9" w:rsidRPr="00A0063E" w:rsidRDefault="00E93CF9" w:rsidP="00E93CF9">
            <w:pPr>
              <w:jc w:val="center"/>
              <w:rPr>
                <w:sz w:val="20"/>
                <w:szCs w:val="20"/>
              </w:rPr>
            </w:pPr>
            <w:r w:rsidRPr="00A0063E">
              <w:rPr>
                <w:sz w:val="20"/>
              </w:rPr>
              <w:t>-</w:t>
            </w:r>
          </w:p>
        </w:tc>
      </w:tr>
      <w:tr w:rsidR="00E93CF9" w:rsidRPr="00A0063E" w14:paraId="34ADB2EA" w14:textId="77777777" w:rsidTr="00A95817">
        <w:tc>
          <w:tcPr>
            <w:tcW w:w="3449" w:type="dxa"/>
            <w:vAlign w:val="center"/>
          </w:tcPr>
          <w:p w14:paraId="186E43BD" w14:textId="72C542A3" w:rsidR="00E93CF9" w:rsidRPr="00A0063E" w:rsidRDefault="00E93CF9" w:rsidP="00E93CF9">
            <w:pPr>
              <w:rPr>
                <w:sz w:val="20"/>
                <w:szCs w:val="20"/>
              </w:rPr>
            </w:pPr>
            <w:r w:rsidRPr="00A0063E">
              <w:rPr>
                <w:sz w:val="20"/>
              </w:rPr>
              <w:t>4-heptilfenol, ramificado y lineal (4-HPbl)</w:t>
            </w:r>
          </w:p>
        </w:tc>
        <w:tc>
          <w:tcPr>
            <w:tcW w:w="2680" w:type="dxa"/>
            <w:vAlign w:val="center"/>
          </w:tcPr>
          <w:p w14:paraId="592958A4" w14:textId="65A8302B" w:rsidR="00E93CF9" w:rsidRPr="00A0063E" w:rsidRDefault="00E93CF9" w:rsidP="00E93CF9">
            <w:pPr>
              <w:jc w:val="center"/>
              <w:rPr>
                <w:sz w:val="20"/>
                <w:szCs w:val="20"/>
              </w:rPr>
            </w:pPr>
            <w:r w:rsidRPr="00A0063E">
              <w:rPr>
                <w:sz w:val="20"/>
              </w:rPr>
              <w:t>-</w:t>
            </w:r>
          </w:p>
        </w:tc>
        <w:tc>
          <w:tcPr>
            <w:tcW w:w="2676" w:type="dxa"/>
            <w:vAlign w:val="center"/>
          </w:tcPr>
          <w:p w14:paraId="223A6126" w14:textId="1A7544AC" w:rsidR="00E93CF9" w:rsidRPr="00A0063E" w:rsidRDefault="00E93CF9" w:rsidP="00E93CF9">
            <w:pPr>
              <w:jc w:val="center"/>
              <w:rPr>
                <w:sz w:val="20"/>
                <w:szCs w:val="20"/>
              </w:rPr>
            </w:pPr>
            <w:r w:rsidRPr="00A0063E">
              <w:rPr>
                <w:sz w:val="20"/>
              </w:rPr>
              <w:t>-</w:t>
            </w:r>
          </w:p>
        </w:tc>
      </w:tr>
      <w:tr w:rsidR="00E93CF9" w:rsidRPr="00A0063E" w14:paraId="59E6D907" w14:textId="4C7289EB" w:rsidTr="00A95817">
        <w:tc>
          <w:tcPr>
            <w:tcW w:w="3449" w:type="dxa"/>
            <w:vAlign w:val="center"/>
          </w:tcPr>
          <w:p w14:paraId="13239AED" w14:textId="393D7566" w:rsidR="00E93CF9" w:rsidRPr="00A0063E" w:rsidRDefault="00E93CF9" w:rsidP="00E93CF9">
            <w:pPr>
              <w:rPr>
                <w:sz w:val="20"/>
                <w:szCs w:val="20"/>
                <w:highlight w:val="yellow"/>
              </w:rPr>
            </w:pPr>
            <w:r w:rsidRPr="00A0063E">
              <w:rPr>
                <w:sz w:val="20"/>
              </w:rPr>
              <w:t xml:space="preserve">4-(1,1,3,3-tetrametilbutil)fenol, </w:t>
            </w:r>
            <w:proofErr w:type="spellStart"/>
            <w:r w:rsidRPr="00A0063E">
              <w:rPr>
                <w:sz w:val="20"/>
              </w:rPr>
              <w:t>etoxilado</w:t>
            </w:r>
            <w:proofErr w:type="spellEnd"/>
            <w:r w:rsidRPr="00A0063E">
              <w:rPr>
                <w:sz w:val="20"/>
              </w:rPr>
              <w:t xml:space="preserve"> - que cubre sustancias bien </w:t>
            </w:r>
            <w:r w:rsidRPr="00A0063E">
              <w:rPr>
                <w:sz w:val="20"/>
              </w:rPr>
              <w:lastRenderedPageBreak/>
              <w:t>definidas y las sustancias UVCB, polímeros y homólogos</w:t>
            </w:r>
          </w:p>
        </w:tc>
        <w:tc>
          <w:tcPr>
            <w:tcW w:w="2680" w:type="dxa"/>
            <w:vAlign w:val="center"/>
          </w:tcPr>
          <w:p w14:paraId="57FB2C7F" w14:textId="07B40523" w:rsidR="00E93CF9" w:rsidRPr="00A0063E" w:rsidRDefault="00E93CF9" w:rsidP="00E93CF9">
            <w:pPr>
              <w:jc w:val="center"/>
              <w:rPr>
                <w:sz w:val="20"/>
                <w:szCs w:val="20"/>
              </w:rPr>
            </w:pPr>
            <w:r w:rsidRPr="00A0063E">
              <w:rPr>
                <w:sz w:val="20"/>
              </w:rPr>
              <w:lastRenderedPageBreak/>
              <w:t>-</w:t>
            </w:r>
          </w:p>
        </w:tc>
        <w:tc>
          <w:tcPr>
            <w:tcW w:w="2676" w:type="dxa"/>
            <w:vAlign w:val="center"/>
          </w:tcPr>
          <w:p w14:paraId="6121D96E" w14:textId="1FD84B09" w:rsidR="00E93CF9" w:rsidRPr="00A0063E" w:rsidRDefault="00E93CF9" w:rsidP="00E93CF9">
            <w:pPr>
              <w:jc w:val="center"/>
              <w:rPr>
                <w:sz w:val="20"/>
                <w:szCs w:val="20"/>
              </w:rPr>
            </w:pPr>
            <w:r w:rsidRPr="00A0063E">
              <w:rPr>
                <w:sz w:val="20"/>
              </w:rPr>
              <w:t>-</w:t>
            </w:r>
          </w:p>
        </w:tc>
      </w:tr>
      <w:tr w:rsidR="00E93CF9" w:rsidRPr="00A0063E" w14:paraId="56B0AACE" w14:textId="77777777" w:rsidTr="00A95817">
        <w:tc>
          <w:tcPr>
            <w:tcW w:w="3449" w:type="dxa"/>
            <w:vAlign w:val="center"/>
          </w:tcPr>
          <w:p w14:paraId="290681DC" w14:textId="74C36D90" w:rsidR="00E93CF9" w:rsidRPr="00A0063E" w:rsidRDefault="00E93CF9" w:rsidP="00E93CF9">
            <w:pPr>
              <w:rPr>
                <w:sz w:val="20"/>
                <w:szCs w:val="20"/>
                <w:highlight w:val="yellow"/>
              </w:rPr>
            </w:pPr>
            <w:r w:rsidRPr="00A0063E">
              <w:rPr>
                <w:sz w:val="20"/>
              </w:rPr>
              <w:t>4-(1,1,3,3-tetrametilbutil)fenol</w:t>
            </w:r>
          </w:p>
        </w:tc>
        <w:tc>
          <w:tcPr>
            <w:tcW w:w="2680" w:type="dxa"/>
            <w:vAlign w:val="center"/>
          </w:tcPr>
          <w:p w14:paraId="79B08B3E" w14:textId="6F1EF702" w:rsidR="00E93CF9" w:rsidRPr="00A0063E" w:rsidRDefault="00E93CF9" w:rsidP="00E93CF9">
            <w:pPr>
              <w:jc w:val="center"/>
              <w:rPr>
                <w:sz w:val="20"/>
                <w:szCs w:val="20"/>
              </w:rPr>
            </w:pPr>
            <w:r w:rsidRPr="00A0063E">
              <w:rPr>
                <w:sz w:val="20"/>
              </w:rPr>
              <w:t>140-66-9</w:t>
            </w:r>
          </w:p>
        </w:tc>
        <w:tc>
          <w:tcPr>
            <w:tcW w:w="2676" w:type="dxa"/>
            <w:vAlign w:val="center"/>
          </w:tcPr>
          <w:p w14:paraId="04DABDD1" w14:textId="11F6E851" w:rsidR="00E93CF9" w:rsidRPr="00A0063E" w:rsidRDefault="00E93CF9" w:rsidP="00E93CF9">
            <w:pPr>
              <w:jc w:val="center"/>
              <w:rPr>
                <w:sz w:val="20"/>
                <w:szCs w:val="20"/>
              </w:rPr>
            </w:pPr>
            <w:r w:rsidRPr="00A0063E">
              <w:rPr>
                <w:sz w:val="20"/>
              </w:rPr>
              <w:t>205-426-2</w:t>
            </w:r>
          </w:p>
        </w:tc>
      </w:tr>
      <w:tr w:rsidR="00E93CF9" w:rsidRPr="00A0063E" w14:paraId="51B46484" w14:textId="77777777" w:rsidTr="00A95817">
        <w:tc>
          <w:tcPr>
            <w:tcW w:w="3449" w:type="dxa"/>
          </w:tcPr>
          <w:p w14:paraId="7C0A8C8B" w14:textId="4716FABC" w:rsidR="00E93CF9" w:rsidRPr="00A0063E" w:rsidRDefault="00E93CF9" w:rsidP="00E93CF9">
            <w:pPr>
              <w:rPr>
                <w:sz w:val="20"/>
                <w:szCs w:val="20"/>
              </w:rPr>
            </w:pPr>
            <w:r w:rsidRPr="00A0063E">
              <w:rPr>
                <w:sz w:val="20"/>
              </w:rPr>
              <w:t>1,7,7-trimetil-3-(</w:t>
            </w:r>
            <w:proofErr w:type="spellStart"/>
            <w:r w:rsidRPr="00A0063E">
              <w:rPr>
                <w:sz w:val="20"/>
              </w:rPr>
              <w:t>fenilmetilen</w:t>
            </w:r>
            <w:proofErr w:type="spellEnd"/>
            <w:r w:rsidRPr="00A0063E">
              <w:rPr>
                <w:sz w:val="20"/>
              </w:rPr>
              <w:t xml:space="preserve">)biciclo[2.2.1]heptan-2-ona (3-bencilideno </w:t>
            </w:r>
            <w:proofErr w:type="spellStart"/>
            <w:r w:rsidRPr="00A0063E">
              <w:rPr>
                <w:sz w:val="20"/>
              </w:rPr>
              <w:t>canfor</w:t>
            </w:r>
            <w:proofErr w:type="spellEnd"/>
            <w:r w:rsidRPr="00A0063E">
              <w:rPr>
                <w:sz w:val="20"/>
              </w:rPr>
              <w:t>)</w:t>
            </w:r>
          </w:p>
        </w:tc>
        <w:tc>
          <w:tcPr>
            <w:tcW w:w="2680" w:type="dxa"/>
            <w:vAlign w:val="center"/>
          </w:tcPr>
          <w:p w14:paraId="3BBEB1D3" w14:textId="483B14B6" w:rsidR="00E93CF9" w:rsidRPr="00A0063E" w:rsidRDefault="00E93CF9" w:rsidP="00E93CF9">
            <w:pPr>
              <w:jc w:val="center"/>
              <w:rPr>
                <w:sz w:val="20"/>
                <w:szCs w:val="20"/>
              </w:rPr>
            </w:pPr>
            <w:r w:rsidRPr="00A0063E">
              <w:rPr>
                <w:sz w:val="20"/>
              </w:rPr>
              <w:t>15087-24-8</w:t>
            </w:r>
          </w:p>
        </w:tc>
        <w:tc>
          <w:tcPr>
            <w:tcW w:w="2676" w:type="dxa"/>
            <w:vAlign w:val="center"/>
          </w:tcPr>
          <w:p w14:paraId="1DB8B2E9" w14:textId="1D96672E" w:rsidR="00E93CF9" w:rsidRPr="00A0063E" w:rsidRDefault="00E93CF9" w:rsidP="00E93CF9">
            <w:pPr>
              <w:jc w:val="center"/>
              <w:rPr>
                <w:sz w:val="20"/>
                <w:szCs w:val="20"/>
              </w:rPr>
            </w:pPr>
            <w:r w:rsidRPr="00A0063E">
              <w:rPr>
                <w:sz w:val="20"/>
              </w:rPr>
              <w:t>239-139-9</w:t>
            </w:r>
          </w:p>
        </w:tc>
      </w:tr>
    </w:tbl>
    <w:p w14:paraId="3F2D113E" w14:textId="77777777" w:rsidR="00F92FDA" w:rsidRPr="00A0063E" w:rsidRDefault="00F92FDA" w:rsidP="009934B3">
      <w:pPr>
        <w:ind w:left="539"/>
      </w:pPr>
    </w:p>
    <w:p w14:paraId="39CDB39E" w14:textId="77777777" w:rsidR="00F92FDA" w:rsidRPr="00A0063E" w:rsidRDefault="00F92FDA" w:rsidP="009934B3">
      <w:pPr>
        <w:ind w:left="539"/>
      </w:pPr>
    </w:p>
    <w:p w14:paraId="638D44C7" w14:textId="4FA76721" w:rsidR="0091346D" w:rsidRPr="00A0063E" w:rsidRDefault="0091346D" w:rsidP="00F92FDA">
      <w:pPr>
        <w:ind w:left="539"/>
        <w:jc w:val="both"/>
        <w:rPr>
          <w:kern w:val="3"/>
        </w:rPr>
      </w:pPr>
      <w:r w:rsidRPr="00A0063E">
        <w:t>CUADRO B: Lista de sustancias que presentan propiedades de alteración endocrina sospechosas según el artículo L. 5232-5, apartado II, del Código de Salud Pública</w:t>
      </w:r>
    </w:p>
    <w:p w14:paraId="642C4104" w14:textId="594CDADD" w:rsidR="0091346D" w:rsidRPr="00A0063E" w:rsidRDefault="0091346D" w:rsidP="00F92FDA">
      <w:pPr>
        <w:ind w:left="539"/>
        <w:jc w:val="both"/>
        <w:rPr>
          <w:kern w:val="3"/>
        </w:rPr>
      </w:pPr>
    </w:p>
    <w:tbl>
      <w:tblPr>
        <w:tblStyle w:val="TableGrid"/>
        <w:tblW w:w="0" w:type="auto"/>
        <w:tblInd w:w="539" w:type="dxa"/>
        <w:tblLook w:val="04A0" w:firstRow="1" w:lastRow="0" w:firstColumn="1" w:lastColumn="0" w:noHBand="0" w:noVBand="1"/>
      </w:tblPr>
      <w:tblGrid>
        <w:gridCol w:w="3449"/>
        <w:gridCol w:w="2680"/>
        <w:gridCol w:w="2676"/>
      </w:tblGrid>
      <w:tr w:rsidR="00840BD7" w:rsidRPr="00A0063E" w14:paraId="7B8CE649" w14:textId="77777777" w:rsidTr="00540F9C">
        <w:tc>
          <w:tcPr>
            <w:tcW w:w="3449" w:type="dxa"/>
          </w:tcPr>
          <w:p w14:paraId="54F334A4" w14:textId="77777777" w:rsidR="00840BD7" w:rsidRPr="00A0063E" w:rsidRDefault="00840BD7" w:rsidP="00540F9C">
            <w:pPr>
              <w:jc w:val="center"/>
              <w:rPr>
                <w:b/>
                <w:sz w:val="20"/>
                <w:szCs w:val="20"/>
              </w:rPr>
            </w:pPr>
            <w:r w:rsidRPr="00A0063E">
              <w:rPr>
                <w:b/>
                <w:sz w:val="20"/>
              </w:rPr>
              <w:t>Nombre de la sustancia</w:t>
            </w:r>
          </w:p>
        </w:tc>
        <w:tc>
          <w:tcPr>
            <w:tcW w:w="2680" w:type="dxa"/>
          </w:tcPr>
          <w:p w14:paraId="11374AFA" w14:textId="77777777" w:rsidR="00840BD7" w:rsidRPr="00A0063E" w:rsidRDefault="00840BD7" w:rsidP="00540F9C">
            <w:pPr>
              <w:jc w:val="center"/>
              <w:rPr>
                <w:b/>
                <w:sz w:val="20"/>
                <w:szCs w:val="20"/>
              </w:rPr>
            </w:pPr>
            <w:r w:rsidRPr="00A0063E">
              <w:rPr>
                <w:b/>
                <w:sz w:val="20"/>
              </w:rPr>
              <w:t>Número CAS</w:t>
            </w:r>
          </w:p>
        </w:tc>
        <w:tc>
          <w:tcPr>
            <w:tcW w:w="2676" w:type="dxa"/>
          </w:tcPr>
          <w:p w14:paraId="114412AB" w14:textId="77777777" w:rsidR="00840BD7" w:rsidRPr="00A0063E" w:rsidRDefault="00840BD7" w:rsidP="00540F9C">
            <w:pPr>
              <w:jc w:val="center"/>
              <w:rPr>
                <w:b/>
                <w:sz w:val="20"/>
                <w:szCs w:val="20"/>
              </w:rPr>
            </w:pPr>
            <w:r w:rsidRPr="00A0063E">
              <w:rPr>
                <w:b/>
                <w:sz w:val="20"/>
              </w:rPr>
              <w:t>Número CE</w:t>
            </w:r>
          </w:p>
        </w:tc>
      </w:tr>
      <w:tr w:rsidR="00840BD7" w:rsidRPr="00A0063E" w14:paraId="564772EC" w14:textId="77777777" w:rsidTr="00540F9C">
        <w:tc>
          <w:tcPr>
            <w:tcW w:w="3449" w:type="dxa"/>
          </w:tcPr>
          <w:p w14:paraId="608C3231" w14:textId="0E10BA61" w:rsidR="00840BD7" w:rsidRPr="00A0063E" w:rsidRDefault="00840BD7" w:rsidP="00540F9C">
            <w:pPr>
              <w:jc w:val="center"/>
              <w:rPr>
                <w:b/>
                <w:sz w:val="20"/>
                <w:szCs w:val="20"/>
              </w:rPr>
            </w:pPr>
            <w:r w:rsidRPr="00A0063E">
              <w:rPr>
                <w:b/>
                <w:sz w:val="20"/>
              </w:rPr>
              <w:t>-</w:t>
            </w:r>
          </w:p>
        </w:tc>
        <w:tc>
          <w:tcPr>
            <w:tcW w:w="2680" w:type="dxa"/>
          </w:tcPr>
          <w:p w14:paraId="7D6E6933" w14:textId="32CACB45" w:rsidR="00840BD7" w:rsidRPr="00A0063E" w:rsidRDefault="00840BD7" w:rsidP="00540F9C">
            <w:pPr>
              <w:jc w:val="center"/>
              <w:rPr>
                <w:b/>
                <w:sz w:val="20"/>
                <w:szCs w:val="20"/>
              </w:rPr>
            </w:pPr>
            <w:r w:rsidRPr="00A0063E">
              <w:rPr>
                <w:b/>
                <w:sz w:val="20"/>
              </w:rPr>
              <w:t>-</w:t>
            </w:r>
          </w:p>
        </w:tc>
        <w:tc>
          <w:tcPr>
            <w:tcW w:w="2676" w:type="dxa"/>
          </w:tcPr>
          <w:p w14:paraId="0FC6BCD8" w14:textId="28E4DA1A" w:rsidR="00840BD7" w:rsidRPr="00A0063E" w:rsidRDefault="00840BD7" w:rsidP="00540F9C">
            <w:pPr>
              <w:jc w:val="center"/>
              <w:rPr>
                <w:b/>
                <w:sz w:val="20"/>
                <w:szCs w:val="20"/>
              </w:rPr>
            </w:pPr>
            <w:r w:rsidRPr="00A0063E">
              <w:rPr>
                <w:b/>
                <w:sz w:val="20"/>
              </w:rPr>
              <w:t>-</w:t>
            </w:r>
          </w:p>
        </w:tc>
      </w:tr>
    </w:tbl>
    <w:p w14:paraId="74753E47" w14:textId="50E31C82" w:rsidR="00840BD7" w:rsidRPr="00A0063E" w:rsidRDefault="00840BD7" w:rsidP="00F92FDA">
      <w:pPr>
        <w:ind w:left="539"/>
        <w:jc w:val="both"/>
        <w:rPr>
          <w:kern w:val="3"/>
        </w:rPr>
      </w:pPr>
    </w:p>
    <w:p w14:paraId="32D03191" w14:textId="780A5C7E" w:rsidR="0091346D" w:rsidRPr="00A0063E" w:rsidRDefault="0091346D" w:rsidP="00F92FDA">
      <w:pPr>
        <w:ind w:left="539"/>
        <w:jc w:val="both"/>
        <w:rPr>
          <w:kern w:val="3"/>
        </w:rPr>
      </w:pPr>
    </w:p>
    <w:p w14:paraId="3907DAEA" w14:textId="004EC57B" w:rsidR="0091346D" w:rsidRPr="00A0063E" w:rsidRDefault="0091346D" w:rsidP="00F92FDA">
      <w:pPr>
        <w:ind w:left="539"/>
        <w:jc w:val="both"/>
        <w:rPr>
          <w:kern w:val="3"/>
        </w:rPr>
      </w:pPr>
      <w:r w:rsidRPr="00A0063E">
        <w:t>Anexo II: Lista de categorías de productos que presentan un riesgo particular de exposición mencionados en el artículo L. 5232-5, apartado II, del Código de Salud Pública</w:t>
      </w:r>
    </w:p>
    <w:p w14:paraId="68FABC73" w14:textId="761C6D87" w:rsidR="0091346D" w:rsidRPr="00A0063E" w:rsidRDefault="0091346D" w:rsidP="0091346D">
      <w:pPr>
        <w:ind w:left="539"/>
        <w:rPr>
          <w:kern w:val="3"/>
        </w:rPr>
      </w:pPr>
    </w:p>
    <w:p w14:paraId="20C6B0C6" w14:textId="170FAE88" w:rsidR="0091346D" w:rsidRPr="00A0063E" w:rsidRDefault="0091346D" w:rsidP="0091346D">
      <w:pPr>
        <w:ind w:left="539"/>
        <w:rPr>
          <w:kern w:val="3"/>
        </w:rPr>
      </w:pPr>
      <w:r w:rsidRPr="00A0063E">
        <w:t>No aplicable</w:t>
      </w:r>
    </w:p>
    <w:p w14:paraId="408B3F4A" w14:textId="77777777" w:rsidR="0091346D" w:rsidRPr="00A0063E" w:rsidRDefault="0091346D" w:rsidP="0091346D">
      <w:pPr>
        <w:ind w:left="539"/>
      </w:pPr>
    </w:p>
    <w:p w14:paraId="6956F2FB" w14:textId="77777777" w:rsidR="008347CD" w:rsidRDefault="008347CD" w:rsidP="0001023B"/>
    <w:sectPr w:rsidR="008347CD">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1D52" w14:textId="77777777" w:rsidR="000975C5" w:rsidRDefault="000975C5" w:rsidP="00C40AB0">
      <w:r>
        <w:separator/>
      </w:r>
    </w:p>
  </w:endnote>
  <w:endnote w:type="continuationSeparator" w:id="0">
    <w:p w14:paraId="4D6ECFB7" w14:textId="77777777" w:rsidR="000975C5" w:rsidRDefault="000975C5"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9D72"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C441"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A9E"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15B1" w14:textId="77777777" w:rsidR="000975C5" w:rsidRDefault="000975C5" w:rsidP="00C40AB0">
      <w:r>
        <w:separator/>
      </w:r>
    </w:p>
  </w:footnote>
  <w:footnote w:type="continuationSeparator" w:id="0">
    <w:p w14:paraId="0C316D79" w14:textId="77777777" w:rsidR="000975C5" w:rsidRDefault="000975C5"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C0E0" w14:textId="5785586D" w:rsidR="006D6666" w:rsidRDefault="00A0063E">
    <w:pPr>
      <w:pStyle w:val="Header"/>
    </w:pPr>
    <w:r>
      <w:pict w14:anchorId="19C9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4C23" w14:textId="49B06B63" w:rsidR="006D6666" w:rsidRDefault="00A0063E">
    <w:pPr>
      <w:pStyle w:val="Header"/>
    </w:pPr>
    <w:r>
      <w:pict w14:anchorId="666B9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6F30" w14:textId="56FBCD41" w:rsidR="006D6666" w:rsidRDefault="00A0063E">
    <w:pPr>
      <w:pStyle w:val="Header"/>
    </w:pPr>
    <w:r>
      <w:pict w14:anchorId="1D8D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5179D"/>
    <w:rsid w:val="000975C5"/>
    <w:rsid w:val="000C4EE6"/>
    <w:rsid w:val="000C5D4F"/>
    <w:rsid w:val="000E5822"/>
    <w:rsid w:val="000F3707"/>
    <w:rsid w:val="001200AE"/>
    <w:rsid w:val="00164440"/>
    <w:rsid w:val="00220182"/>
    <w:rsid w:val="00254416"/>
    <w:rsid w:val="00305F8C"/>
    <w:rsid w:val="003A1DE7"/>
    <w:rsid w:val="003A3003"/>
    <w:rsid w:val="00414610"/>
    <w:rsid w:val="0043139D"/>
    <w:rsid w:val="0050742C"/>
    <w:rsid w:val="00537A63"/>
    <w:rsid w:val="00566851"/>
    <w:rsid w:val="00584953"/>
    <w:rsid w:val="005A35A3"/>
    <w:rsid w:val="005C023A"/>
    <w:rsid w:val="005C464F"/>
    <w:rsid w:val="005E4811"/>
    <w:rsid w:val="005E7BA6"/>
    <w:rsid w:val="00631F42"/>
    <w:rsid w:val="00633D5B"/>
    <w:rsid w:val="006545A0"/>
    <w:rsid w:val="006B2B52"/>
    <w:rsid w:val="006B6ECB"/>
    <w:rsid w:val="006D6666"/>
    <w:rsid w:val="00717AEE"/>
    <w:rsid w:val="007C13FE"/>
    <w:rsid w:val="007D3B6E"/>
    <w:rsid w:val="007F7405"/>
    <w:rsid w:val="008347CD"/>
    <w:rsid w:val="00840BD7"/>
    <w:rsid w:val="00844E8D"/>
    <w:rsid w:val="008970FC"/>
    <w:rsid w:val="0091346D"/>
    <w:rsid w:val="00972079"/>
    <w:rsid w:val="009934B3"/>
    <w:rsid w:val="009B476C"/>
    <w:rsid w:val="009B5D6C"/>
    <w:rsid w:val="009F0F5C"/>
    <w:rsid w:val="009F20C4"/>
    <w:rsid w:val="00A0063E"/>
    <w:rsid w:val="00A14477"/>
    <w:rsid w:val="00A42F37"/>
    <w:rsid w:val="00A755A3"/>
    <w:rsid w:val="00A857F7"/>
    <w:rsid w:val="00A95817"/>
    <w:rsid w:val="00B533B8"/>
    <w:rsid w:val="00B96689"/>
    <w:rsid w:val="00C40AB0"/>
    <w:rsid w:val="00C46B5B"/>
    <w:rsid w:val="00CC4ECF"/>
    <w:rsid w:val="00CE2B23"/>
    <w:rsid w:val="00CF4720"/>
    <w:rsid w:val="00DF04E0"/>
    <w:rsid w:val="00E35F75"/>
    <w:rsid w:val="00E93CF9"/>
    <w:rsid w:val="00ED6EB5"/>
    <w:rsid w:val="00F4110C"/>
    <w:rsid w:val="00F769AF"/>
    <w:rsid w:val="00F92FDA"/>
    <w:rsid w:val="00F949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7F6A"/>
  <w15:docId w15:val="{7924B570-3FE3-4D9E-A731-2EF2DC8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D7"/>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NumroLoi">
    <w:name w:val="SNNuméroLoi"/>
    <w:basedOn w:val="Policepardfaut1"/>
    <w:qFormat/>
  </w:style>
  <w:style w:type="character" w:customStyle="1" w:styleId="SNDateSignature">
    <w:name w:val="SNDateSignature"/>
    <w:basedOn w:val="Policepardfaut1"/>
    <w:qFormat/>
  </w:style>
  <w:style w:type="character" w:customStyle="1" w:styleId="SNenProjet">
    <w:name w:val="SNenProjet"/>
    <w:basedOn w:val="Policepardfaut1"/>
    <w:qFormat/>
  </w:style>
  <w:style w:type="character" w:customStyle="1" w:styleId="SNArticleCar">
    <w:name w:val="SNArticle Car"/>
    <w:qFormat/>
    <w:rPr>
      <w:b/>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le">
    <w:name w:val="Title"/>
    <w:basedOn w:val="Normal"/>
    <w:next w:val="BodyText"/>
    <w:qFormat/>
    <w:pPr>
      <w:keepNext/>
      <w:spacing w:before="240" w:after="120"/>
    </w:pPr>
    <w:rPr>
      <w:rFonts w:ascii="Liberation Sans;Arial" w:eastAsia="Microsoft YaHei" w:hAnsi="Liberation Sans;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
    <w:name w:val="Titre1"/>
    <w:basedOn w:val="Normal"/>
    <w:qFormat/>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pPr>
      <w:widowControl w:val="0"/>
      <w:jc w:val="center"/>
    </w:pPr>
    <w:rPr>
      <w:rFonts w:eastAsia="Lucida Sans Unicode"/>
      <w:b/>
      <w:bCs/>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LabelNOR">
    <w:name w:val="Label NOR"/>
    <w:basedOn w:val="Normal"/>
    <w:qFormat/>
    <w:pPr>
      <w:widowControl w:val="0"/>
      <w:suppressLineNumbers/>
      <w:jc w:val="right"/>
    </w:pPr>
    <w:rPr>
      <w:rFonts w:eastAsia="Lucida Sans Unicode"/>
    </w:rPr>
  </w:style>
  <w:style w:type="paragraph" w:customStyle="1" w:styleId="NOR">
    <w:name w:val="NOR"/>
    <w:basedOn w:val="Normal"/>
    <w:qFormat/>
    <w:pPr>
      <w:widowControl w:val="0"/>
      <w:suppressLineNumbers/>
      <w:snapToGrid w:val="0"/>
    </w:pPr>
    <w:rPr>
      <w:rFonts w:eastAsia="Lucida Sans Unicode"/>
    </w:rPr>
  </w:style>
  <w:style w:type="paragraph" w:customStyle="1" w:styleId="Nature">
    <w:name w:val="Nature"/>
    <w:basedOn w:val="Normal"/>
    <w:qFormat/>
    <w:pPr>
      <w:widowControl w:val="0"/>
      <w:suppressLineNumbers/>
      <w:spacing w:before="720" w:after="240"/>
      <w:jc w:val="center"/>
    </w:pPr>
    <w:rPr>
      <w:rFonts w:eastAsia="Lucida Sans Unicode"/>
      <w:b/>
      <w:bCs/>
    </w:rPr>
  </w:style>
  <w:style w:type="paragraph" w:customStyle="1" w:styleId="Objet">
    <w:name w:val="Objet"/>
    <w:basedOn w:val="Normal"/>
    <w:qFormat/>
    <w:pPr>
      <w:widowControl w:val="0"/>
      <w:suppressLineNumbers/>
      <w:spacing w:after="119"/>
      <w:jc w:val="center"/>
    </w:pPr>
    <w:rPr>
      <w:rFonts w:eastAsia="Lucida Sans Unicode"/>
    </w:rPr>
  </w:style>
  <w:style w:type="paragraph" w:customStyle="1" w:styleId="Autorit">
    <w:name w:val="Autorité"/>
    <w:basedOn w:val="Normal"/>
    <w:qFormat/>
    <w:pPr>
      <w:spacing w:before="720" w:after="240"/>
      <w:ind w:firstLine="720"/>
    </w:pPr>
    <w:rPr>
      <w:b/>
    </w:rPr>
  </w:style>
  <w:style w:type="paragraph" w:customStyle="1" w:styleId="Visa">
    <w:name w:val="Visa"/>
    <w:basedOn w:val="Normal"/>
    <w:qFormat/>
    <w:pPr>
      <w:spacing w:before="120" w:after="120"/>
      <w:ind w:firstLine="720"/>
    </w:pPr>
  </w:style>
  <w:style w:type="paragraph" w:customStyle="1" w:styleId="Acte">
    <w:name w:val="Acte"/>
    <w:basedOn w:val="Normal"/>
    <w:qFormat/>
    <w:pPr>
      <w:spacing w:before="480" w:after="240"/>
      <w:jc w:val="center"/>
    </w:pPr>
    <w:rPr>
      <w:b/>
    </w:rPr>
  </w:style>
  <w:style w:type="paragraph" w:customStyle="1" w:styleId="Article">
    <w:name w:val="Article"/>
    <w:basedOn w:val="Normal"/>
    <w:qFormat/>
    <w:pPr>
      <w:spacing w:before="240" w:after="240"/>
      <w:jc w:val="center"/>
    </w:pPr>
    <w:rPr>
      <w:b/>
    </w:rPr>
  </w:style>
  <w:style w:type="paragraph" w:customStyle="1" w:styleId="LieuDate">
    <w:name w:val="LieuDate"/>
    <w:basedOn w:val="Normal"/>
    <w:qFormat/>
    <w:pPr>
      <w:spacing w:before="480" w:after="120"/>
      <w:ind w:firstLine="720"/>
    </w:pPr>
  </w:style>
  <w:style w:type="paragraph" w:customStyle="1" w:styleId="SignatureGauche">
    <w:name w:val="SignatureGauche"/>
    <w:basedOn w:val="Normal"/>
    <w:qFormat/>
    <w:pPr>
      <w:spacing w:before="240" w:after="480"/>
      <w:ind w:firstLine="720"/>
    </w:pPr>
  </w:style>
  <w:style w:type="paragraph" w:customStyle="1" w:styleId="SignatureDroite">
    <w:name w:val="SignatureDroite"/>
    <w:basedOn w:val="Normal"/>
    <w:next w:val="SignatureGauche"/>
    <w:qFormat/>
    <w:pPr>
      <w:spacing w:before="240" w:after="480"/>
      <w:jc w:val="right"/>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Consultation">
    <w:name w:val="Consultation"/>
    <w:basedOn w:val="Normal"/>
    <w:qFormat/>
    <w:pPr>
      <w:widowControl w:val="0"/>
      <w:spacing w:before="120" w:after="120"/>
      <w:ind w:firstLine="709"/>
      <w:jc w:val="both"/>
    </w:pPr>
    <w:rPr>
      <w:rFonts w:eastAsia="Lucida Sans Unicode"/>
    </w:rPr>
  </w:style>
  <w:style w:type="paragraph" w:customStyle="1" w:styleId="Timbre">
    <w:name w:val="Timbre"/>
    <w:basedOn w:val="Normal"/>
    <w:qFormat/>
    <w:pPr>
      <w:widowControl w:val="0"/>
      <w:snapToGrid w:val="0"/>
      <w:spacing w:before="120"/>
      <w:jc w:val="center"/>
    </w:pPr>
    <w:rPr>
      <w:rFonts w:eastAsia="Lucida Sans Unicode"/>
    </w:rPr>
  </w:style>
  <w:style w:type="paragraph" w:customStyle="1" w:styleId="Rapport">
    <w:name w:val="Rapport"/>
    <w:basedOn w:val="Normal"/>
    <w:qFormat/>
    <w:pPr>
      <w:spacing w:before="240" w:after="120"/>
      <w:ind w:firstLine="720"/>
    </w:pPr>
  </w:style>
  <w:style w:type="paragraph" w:customStyle="1" w:styleId="SignatureSolon">
    <w:name w:val="SignatureSolon"/>
    <w:basedOn w:val="Normal"/>
    <w:next w:val="SignatureGauche"/>
    <w:qFormat/>
    <w:pPr>
      <w:spacing w:before="480" w:after="480"/>
      <w:ind w:firstLine="720"/>
    </w:pPr>
  </w:style>
  <w:style w:type="paragraph" w:customStyle="1" w:styleId="Considrant">
    <w:name w:val="Considérant"/>
    <w:basedOn w:val="Normal"/>
    <w:qFormat/>
    <w:pPr>
      <w:ind w:firstLine="720"/>
    </w:pPr>
  </w:style>
  <w:style w:type="paragraph" w:customStyle="1" w:styleId="SignaturePrincipale">
    <w:name w:val="SignaturePrincipale"/>
    <w:basedOn w:val="Normal"/>
    <w:next w:val="SignatureGauche"/>
    <w:qFormat/>
    <w:pPr>
      <w:spacing w:before="480" w:after="480"/>
      <w:ind w:firstLine="720"/>
    </w:pPr>
  </w:style>
  <w:style w:type="paragraph" w:customStyle="1" w:styleId="ConsultationCE">
    <w:name w:val="ConsultationCE"/>
    <w:basedOn w:val="Consultation"/>
    <w:qFormat/>
  </w:style>
  <w:style w:type="paragraph" w:customStyle="1" w:styleId="ConsultationCM">
    <w:name w:val="ConsultationCM"/>
    <w:basedOn w:val="Consultation"/>
    <w:qFormat/>
  </w:style>
  <w:style w:type="paragraph" w:customStyle="1" w:styleId="Direction">
    <w:name w:val="Direction"/>
    <w:basedOn w:val="Normal"/>
    <w:qFormat/>
    <w:pPr>
      <w:spacing w:before="720"/>
      <w:jc w:val="center"/>
    </w:pPr>
    <w:rPr>
      <w:b/>
    </w:rPr>
  </w:style>
  <w:style w:type="paragraph" w:customStyle="1" w:styleId="ListePrincipale">
    <w:name w:val="ListePrincipale"/>
    <w:basedOn w:val="Normal"/>
    <w:qFormat/>
  </w:style>
  <w:style w:type="paragraph" w:customStyle="1" w:styleId="Intitul">
    <w:name w:val="Intitulé"/>
    <w:basedOn w:val="Normal"/>
    <w:qFormat/>
    <w:pPr>
      <w:jc w:val="center"/>
    </w:p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Rpublique">
    <w:name w:val="SNRépublique"/>
    <w:basedOn w:val="Normal"/>
    <w:qFormat/>
    <w:pPr>
      <w:widowControl w:val="0"/>
      <w:jc w:val="center"/>
    </w:pPr>
    <w:rPr>
      <w:rFonts w:eastAsia="Lucida Sans Unicode"/>
      <w:b/>
      <w:bCs/>
    </w:rPr>
  </w:style>
  <w:style w:type="paragraph" w:customStyle="1" w:styleId="SNTimbre">
    <w:name w:val="SNTimbre"/>
    <w:basedOn w:val="Normal"/>
    <w:link w:val="SNTimbreCar"/>
    <w:uiPriority w:val="99"/>
    <w:qFormat/>
    <w:pPr>
      <w:widowControl w:val="0"/>
      <w:snapToGrid w:val="0"/>
      <w:ind w:right="-6804"/>
      <w:jc w:val="center"/>
    </w:pPr>
    <w:rPr>
      <w:rFonts w:eastAsia="Lucida Sans Unicode"/>
      <w:b/>
    </w:rPr>
  </w:style>
  <w:style w:type="paragraph" w:customStyle="1" w:styleId="SNLabelNOR">
    <w:name w:val="SNLabelNOR"/>
    <w:basedOn w:val="Normal"/>
    <w:qFormat/>
    <w:pPr>
      <w:widowControl w:val="0"/>
      <w:suppressLineNumbers/>
      <w:jc w:val="right"/>
    </w:pPr>
    <w:rPr>
      <w:rFonts w:eastAsia="Lucida Sans Unicode"/>
    </w:rPr>
  </w:style>
  <w:style w:type="paragraph" w:customStyle="1" w:styleId="SNNOR">
    <w:name w:val="SNNOR"/>
    <w:basedOn w:val="Normal"/>
    <w:qFormat/>
    <w:pPr>
      <w:widowControl w:val="0"/>
      <w:suppressLineNumbers/>
      <w:snapToGrid w:val="0"/>
    </w:pPr>
    <w:rPr>
      <w:rFonts w:eastAsia="Lucida Sans Unicode"/>
    </w:rPr>
  </w:style>
  <w:style w:type="paragraph" w:customStyle="1" w:styleId="SNObjet">
    <w:name w:val="SNObjet"/>
    <w:basedOn w:val="Normal"/>
    <w:qFormat/>
    <w:pPr>
      <w:widowControl w:val="0"/>
      <w:suppressLineNumbers/>
      <w:spacing w:after="119"/>
      <w:jc w:val="both"/>
    </w:pPr>
    <w:rPr>
      <w:rFonts w:eastAsia="Lucida Sans Unicode"/>
      <w:b/>
    </w:rPr>
  </w:style>
  <w:style w:type="paragraph" w:customStyle="1" w:styleId="SNAutorit">
    <w:name w:val="SNAutorité"/>
    <w:basedOn w:val="Normal"/>
    <w:qFormat/>
    <w:pPr>
      <w:spacing w:before="720" w:after="240"/>
      <w:jc w:val="center"/>
    </w:p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jc w:val="both"/>
    </w:p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tabs>
        <w:tab w:val="left" w:pos="5220"/>
      </w:tabs>
      <w:ind w:left="540"/>
    </w:pPr>
  </w:style>
  <w:style w:type="paragraph" w:customStyle="1" w:styleId="SNSignatureDroite">
    <w:name w:val="SNSignatureDroite"/>
    <w:basedOn w:val="Normal"/>
    <w:next w:val="SNSignatureGauche"/>
    <w:qFormat/>
    <w:pPr>
      <w:ind w:firstLine="567"/>
    </w:pPr>
  </w:style>
  <w:style w:type="paragraph" w:customStyle="1" w:styleId="SNActe">
    <w:name w:val="SNActe"/>
    <w:basedOn w:val="Normal"/>
    <w:qFormat/>
    <w:pPr>
      <w:spacing w:before="480" w:after="120"/>
      <w:jc w:val="center"/>
    </w:pPr>
    <w:rPr>
      <w:b/>
    </w:rPr>
  </w:style>
  <w:style w:type="paragraph" w:customStyle="1" w:styleId="SNArticle">
    <w:name w:val="SNArticle"/>
    <w:basedOn w:val="Normal"/>
    <w:qFormat/>
    <w:pPr>
      <w:spacing w:before="120" w:after="12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Promulgation">
    <w:name w:val="SNPromulga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customStyle="1" w:styleId="SNRfrence">
    <w:name w:val="SNRéférence"/>
    <w:basedOn w:val="Normal"/>
    <w:qFormat/>
  </w:style>
  <w:style w:type="paragraph" w:customStyle="1" w:styleId="SNTravauxPrparatoires">
    <w:name w:val="SNTravauxPréparatoires"/>
    <w:basedOn w:val="SNNature"/>
    <w:qFormat/>
    <w:pPr>
      <w:spacing w:before="0" w:after="0"/>
      <w:jc w:val="left"/>
    </w:pPr>
    <w:rPr>
      <w:b w:val="0"/>
    </w:rPr>
  </w:style>
  <w:style w:type="paragraph" w:styleId="BalloonText">
    <w:name w:val="Balloon Text"/>
    <w:basedOn w:val="Normal"/>
    <w:qFormat/>
    <w:rPr>
      <w:rFonts w:ascii="Tahoma" w:hAnsi="Tahoma" w:cs="Lucida Sans Unicode"/>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Header">
    <w:name w:val="header"/>
    <w:basedOn w:val="Normal"/>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4411-C50F-4D6A-87F2-801D7DF9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1445</Words>
  <Characters>8237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dc:description/>
  <cp:lastModifiedBy>Liana Brili</cp:lastModifiedBy>
  <cp:revision>8</cp:revision>
  <cp:lastPrinted>2021-09-08T16:41:00Z</cp:lastPrinted>
  <dcterms:created xsi:type="dcterms:W3CDTF">2021-09-08T16:42:00Z</dcterms:created>
  <dcterms:modified xsi:type="dcterms:W3CDTF">2021-11-04T08:51:00Z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