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DF6A" w14:textId="231973C4" w:rsidR="00056AAB" w:rsidRDefault="00104411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jc w:val="center"/>
        <w:textAlignment w:val="baseline"/>
        <w:rPr>
          <w:rFonts w:asciiTheme="minorHAnsi" w:eastAsia="Calibri" w:hAnsiTheme="minorHAnsi"/>
          <w:b/>
          <w:sz w:val="28"/>
        </w:rPr>
      </w:pPr>
      <w:r>
        <w:rPr>
          <w:rFonts w:asciiTheme="minorHAnsi" w:hAnsiTheme="minorHAnsi"/>
          <w:b/>
          <w:color w:val="000000"/>
          <w:sz w:val="28"/>
        </w:rPr>
        <w:t>KRÁLOVSKÝ VÝNOS</w:t>
      </w:r>
      <w:r>
        <w:rPr>
          <w:rFonts w:asciiTheme="minorHAnsi" w:hAnsiTheme="minorHAnsi"/>
          <w:b/>
          <w:color w:val="000000"/>
          <w:sz w:val="28"/>
        </w:rPr>
        <w:tab/>
        <w:t>/</w:t>
      </w:r>
      <w:r>
        <w:rPr>
          <w:rFonts w:asciiTheme="minorHAnsi" w:hAnsiTheme="minorHAnsi"/>
          <w:b/>
          <w:color w:val="000000"/>
          <w:sz w:val="28"/>
        </w:rPr>
        <w:tab/>
        <w:t>ze dne</w:t>
      </w:r>
      <w:r>
        <w:rPr>
          <w:rFonts w:asciiTheme="minorHAnsi" w:hAnsiTheme="minorHAnsi"/>
          <w:b/>
          <w:color w:val="000000"/>
          <w:sz w:val="28"/>
        </w:rPr>
        <w:tab/>
        <w:t>, kterým se schvaluje norma pro konstrukce odolné proti zemětřesení NCSR-</w:t>
      </w:r>
      <w:r>
        <w:rPr>
          <w:rFonts w:asciiTheme="minorHAnsi" w:hAnsiTheme="minorHAnsi"/>
          <w:b/>
          <w:sz w:val="28"/>
        </w:rPr>
        <w:t>23</w:t>
      </w:r>
    </w:p>
    <w:p w14:paraId="227AE49F" w14:textId="77777777" w:rsidR="003667D0" w:rsidRPr="006D4B4B" w:rsidRDefault="003667D0" w:rsidP="003667D0">
      <w:pPr>
        <w:tabs>
          <w:tab w:val="left" w:leader="dot" w:pos="3384"/>
          <w:tab w:val="left" w:leader="dot" w:pos="3888"/>
          <w:tab w:val="left" w:leader="dot" w:pos="4824"/>
        </w:tabs>
        <w:spacing w:line="276" w:lineRule="auto"/>
        <w:ind w:left="1296"/>
        <w:textAlignment w:val="baseline"/>
        <w:rPr>
          <w:rFonts w:asciiTheme="minorHAnsi" w:eastAsia="Calibri" w:hAnsiTheme="minorHAnsi"/>
          <w:b/>
          <w:sz w:val="28"/>
          <w:lang w:val="es-ES"/>
        </w:rPr>
      </w:pPr>
    </w:p>
    <w:p w14:paraId="418AC172" w14:textId="37EBFE33" w:rsidR="00A44FF2" w:rsidRDefault="00104411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Stálý výbor pro normy v oblasti ochrany před zemětřesením, meziresortní kolektivní orgán zřízený výnosem 3209/1974 ze dne 30. srpna, připojený při ministerstvu dopravy, mobility a městské agendy a v rámci generálního ředitelství Národního zeměpisného institutu, jak je stanoveno v královském výnosu 645/2020 ze dne 7. července, kterým se rozvíjí základní organizační struktura ministerstva dopravy, mobility a městské agendy mezi jeho funkcemi, je pověřen aktualizací nařízení týkající se ochrany před zemětřesením, jak je stanoveno v čl. 2 písm. B) královského výnosu 518/1984 ze dne 22. února, kterým se reorganizuje jeho složení.</w:t>
      </w:r>
    </w:p>
    <w:p w14:paraId="032C0763" w14:textId="4901726A" w:rsidR="00C25687" w:rsidRDefault="00757E5B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Dosud jsou stávající předpisy zahrnuty do „Normy pro konstrukce odolné proti zemětřesení: Obecná část a budovy (NCSE-02)“ schválené královským výnosem 997/2002 ze dne 27. září a do „Normy pro konstrukce odolné proti zemětřesení: Mosty (NCSP-07)“ schválené královským výnosem 637/2007 ze dne 18. května. Doba, která uplynula od jejich schválení, vyžaduje, aby byly z technických i regulačních důvodů revidovány a aktualizovány s cílem přizpůsobit předpisy současnému stavu znalostí v oblasti seismologie a seismického inženýrství, jakož i regulačnímu rámci, v němž musí být uplatňována.</w:t>
      </w:r>
    </w:p>
    <w:p w14:paraId="00D9E943" w14:textId="08D48EDA" w:rsidR="0008161F" w:rsidRDefault="0008161F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Stálý výbor pro normy v oblasti ochrany před zemětřesením vypracoval v rámci výkonu svých funkcí novou normu v oblasti ochrany budov před zemětřesením, která nahrazuje výše uvedené normy a začleňuje nejdůležitější aspekty evropských předpisů pro stavební výpočty v souladu s postupy stanovenými ve stavebních normách – Eurokódech a rozšiřuje jejich obsah o více strukturních typologií. Nová norma stanoví technické podmínky, které musí stavební konstrukce a inženýrské práce splňovat, aby jejich odolnost, když čelí seismickým jevům, zabránila vážným důsledkům pro zdraví a bezpečnost lidí, ekonomickým ztrátám a podporovala zachování základních služeb pro společnost v případě zemětřesení s vysokou intenzitou.</w:t>
      </w:r>
    </w:p>
    <w:p w14:paraId="6F2451EE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Tento královský výnos je v souladu se zásadami nezbytnosti, účinnosti, proporcionality, právní jistoty, transparentnosti a efektivity stanovenými v článku 129 zákona 39/2015 ze dne 1. října o společném správním postupu pro orgány veřejné správy. </w:t>
      </w:r>
    </w:p>
    <w:p w14:paraId="4A3F3D5F" w14:textId="0682A2D0" w:rsidR="001D206B" w:rsidRDefault="007F2FE2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Je v souladu se zásadami nezbytnosti a účinnosti, protože uplatňování nové normy týkající se ochrany před zemětřesením představuje s ohledem na předchozí předpisy pokrok ve znalostech a určení seismické aktivity a také objasnění používání pojmů a požadavků odolnosti proti zemětřesení a tažnosti, které musí být vyžadovány u stavebních konstrukcí v seismických zónách. Projekt nenarušuje hospodářskou soutěž na trhu, ale podporuje ji tím, že reguluje aspekty, na něž se stávající nařízení nevztahují. Je rovněž v souladu se zásadou proporcionality, neboť norma obsahuje pravidla nezbytná k uspokojení výše popsané potřeby, aniž by existovala jiná opatření, která méně omezují práva nebo ukládají méně povinností adresátům, a se zásadou právní jistoty vzhledem k jejich začlenění do právního řádu, a to v plném souladu s platnými vnitrostátními i evropskými předpisy. Zásada transparentnosti je zaručena, jelikož byly dodrženy všechny informační postupy uvedené ve vládním zákoně 50/1997 ze dne 27. listopadu a norma byla zveřejněna na portálu transparentnosti španělské vlády. A konečně, při uplatňování zásady efektivity, tato norma nevede ke zvýšení dodatečné administrativní zátěže ani zvýšení veřejných výdajů.</w:t>
      </w:r>
    </w:p>
    <w:p w14:paraId="53F4DA01" w14:textId="712176A3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 xml:space="preserve">Tento královský výnos se vydává podle ustanovení </w:t>
      </w:r>
      <w:r>
        <w:rPr>
          <w:rFonts w:asciiTheme="minorHAnsi" w:hAnsiTheme="minorHAnsi"/>
        </w:rPr>
        <w:t xml:space="preserve">v článku 149.1.13a španělské ústavy, </w:t>
      </w:r>
      <w:r>
        <w:rPr>
          <w:rFonts w:asciiTheme="minorHAnsi" w:hAnsiTheme="minorHAnsi"/>
          <w:color w:val="000000" w:themeColor="text1"/>
        </w:rPr>
        <w:t>který přisuzuje pravomoci státu v záležitostech základů a koordinace obecného plánování hospodářské činnosti.</w:t>
      </w:r>
    </w:p>
    <w:p w14:paraId="343DD835" w14:textId="77777777" w:rsidR="004459F4" w:rsidRP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Proces přípravy tohoto královského výnosu splnil postup stanovený zákonem vlády 50/1997 ze dne 27. listopadu a směrnicí Evropského parlamentu a Rady (EU) 2015/1535 ze dne 9. září o postupu při poskytování informací v oblasti technických předpisů a předpisů pro služby informační společnosti, jakož i královským výnosem č. 1337/1999 ze dne 31. července o poskytování informací v oblasti technických předpisů a předpisů týkajících se služeb informační společnosti. </w:t>
      </w:r>
    </w:p>
    <w:p w14:paraId="288E1E12" w14:textId="6459E5E4" w:rsidR="004459F4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Tento královský výnos je přijat z podnětu Stálého výboru pro normy v oblasti ochrany před zemětřesením.</w:t>
      </w:r>
    </w:p>
    <w:p w14:paraId="42144605" w14:textId="312B0DF6" w:rsidR="00056AAB" w:rsidRDefault="004459F4" w:rsidP="00870C22">
      <w:pPr>
        <w:suppressAutoHyphens/>
        <w:spacing w:after="240" w:line="276" w:lineRule="auto"/>
        <w:ind w:firstLine="425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 w:themeColor="text1"/>
        </w:rPr>
        <w:t xml:space="preserve">S ohledem na výše uvedené, na návrh ministra dopravy, mobility a městské agendy </w:t>
      </w:r>
      <w:r>
        <w:rPr>
          <w:rFonts w:asciiTheme="minorHAnsi" w:hAnsiTheme="minorHAnsi"/>
          <w:color w:val="000000"/>
        </w:rPr>
        <w:t>a po projednání v Radě ministrů dne...</w:t>
      </w:r>
    </w:p>
    <w:p w14:paraId="01FC4263" w14:textId="77777777" w:rsidR="004459F4" w:rsidRPr="00033771" w:rsidRDefault="004459F4" w:rsidP="004459F4">
      <w:pPr>
        <w:suppressAutoHyphens/>
        <w:ind w:firstLine="425"/>
        <w:jc w:val="both"/>
        <w:rPr>
          <w:rFonts w:asciiTheme="minorHAnsi" w:eastAsia="Times New Roman" w:hAnsiTheme="minorHAnsi" w:cstheme="minorHAnsi"/>
          <w:color w:val="000000"/>
          <w:lang w:val="pt-PT"/>
        </w:rPr>
      </w:pPr>
    </w:p>
    <w:p w14:paraId="1ECEFAB2" w14:textId="77777777" w:rsidR="00056AAB" w:rsidRPr="006D4B4B" w:rsidRDefault="00104411" w:rsidP="00AD035F">
      <w:pPr>
        <w:spacing w:after="240" w:line="276" w:lineRule="auto"/>
        <w:jc w:val="center"/>
        <w:textAlignment w:val="baseline"/>
        <w:rPr>
          <w:rFonts w:asciiTheme="minorHAnsi" w:eastAsia="Times New Roman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</w:rPr>
        <w:t>TÍMTO NAŘIZUJI</w:t>
      </w:r>
    </w:p>
    <w:p w14:paraId="05744015" w14:textId="77777777" w:rsidR="00056AAB" w:rsidRPr="00D35EA2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Článek 1 Účel</w:t>
      </w:r>
    </w:p>
    <w:p w14:paraId="721FFEF1" w14:textId="46A6063B" w:rsidR="0046432E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Schvaluje se norma NCSR-23 pro konstrukce odolné proti zemětřesení, která stanoví základní pojmy a požadavky, jež musí splňovat konstrukce nacházející se v seismických zónách ve Španělsku, kromě dodržování ostatních platných předpisů týkajících se staveb. </w:t>
      </w:r>
    </w:p>
    <w:p w14:paraId="78734A0A" w14:textId="7654B8F0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Stavby a konstrukce, které mohou být vystaveny zemětřesení, musí být projektovány, vybudovány a dokumentovány s ohledem na seismické zatížení v souladu s ustanoveními šesti příloh, které tvoří tuto normu týkající se ochrany před zemětřesením a které jsou uvedené níže:</w:t>
      </w:r>
    </w:p>
    <w:p w14:paraId="79EC5159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Příloha 1: Obecná pravidla, seismická aktivita a stavební pravidla.</w:t>
      </w:r>
    </w:p>
    <w:p w14:paraId="79F9BCF0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Příloha 2: Mosty</w:t>
      </w:r>
    </w:p>
    <w:p w14:paraId="7CD23BE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Příloha 3: Hodnocení a uzpůsobení budov seismické aktivitě.</w:t>
      </w:r>
    </w:p>
    <w:p w14:paraId="2850B202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Příloha 4: Sila, nádrže a potrubí.</w:t>
      </w:r>
    </w:p>
    <w:p w14:paraId="3AC9CD45" w14:textId="77777777" w:rsidR="009C173C" w:rsidRP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Příloha 5: Základy, podpůrné konstrukce a geotechnické aspekty.</w:t>
      </w:r>
    </w:p>
    <w:p w14:paraId="6AD4A209" w14:textId="1CF81FB4" w:rsidR="009C173C" w:rsidRDefault="009C173C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>Příloha 6: Věže, stožáry a komíny.</w:t>
      </w:r>
    </w:p>
    <w:p w14:paraId="75E4EE37" w14:textId="77777777" w:rsidR="00870C22" w:rsidRPr="00033771" w:rsidRDefault="00870C22" w:rsidP="006D4B4B">
      <w:pPr>
        <w:spacing w:line="276" w:lineRule="auto"/>
        <w:ind w:left="567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p w14:paraId="7A592887" w14:textId="3BD133CC" w:rsidR="009C173C" w:rsidRPr="00870C22" w:rsidRDefault="009C173C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Alternativně může autor projektu a případné vedení projektu při využití svých pravomocí na základě své odpovědnosti a předchozího souhlasu vlastníka přijmout jiná řešení, která se částečně nebo zcela odchylují od postupů uvedených v předchozích přílohách (prostřednictvím různých systémů výpočtu, stavebních opatření atd.) za předpokladu, že je doloženo, že konstrukce splňuje požadavky této normy týkající se ochrany před zemětřesením a dosahuje přinejmenším hodnot rovnocenných s těmi, kterých by bylo dosaženo uplatněním postupů této normy.</w:t>
      </w:r>
    </w:p>
    <w:p w14:paraId="23196ECE" w14:textId="4C7A0717" w:rsidR="00056AAB" w:rsidRPr="00822C26" w:rsidRDefault="00104411" w:rsidP="00AD035F">
      <w:pPr>
        <w:spacing w:after="240" w:line="276" w:lineRule="auto"/>
        <w:textAlignment w:val="baseline"/>
        <w:rPr>
          <w:rFonts w:asciiTheme="minorHAnsi" w:eastAsia="Times New Roman" w:hAnsiTheme="minorHAnsi"/>
          <w:b/>
          <w:color w:val="000000"/>
          <w:lang w:val="el-GR"/>
        </w:rPr>
      </w:pPr>
      <w:r>
        <w:rPr>
          <w:rFonts w:asciiTheme="minorHAnsi" w:hAnsiTheme="minorHAnsi"/>
          <w:b/>
          <w:color w:val="000000"/>
        </w:rPr>
        <w:t>Článek 2 Oblast působnosti</w:t>
      </w:r>
    </w:p>
    <w:p w14:paraId="1B40A98A" w14:textId="0DDD90E1" w:rsidR="00A623A2" w:rsidRPr="00870C22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Požadavky na obsah této normy související s ochranou proti zemětřesení se vztahují na všechny projekty a stavební práce nových budov, mostů, věží, stožárů, komínů, sil, nádrží, potrubí, podpůrných konstrukcí a jejich základů, jakož i na geotechnické projekty. </w:t>
      </w:r>
    </w:p>
    <w:p w14:paraId="7968B2C8" w14:textId="3FBBAE08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>Stejně tak se tato norma vztahuje na seismické hodnocení stávajících budov a případně i na jejich úpravu v případech, kdy jsou prováděny práce na renovaci nebo restaurování staveb dostatečné závažnosti nebo pokud jsou taková posouzení či úpravy vyžadovány. Pro účely této normy v oblasti odolnosti proti zemětřesení zahrnuje uzpůsobení budov seismické aktivitě jak posílení nepoškozených konstrukcí, tak posílení konstrukcí poškozených zemětřesením.</w:t>
      </w:r>
    </w:p>
    <w:p w14:paraId="3286098A" w14:textId="1B39F053" w:rsidR="00A623A2" w:rsidRPr="00870C22" w:rsidRDefault="00A623A2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Podmínky, které mohou vyžadovat seismické posouzení jednotlivých budov – což může vést k zjištění přiměřenosti – nespadají do předmětu a oblasti působnosti této normy.</w:t>
      </w:r>
    </w:p>
    <w:p w14:paraId="2602E605" w14:textId="1659E960" w:rsidR="00A623A2" w:rsidRPr="008A2896" w:rsidRDefault="0010441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Je-li to vhodné, může být tato norma týkající se odolnosti proti zemětřesení použita i u jiných typů konstrukcí, které nejsou výslovně zahrnuty do její oblasti působnosti, pokud pro ně neexistují zvláštní pravidla nebo ustanovení a za předpokladu, že nejsou z její působnosti výslovně vyloučeny.</w:t>
      </w:r>
    </w:p>
    <w:p w14:paraId="163A6949" w14:textId="735DB3B4" w:rsidR="00671CE6" w:rsidRPr="00D35EA2" w:rsidRDefault="00671CE6" w:rsidP="00AD035F">
      <w:pPr>
        <w:pStyle w:val="parrafo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</w:rPr>
        <w:t>Jediné přechodné ustanovení. Aplikace na návrhy a práce.</w:t>
      </w:r>
    </w:p>
    <w:p w14:paraId="7E1DEF06" w14:textId="77777777" w:rsidR="006D4B4B" w:rsidRPr="00870C22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Tento královský výnos se nevztahuje na stavební práce na projektech, jejichž vypracování nebo studie v oblasti veřejné správy, případně udělení zakázky v jiných případech, byly provedeny před vstupem tohoto královského výnosu v platnost, jakož i na stavební práce, které byly zahájeny ve lhůtě nepřesahující dva roky od tohoto vstupu v platnost, s výjimkou případů, kdy se příslušná veřejná správa nebo zadavatel přihlásí k plnění normy dobrovolně. </w:t>
      </w:r>
    </w:p>
    <w:p w14:paraId="7A84DDAE" w14:textId="781A6671" w:rsidR="00870C22" w:rsidRPr="006D4B4B" w:rsidRDefault="006D4B4B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  <w:r>
        <w:rPr>
          <w:rFonts w:asciiTheme="minorHAnsi" w:hAnsiTheme="minorHAnsi"/>
          <w:color w:val="000000"/>
        </w:rPr>
        <w:t xml:space="preserve">Tento královský výnos se nepoužije v oblasti stavebních prací na projektech, které požádaly o obecní stavební povolení, nebo o něj požádají do devíti měsíců od vstupu tohoto královského výnosu v platnost. V takovém případě se použije královský výnos 997/2002 ze dne 27. září, kterým se schvaluje norma pro konstrukce odolné proti zemětřesení: Obecná část a budovy (NCSE-02). Tyto práce musejí být zahájeny v maximální době účinnosti uvedeného povolení v souladu s příslušnými právními předpisy, a pokud k zahájení nedojde, ve lhůtě nepřesahující šest měsíců ode dne udělení uvedeného povolení. Projekty musí být jinak přizpůsobeny ustanovením tohoto královského výnosu. </w:t>
      </w:r>
    </w:p>
    <w:p w14:paraId="620031EA" w14:textId="77777777" w:rsidR="008A1694" w:rsidRPr="00D35EA2" w:rsidRDefault="008A169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Jediné ustanovení o zrušení. Zrušení právních předpisů</w:t>
      </w:r>
    </w:p>
    <w:p w14:paraId="3C87D465" w14:textId="41A1036B" w:rsidR="002B1514" w:rsidRPr="00870C22" w:rsidRDefault="002B1514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Vstupem tohoto královského výnosu v platnost se zrušuje královský výnos 997/2002 ze dne 27. září, kterou se schvaluje norma pro konstrukce odolné proti zemětřesení: obecná část a budovy (NCSE-02) a královský výnos č. 637/2007 ze dne 18. května, kterým se schvaluje norma pro budovy odolné proti zemětřesení: Mosty (NCSP-07).</w:t>
      </w:r>
    </w:p>
    <w:p w14:paraId="590D095E" w14:textId="77777777" w:rsidR="00870C22" w:rsidRPr="00033771" w:rsidRDefault="00870C22" w:rsidP="00870C22">
      <w:pPr>
        <w:spacing w:after="120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p w14:paraId="41EC003B" w14:textId="24B0084C" w:rsidR="00EC6A57" w:rsidRPr="00D35EA2" w:rsidRDefault="00EC6A57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První závěrečné ustanovení. Svěření pravomocí</w:t>
      </w:r>
    </w:p>
    <w:p w14:paraId="15D1B399" w14:textId="52F39719" w:rsidR="00EC6A57" w:rsidRPr="00870C22" w:rsidRDefault="00EC6A57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Tento královský výnos má základní povahu a je vydána podle ustanovení článku 149.1.13a španělské ústavy, který svěřuje státu výlučnou pravomoc týkající se základů a koordinace obecného plánování hospodářské činnosti. </w:t>
      </w:r>
    </w:p>
    <w:p w14:paraId="28E3B818" w14:textId="77777777" w:rsidR="00671CE6" w:rsidRPr="00AD035F" w:rsidRDefault="002B1514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Druhé závěrečné ustanovení. </w:t>
      </w:r>
      <w:r>
        <w:rPr>
          <w:rFonts w:asciiTheme="minorHAnsi" w:hAnsiTheme="minorHAnsi"/>
          <w:b/>
          <w:color w:val="333333"/>
        </w:rPr>
        <w:t>Prováděcí orgán</w:t>
      </w:r>
    </w:p>
    <w:p w14:paraId="431A3D72" w14:textId="7CF39534" w:rsidR="00671CE6" w:rsidRPr="00870C22" w:rsidRDefault="00671CE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Držitel ministerstva dopravy, mobility a městské agendy je oprávněn vydávat nezbytná ustanovení pro vypracování a uplatňování ustanovení tohoto královského výnosu.</w:t>
      </w:r>
    </w:p>
    <w:p w14:paraId="3568A83D" w14:textId="72D1D66B" w:rsidR="00391221" w:rsidRDefault="00391221" w:rsidP="00391221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lastRenderedPageBreak/>
        <w:t>Třetí závěrečné ustanovení. Oprávnění k aktualizaci dodatků E, F a G přílohy 1 normy pro budovy odolné proti zemětřesení.</w:t>
      </w:r>
    </w:p>
    <w:p w14:paraId="272F5E7E" w14:textId="319390A4" w:rsidR="00391221" w:rsidRPr="00870C22" w:rsidRDefault="00391221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>Vedoucí činitel ministerstva dopravy, mobility a městské agendy je oprávněn aktualizovat mapu nebezpečnosti stanovenou v dodatcích E a F přílohy 1 a seznam norem uvedený v dodatku G k příloze 1, pokud jsou tyto aktualizace určeny k uvedení tohoto obsahu do souladu s technickým pokrokem nebo s právními předpisy Společenství.</w:t>
      </w:r>
    </w:p>
    <w:p w14:paraId="60B41840" w14:textId="4C5BA609" w:rsidR="002B1514" w:rsidRPr="00D35EA2" w:rsidRDefault="00671CE6" w:rsidP="00AD035F">
      <w:pPr>
        <w:spacing w:after="240" w:line="276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Čtvrté závěrečné ustanovení. Vstup v platnost</w:t>
      </w:r>
    </w:p>
    <w:p w14:paraId="78134748" w14:textId="2E12FD18" w:rsidR="00066186" w:rsidRPr="00870C22" w:rsidRDefault="00066186" w:rsidP="00870C22">
      <w:pPr>
        <w:spacing w:after="240" w:line="276" w:lineRule="auto"/>
        <w:jc w:val="both"/>
        <w:textAlignment w:val="baseline"/>
        <w:rPr>
          <w:rFonts w:asciiTheme="minorHAnsi" w:eastAsia="Times New Roman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Tento královský výnos nabývá účinnosti dne </w:t>
      </w:r>
      <w:r>
        <w:rPr>
          <w:rFonts w:asciiTheme="minorHAnsi" w:hAnsiTheme="minorHAnsi"/>
          <w:color w:val="000000"/>
          <w:highlight w:val="yellow"/>
        </w:rPr>
        <w:t>1. července 2023.</w:t>
      </w:r>
      <w:r>
        <w:rPr>
          <w:rFonts w:asciiTheme="minorHAnsi" w:hAnsiTheme="minorHAnsi"/>
          <w:color w:val="000000"/>
        </w:rPr>
        <w:t xml:space="preserve"> </w:t>
      </w:r>
    </w:p>
    <w:p w14:paraId="16A294E9" w14:textId="77777777" w:rsidR="00056AAB" w:rsidRPr="00033771" w:rsidRDefault="00056AAB" w:rsidP="00870C22">
      <w:pPr>
        <w:spacing w:after="120"/>
        <w:jc w:val="both"/>
        <w:textAlignment w:val="baseline"/>
        <w:rPr>
          <w:rFonts w:asciiTheme="minorHAnsi" w:eastAsia="Times New Roman" w:hAnsiTheme="minorHAnsi"/>
          <w:color w:val="000000"/>
          <w:spacing w:val="2"/>
        </w:rPr>
      </w:pPr>
    </w:p>
    <w:sectPr w:rsidR="00056AAB" w:rsidRPr="00033771" w:rsidSect="00AD035F">
      <w:pgSz w:w="11904" w:h="16843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4E5C"/>
    <w:multiLevelType w:val="hybridMultilevel"/>
    <w:tmpl w:val="8282418A"/>
    <w:lvl w:ilvl="0" w:tplc="9EE2D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081E"/>
    <w:multiLevelType w:val="hybridMultilevel"/>
    <w:tmpl w:val="A1AA6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764CB"/>
    <w:multiLevelType w:val="hybridMultilevel"/>
    <w:tmpl w:val="648E0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3DD5"/>
    <w:multiLevelType w:val="hybridMultilevel"/>
    <w:tmpl w:val="7E6A3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F6DA7"/>
    <w:multiLevelType w:val="hybridMultilevel"/>
    <w:tmpl w:val="5952024C"/>
    <w:lvl w:ilvl="0" w:tplc="8BDE2D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24DB"/>
    <w:multiLevelType w:val="hybridMultilevel"/>
    <w:tmpl w:val="38A47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93A6A"/>
    <w:multiLevelType w:val="hybridMultilevel"/>
    <w:tmpl w:val="68D897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FEF88C">
      <w:numFmt w:val="bullet"/>
      <w:lvlText w:val="−"/>
      <w:lvlJc w:val="left"/>
      <w:pPr>
        <w:ind w:left="1800" w:hanging="360"/>
      </w:pPr>
      <w:rPr>
        <w:rFonts w:ascii="Symbol" w:eastAsia="Symbol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BE5E98"/>
    <w:multiLevelType w:val="multilevel"/>
    <w:tmpl w:val="6BF032CE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-1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2145648">
    <w:abstractNumId w:val="7"/>
  </w:num>
  <w:num w:numId="2" w16cid:durableId="122771378">
    <w:abstractNumId w:val="6"/>
  </w:num>
  <w:num w:numId="3" w16cid:durableId="851191015">
    <w:abstractNumId w:val="1"/>
  </w:num>
  <w:num w:numId="4" w16cid:durableId="1200095656">
    <w:abstractNumId w:val="5"/>
  </w:num>
  <w:num w:numId="5" w16cid:durableId="781075475">
    <w:abstractNumId w:val="3"/>
  </w:num>
  <w:num w:numId="6" w16cid:durableId="1567036530">
    <w:abstractNumId w:val="2"/>
  </w:num>
  <w:num w:numId="7" w16cid:durableId="153647272">
    <w:abstractNumId w:val="0"/>
  </w:num>
  <w:num w:numId="8" w16cid:durableId="642393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AB"/>
    <w:rsid w:val="00002183"/>
    <w:rsid w:val="0003132D"/>
    <w:rsid w:val="00033771"/>
    <w:rsid w:val="0003636B"/>
    <w:rsid w:val="00056AAB"/>
    <w:rsid w:val="00066186"/>
    <w:rsid w:val="0008161F"/>
    <w:rsid w:val="000E2974"/>
    <w:rsid w:val="00104411"/>
    <w:rsid w:val="00130D08"/>
    <w:rsid w:val="00136068"/>
    <w:rsid w:val="0013710F"/>
    <w:rsid w:val="00152A30"/>
    <w:rsid w:val="001C12F0"/>
    <w:rsid w:val="001C2399"/>
    <w:rsid w:val="001D206B"/>
    <w:rsid w:val="001F1C94"/>
    <w:rsid w:val="00210209"/>
    <w:rsid w:val="002A3B32"/>
    <w:rsid w:val="002B1514"/>
    <w:rsid w:val="002C6DA3"/>
    <w:rsid w:val="002D0987"/>
    <w:rsid w:val="002D2E92"/>
    <w:rsid w:val="002E7538"/>
    <w:rsid w:val="0030003E"/>
    <w:rsid w:val="00342738"/>
    <w:rsid w:val="00365BA2"/>
    <w:rsid w:val="003667D0"/>
    <w:rsid w:val="00391221"/>
    <w:rsid w:val="003D354D"/>
    <w:rsid w:val="003F52BD"/>
    <w:rsid w:val="00401E8F"/>
    <w:rsid w:val="00434546"/>
    <w:rsid w:val="004459F4"/>
    <w:rsid w:val="00455175"/>
    <w:rsid w:val="0046432E"/>
    <w:rsid w:val="004B0B49"/>
    <w:rsid w:val="004B543F"/>
    <w:rsid w:val="004B66B6"/>
    <w:rsid w:val="004C145B"/>
    <w:rsid w:val="004C422D"/>
    <w:rsid w:val="004D7B7B"/>
    <w:rsid w:val="004E3665"/>
    <w:rsid w:val="004F7A2A"/>
    <w:rsid w:val="004F7A3E"/>
    <w:rsid w:val="00503AEE"/>
    <w:rsid w:val="00520FBD"/>
    <w:rsid w:val="0056199D"/>
    <w:rsid w:val="00561DF5"/>
    <w:rsid w:val="005941F1"/>
    <w:rsid w:val="005B5A4A"/>
    <w:rsid w:val="006258F9"/>
    <w:rsid w:val="00627472"/>
    <w:rsid w:val="00635ED0"/>
    <w:rsid w:val="0066229B"/>
    <w:rsid w:val="00671CE6"/>
    <w:rsid w:val="00684B40"/>
    <w:rsid w:val="006D4B4B"/>
    <w:rsid w:val="006F452F"/>
    <w:rsid w:val="00751B2B"/>
    <w:rsid w:val="00757E5B"/>
    <w:rsid w:val="007759A4"/>
    <w:rsid w:val="007779ED"/>
    <w:rsid w:val="007C0BC6"/>
    <w:rsid w:val="007C1533"/>
    <w:rsid w:val="007D1EA2"/>
    <w:rsid w:val="007D4EDB"/>
    <w:rsid w:val="007E79FC"/>
    <w:rsid w:val="007F2FE2"/>
    <w:rsid w:val="00812799"/>
    <w:rsid w:val="00816242"/>
    <w:rsid w:val="00822C26"/>
    <w:rsid w:val="0085711C"/>
    <w:rsid w:val="00870C22"/>
    <w:rsid w:val="0087216F"/>
    <w:rsid w:val="00875897"/>
    <w:rsid w:val="00875F75"/>
    <w:rsid w:val="008A1694"/>
    <w:rsid w:val="008A2896"/>
    <w:rsid w:val="008A5EAC"/>
    <w:rsid w:val="008F3B9A"/>
    <w:rsid w:val="008F448A"/>
    <w:rsid w:val="0090284B"/>
    <w:rsid w:val="0092197D"/>
    <w:rsid w:val="00941C30"/>
    <w:rsid w:val="00961FB7"/>
    <w:rsid w:val="0099627E"/>
    <w:rsid w:val="009A14BF"/>
    <w:rsid w:val="009C173C"/>
    <w:rsid w:val="00A03734"/>
    <w:rsid w:val="00A11575"/>
    <w:rsid w:val="00A23F54"/>
    <w:rsid w:val="00A4123A"/>
    <w:rsid w:val="00A44FF2"/>
    <w:rsid w:val="00A623A2"/>
    <w:rsid w:val="00A65116"/>
    <w:rsid w:val="00A8506E"/>
    <w:rsid w:val="00A86943"/>
    <w:rsid w:val="00A953ED"/>
    <w:rsid w:val="00AA0AA7"/>
    <w:rsid w:val="00AB2735"/>
    <w:rsid w:val="00AB4370"/>
    <w:rsid w:val="00AC62C6"/>
    <w:rsid w:val="00AD035F"/>
    <w:rsid w:val="00AD4F83"/>
    <w:rsid w:val="00AE18FE"/>
    <w:rsid w:val="00AE64D3"/>
    <w:rsid w:val="00B06375"/>
    <w:rsid w:val="00B15BD6"/>
    <w:rsid w:val="00B66C50"/>
    <w:rsid w:val="00B8158C"/>
    <w:rsid w:val="00B85F2E"/>
    <w:rsid w:val="00BC4DEC"/>
    <w:rsid w:val="00BF08C0"/>
    <w:rsid w:val="00C24625"/>
    <w:rsid w:val="00C25687"/>
    <w:rsid w:val="00C42C4C"/>
    <w:rsid w:val="00C56500"/>
    <w:rsid w:val="00C56E96"/>
    <w:rsid w:val="00C67310"/>
    <w:rsid w:val="00C67639"/>
    <w:rsid w:val="00C726AF"/>
    <w:rsid w:val="00C8179D"/>
    <w:rsid w:val="00CF1EDD"/>
    <w:rsid w:val="00D047F0"/>
    <w:rsid w:val="00D05ABE"/>
    <w:rsid w:val="00D06621"/>
    <w:rsid w:val="00D13113"/>
    <w:rsid w:val="00D32AC2"/>
    <w:rsid w:val="00D35EA2"/>
    <w:rsid w:val="00D3777E"/>
    <w:rsid w:val="00D42767"/>
    <w:rsid w:val="00D67613"/>
    <w:rsid w:val="00D85648"/>
    <w:rsid w:val="00DC7ED2"/>
    <w:rsid w:val="00DD25A7"/>
    <w:rsid w:val="00DF0C32"/>
    <w:rsid w:val="00E2216E"/>
    <w:rsid w:val="00E4356E"/>
    <w:rsid w:val="00E44A93"/>
    <w:rsid w:val="00E65D34"/>
    <w:rsid w:val="00E72C90"/>
    <w:rsid w:val="00E920E0"/>
    <w:rsid w:val="00EC6A57"/>
    <w:rsid w:val="00EE3876"/>
    <w:rsid w:val="00EE3B24"/>
    <w:rsid w:val="00EF3F4C"/>
    <w:rsid w:val="00F03832"/>
    <w:rsid w:val="00F04B63"/>
    <w:rsid w:val="00F82079"/>
    <w:rsid w:val="00F95923"/>
    <w:rsid w:val="00FC7390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22A2"/>
  <w15:docId w15:val="{5A6698CD-469E-4174-8D24-404E854D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42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671CE6"/>
    <w:pPr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57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8A3F-B80B-403D-ADAD-BBAEBBAA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Groba López Mónica</dc:creator>
  <cp:lastModifiedBy>Anastasia Stavroulaki</cp:lastModifiedBy>
  <cp:revision>16</cp:revision>
  <cp:lastPrinted>2021-08-26T09:18:00Z</cp:lastPrinted>
  <dcterms:created xsi:type="dcterms:W3CDTF">2022-09-20T11:25:00Z</dcterms:created>
  <dcterms:modified xsi:type="dcterms:W3CDTF">2023-03-31T12:35:00Z</dcterms:modified>
</cp:coreProperties>
</file>