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Proiect de statut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Regulamentele Agenției suedeze pentru produse chimice (KIFS 2017:7) privind produsele chimice și organismele biotehnologice</w:t>
      </w:r>
    </w:p>
    <w:p w14:paraId="7AFDF2AB" w14:textId="7BEF76B0" w:rsidR="009F020D" w:rsidRDefault="009F020D" w:rsidP="009F020D">
      <w:r>
        <w:t xml:space="preserve">Capitolul 4</w:t>
      </w:r>
      <w:r>
        <w:t xml:space="preserve"> </w:t>
      </w:r>
    </w:p>
    <w:p w14:paraId="794D3BB0" w14:textId="540B037C" w:rsidR="009F020D" w:rsidRDefault="009F020D" w:rsidP="009F020D">
      <w:r>
        <w:t xml:space="preserve">Articolul 3 Dispozițiile articolelor 7 și 9-14 din Ordonanța (2008:245) nu se aplică hidroxidului de sodiu și hidroxidului de potasiu ca substanțe sau în amestecuri.</w:t>
      </w:r>
      <w:r>
        <w:t xml:space="preserve"> </w:t>
      </w:r>
      <w:r>
        <w:t xml:space="preserve">Dispozițiile nu se aplică explozivilor, țițeiului sau combustibililor destinați funcționării motoarelor.</w:t>
      </w:r>
      <w:r>
        <w:t xml:space="preserve">  </w:t>
      </w:r>
    </w:p>
    <w:p w14:paraId="22F7CF4B" w14:textId="77777777" w:rsidR="009F020D" w:rsidRDefault="009F020D" w:rsidP="009F020D">
      <w:r>
        <w:t xml:space="preserve">Articolul 3a Prin derogare de la articolul 3, totuși autorizarea este necesară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pentru manipularea care nu are o capacitate profesională în conformitate cu articolul 7 alineatul (1) din Ordonanța (2008:245) a hidroxidului de sodiu și a hidroxidului de potasiu ca substanțe sau în amestecuri destinate desfundării sau curățării canalelor de scurgere.</w:t>
      </w:r>
      <w:r>
        <w:t xml:space="preserve"> </w:t>
      </w:r>
      <w:r>
        <w:t xml:space="preserve">Pentru produsele menționate anterior se aplică, de asemenea, dispozițiile articolului 9 alineatul (2) din Ordonanța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