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EEE5" w14:textId="77777777" w:rsidR="0023656E" w:rsidRDefault="00956BE5">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2024 m. balandžio 5 d. Dekretas Nr. 2024-316 dėl elektros ir elektroninės įrangos patvarumo indekso</w:t>
      </w:r>
    </w:p>
    <w:p w14:paraId="16D700DD" w14:textId="77777777" w:rsid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NOR: TRED2329205D</w:t>
      </w:r>
    </w:p>
    <w:p w14:paraId="7D920524" w14:textId="192AB7B9" w:rsidR="007B3CEE" w:rsidRP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 xml:space="preserve">ELI: </w:t>
      </w:r>
      <w:hyperlink r:id="rId4" w:history="1">
        <w:r>
          <w:rPr>
            <w:rStyle w:val="Hyperlink"/>
            <w:rFonts w:ascii="Times New Roman" w:hAnsi="Times New Roman"/>
            <w:sz w:val="24"/>
          </w:rPr>
          <w:t>https://www.legifrance.gouv.fr/eli/decret/2024/4/5/TRED2329205D/jo/texte</w:t>
        </w:r>
      </w:hyperlink>
    </w:p>
    <w:p w14:paraId="6CAA6AAE" w14:textId="783AAEE7" w:rsidR="007B3CEE" w:rsidRP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 xml:space="preserve">Alias: </w:t>
      </w:r>
      <w:hyperlink r:id="rId5" w:history="1">
        <w:r>
          <w:rPr>
            <w:rStyle w:val="Hyperlink"/>
            <w:rFonts w:ascii="Times New Roman" w:hAnsi="Times New Roman"/>
            <w:sz w:val="24"/>
          </w:rPr>
          <w:t>https://www.legifrance.gouv.fr/eli/decret/2024/4/5/2024-316/jo/texte</w:t>
        </w:r>
      </w:hyperlink>
    </w:p>
    <w:p w14:paraId="2AC6BE26" w14:textId="77777777" w:rsid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2024 m. balandžio 7 d. Prancūzijos Respublikos oficialusis leidinys Nr. 0082</w:t>
      </w:r>
    </w:p>
    <w:p w14:paraId="7693BB8D" w14:textId="7098A389" w:rsidR="0023656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Dokumentas Nr. 21</w:t>
      </w:r>
    </w:p>
    <w:p w14:paraId="1C8F13CD"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Tikslinė grupė: elektros ir elektroninės įrangos gamintojai, importuotojai, platintojai arba kiti elektros ir elektroninės įrangos tiekėjai, šios įrangos pardavėjai ir tie, kurie savo komercinėje veikloje Prancūzijoje naudojasi interneto svetaine, platforma arba bet kokiu kitu platinimo internetu kanalu. </w:t>
      </w:r>
      <w:r>
        <w:rPr>
          <w:rFonts w:ascii="Times New Roman" w:hAnsi="Times New Roman"/>
          <w:sz w:val="24"/>
        </w:rPr>
        <w:br/>
        <w:t xml:space="preserve">Tema: Aplinkos kodekso L. 541-9-2 straipsnyje apibrėžto patvarumo indekso įgyvendinimo taisyklės. </w:t>
      </w:r>
      <w:r>
        <w:rPr>
          <w:rFonts w:ascii="Times New Roman" w:hAnsi="Times New Roman"/>
          <w:sz w:val="24"/>
        </w:rPr>
        <w:br/>
        <w:t xml:space="preserve">Įsigaliojimas: dokumentas įsigalioja kitą dieną po jo paskelbimo. </w:t>
      </w:r>
      <w:r>
        <w:rPr>
          <w:rFonts w:ascii="Times New Roman" w:hAnsi="Times New Roman"/>
          <w:sz w:val="24"/>
        </w:rPr>
        <w:br/>
        <w:t xml:space="preserve">Pastaba: šiuo dekretu nustatomos Aplinkos kodekso L. 541-9-2 straipsnio, kuriame numatoma įvesti tam tikrų kategorijų elektros ir elektroninės įrangos patvarumo indeksą, įgyvendinimo taisyklės. Jame visų pirma nurodomi skaičiavimo kriterijai ir parametrai, naudojami šiam indeksui nustatyti, taip pat bendrieji įpareigojimai, susiję su šio indekso skelbimu ir rodymu. </w:t>
      </w:r>
      <w:r>
        <w:rPr>
          <w:rFonts w:ascii="Times New Roman" w:hAnsi="Times New Roman"/>
          <w:sz w:val="24"/>
        </w:rPr>
        <w:br/>
        <w:t xml:space="preserve">Nuorodos: su šiuo dekretu galima susipažinti „Légifrance“ interneto svetainėje (http://www.legifrance.gouv.fr). </w:t>
      </w:r>
    </w:p>
    <w:p w14:paraId="286486BA" w14:textId="77777777" w:rsidR="00366729" w:rsidRDefault="00956BE5" w:rsidP="00366729">
      <w:pPr>
        <w:spacing w:after="0" w:line="240" w:lineRule="auto"/>
        <w:rPr>
          <w:rFonts w:ascii="Times New Roman" w:eastAsia="Times New Roman" w:hAnsi="Times New Roman" w:cs="Times New Roman"/>
          <w:sz w:val="24"/>
          <w:szCs w:val="24"/>
        </w:rPr>
      </w:pPr>
      <w:r>
        <w:rPr>
          <w:rFonts w:ascii="Times New Roman" w:hAnsi="Times New Roman"/>
          <w:sz w:val="24"/>
        </w:rPr>
        <w:br/>
        <w:t>Ministras Pirmininkas,</w:t>
      </w:r>
    </w:p>
    <w:p w14:paraId="4F0D4103" w14:textId="77777777" w:rsidR="00366729"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remdamasis ekonomikos, finansų, pramonės ir skaitmeninio suverenumo ministro bei ekologinės pertvarkos ir teritorinės sanglaudos ministro pranešimu,</w:t>
      </w:r>
    </w:p>
    <w:p w14:paraId="37F75173" w14:textId="442EB61D"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atsižvelgdamas į 2015 m. rugsėjo 9 d. Europos Parlamento ir Tarybos direktyvą (ES) 2015/1535, kuria nustatoma informacijos apie techninius reglamentus ir informacinės visuomenės paslaugų taisykles teikimo tvarka, kartu su 2023 m. rugpjūčio 2 d. Europos Komisijai išsiųstu pranešimu Nr. 2023/477-481/FR ir 2023 m. spalio 27 d. bei 2024 m. vasario 5 d. atsakymais į juos,</w:t>
      </w:r>
      <w:r>
        <w:rPr>
          <w:rFonts w:ascii="Times New Roman" w:hAnsi="Times New Roman"/>
          <w:sz w:val="24"/>
        </w:rPr>
        <w:br/>
        <w:t>atsižvelgdamas į Aplinkos kodeksą, būtent į jo L. 541-9-1, L. 541-9-2, L. 541-9-4 ir L. 541-9-4-1 straipsnius,</w:t>
      </w:r>
      <w:r>
        <w:rPr>
          <w:rFonts w:ascii="Times New Roman" w:hAnsi="Times New Roman"/>
          <w:sz w:val="24"/>
        </w:rPr>
        <w:br/>
        <w:t>atsižvelgdamas į Visuomenės ir administracijos santykių kodeksą, ypač į jo III knygą,</w:t>
      </w:r>
      <w:r>
        <w:rPr>
          <w:rFonts w:ascii="Times New Roman" w:hAnsi="Times New Roman"/>
          <w:sz w:val="24"/>
        </w:rPr>
        <w:br/>
        <w:t>atsižvelgdamas į pastabas, pateiktas per viešas konsultacijas, vykusias nuo 2023 m. rugsėjo 5 d. iki spalio 13 d., vadovaujantis Aplinkos kodekso L. 123-19-1 straipsniu,</w:t>
      </w:r>
      <w:r>
        <w:rPr>
          <w:rFonts w:ascii="Times New Roman" w:hAnsi="Times New Roman"/>
          <w:sz w:val="24"/>
        </w:rPr>
        <w:br/>
        <w:t>išklausęs Valstybės Tarybos (Viešųjų darbų skyriaus) nuomonę,</w:t>
      </w:r>
      <w:r>
        <w:rPr>
          <w:rFonts w:ascii="Times New Roman" w:hAnsi="Times New Roman"/>
          <w:sz w:val="24"/>
        </w:rPr>
        <w:br/>
        <w:t>nutaria:</w:t>
      </w:r>
    </w:p>
    <w:p w14:paraId="25FC888A"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1 straipsnis</w:t>
      </w:r>
    </w:p>
    <w:p w14:paraId="640ECEDA"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Aplinkos kodekso reglamentavimo dalies 9 skirsnio I skyriaus V knygos IV antraštinė dalis papildoma šiuo 2 poskirsniu: </w:t>
      </w:r>
    </w:p>
    <w:p w14:paraId="27226E4B"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2 poskirsnis</w:t>
      </w:r>
      <w:r>
        <w:rPr>
          <w:rFonts w:ascii="Times New Roman" w:hAnsi="Times New Roman"/>
          <w:sz w:val="24"/>
        </w:rPr>
        <w:br/>
        <w:t xml:space="preserve">„Elektros ir elektroninei įrangai taikomo patvarumo indekso rodymas </w:t>
      </w:r>
    </w:p>
    <w:p w14:paraId="6EEDF8B4"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R. 541-215 straipsnis. Šis poskirsnis taikomas naujos elektros ir elektroninės įrangos kategorijoms, apibrėžtoms už aplinką ir ekonomiką atsakingų ministrų įsakymu. </w:t>
      </w:r>
    </w:p>
    <w:p w14:paraId="3A6AF9D7"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R. 541-216 straipsnis. Gamintojų arba importuotojų pagal L. 541-9-2 straipsnio II dalį nustatytą patvarumo indeksą sudaro balas, nustatytas kiekvienam įrangos modeliui toliau nurodyta tvarka. Šis balas skirtas atkreipti vartotojų dėmesiui perkant įrangą. </w:t>
      </w:r>
      <w:r>
        <w:rPr>
          <w:rFonts w:ascii="Times New Roman" w:hAnsi="Times New Roman"/>
          <w:sz w:val="24"/>
        </w:rPr>
        <w:br/>
        <w:t xml:space="preserve">„ Patvarumo indeksas keičia L. 541-9-2 straipsnio I dalyje numatytą taisytinumo indeksą nuo įsipareigojimų dėl patvarumo indekso įsigaliojimo atitinkamai įrangos kategorijai. </w:t>
      </w:r>
    </w:p>
    <w:p w14:paraId="34FF8F0A"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R. 541-217 straipsnis. Šiame poskirsnyje vartojamos toliau pateiktos sąvokų apibrėžtys: </w:t>
      </w:r>
      <w:r>
        <w:rPr>
          <w:rFonts w:ascii="Times New Roman" w:hAnsi="Times New Roman"/>
          <w:sz w:val="24"/>
        </w:rPr>
        <w:br/>
        <w:t xml:space="preserve">„1. „Tiekimas rinkai“: bet koks įrangos, skirtos platinti arba naudoti vidaus rinkoje, tiekimas vykdant komercinę veiklą už atlygį arba nemokamai; </w:t>
      </w:r>
      <w:r>
        <w:rPr>
          <w:rFonts w:ascii="Times New Roman" w:hAnsi="Times New Roman"/>
          <w:sz w:val="24"/>
        </w:rPr>
        <w:br/>
        <w:t xml:space="preserve">„2. „Pateikimas rinkai“: pirmasis įrangos pateikimas vidaus rinkai; </w:t>
      </w:r>
      <w:r>
        <w:rPr>
          <w:rFonts w:ascii="Times New Roman" w:hAnsi="Times New Roman"/>
          <w:sz w:val="24"/>
        </w:rPr>
        <w:br/>
        <w:t xml:space="preserve">„3. „Gamintojas“: bet kuris fizinis arba juridinis asmuo, kuris gamina įrangą arba užsako ją suprojektuoti ir pardavinėti savo vardu arba prekės ženklu; </w:t>
      </w:r>
      <w:r>
        <w:rPr>
          <w:rFonts w:ascii="Times New Roman" w:hAnsi="Times New Roman"/>
          <w:sz w:val="24"/>
        </w:rPr>
        <w:br/>
        <w:t xml:space="preserve">„4. „Importuotojas“: bet kuris fizinis arba juridinis asmuo, pateikiantis įrangą nacionalinei rinkai iš Europos Sąjungos valstybių narių arba trečiųjų šalių; </w:t>
      </w:r>
      <w:r>
        <w:rPr>
          <w:rFonts w:ascii="Times New Roman" w:hAnsi="Times New Roman"/>
          <w:sz w:val="24"/>
        </w:rPr>
        <w:br/>
        <w:t xml:space="preserve">„5. „Platintojas“: bet kuris tiekimo grandinėje dalyvaujantis fizinis arba juridinis asmuo, išskyrus gamintoją arba importuotoją, kuris siūlo įrangą, skirtą parduoti vidaus rinkoje; </w:t>
      </w:r>
      <w:r>
        <w:rPr>
          <w:rFonts w:ascii="Times New Roman" w:hAnsi="Times New Roman"/>
          <w:sz w:val="24"/>
        </w:rPr>
        <w:br/>
        <w:t xml:space="preserve">„6. „Pardavėjas“: bet kuris fizinis arba juridinis asmuo, kuris, vykdydamas komercinę veiklą, parduodamas įrangą, įskaitant nuotoliniu būdu, pateikia ją vartotojams; </w:t>
      </w:r>
      <w:r>
        <w:rPr>
          <w:rFonts w:ascii="Times New Roman" w:hAnsi="Times New Roman"/>
          <w:sz w:val="24"/>
        </w:rPr>
        <w:br/>
        <w:t xml:space="preserve">„7. „Nuotolinė prekyba“: sutartis, sudaryta nuotoliniu būdu tarp profesionalaus pardavėjo ir vartotojo atsižvelgiant į organizuotą pardavimo sistemą, profesionaliam pardavėjui ir vartotojui tuo pačiu metu fiziškai nedalyvaujant, išimtinai naudojant vieną arba daugiau nuotolinio ryšio būdų, iki sutarties sudarymo; </w:t>
      </w:r>
      <w:r>
        <w:rPr>
          <w:rFonts w:ascii="Times New Roman" w:hAnsi="Times New Roman"/>
          <w:sz w:val="24"/>
        </w:rPr>
        <w:br/>
        <w:t xml:space="preserve">„8. „ Modelis“: įrangos, kurios visi vienetai turi tas pačias svarbias technines charakteristikas indeksui apskaičiuoti, versija; </w:t>
      </w:r>
      <w:r>
        <w:rPr>
          <w:rFonts w:ascii="Times New Roman" w:hAnsi="Times New Roman"/>
          <w:sz w:val="24"/>
        </w:rPr>
        <w:br/>
        <w:t xml:space="preserve">„9. „Lygiaverčiai modeliai“: modelių grupė, kuriai būdingos tos pačios techninės charakteristikos, svarbios atliekant patikimumo bandymą, ir kurią tas pats gamintojas, importuotojas ar kitas subjektas pateikia rinkai arba pradeda naudoti kaip kitą modelį su kitu modelio pavyzdžiu. </w:t>
      </w:r>
    </w:p>
    <w:p w14:paraId="664ACBEA" w14:textId="77777777" w:rsidR="00366729" w:rsidRDefault="00956BE5" w:rsidP="00366729">
      <w:pPr>
        <w:spacing w:after="0" w:line="240" w:lineRule="auto"/>
        <w:ind w:left="446"/>
        <w:rPr>
          <w:rFonts w:ascii="Times New Roman" w:eastAsia="Times New Roman" w:hAnsi="Times New Roman" w:cs="Times New Roman"/>
          <w:sz w:val="24"/>
          <w:szCs w:val="24"/>
        </w:rPr>
      </w:pPr>
      <w:r>
        <w:rPr>
          <w:rFonts w:ascii="Times New Roman" w:hAnsi="Times New Roman"/>
          <w:sz w:val="24"/>
        </w:rPr>
        <w:br/>
        <w:t xml:space="preserve">„ R. 541-218 straipsnis.-I.- Gamintojai arba importuotojai už aplinką ir ekonomiką atsakingų ministrų įsakyme nustatyta tvarka nustato kiekvieno rinkai tiekiamos įrangos modelio patvarumo indeksą ir parametrus, kuriais remiantis jis buvo nustatytas. </w:t>
      </w:r>
      <w:r>
        <w:rPr>
          <w:rFonts w:ascii="Times New Roman" w:hAnsi="Times New Roman"/>
          <w:sz w:val="24"/>
        </w:rPr>
        <w:br/>
        <w:t xml:space="preserve">„II.- Gamintojai arba importuotojai bendrauja elektroniniu būdu ir nemokamai ir platintojams arba pardavėjams įrangos įtraukimo į sąrašą ir pristatymo metu pagal kiekvieną rinkai pateiktos įrangos modelį pateikia:  </w:t>
      </w:r>
      <w:r>
        <w:rPr>
          <w:rFonts w:ascii="Times New Roman" w:hAnsi="Times New Roman"/>
          <w:sz w:val="24"/>
        </w:rPr>
        <w:br/>
        <w:t xml:space="preserve">„1. patvarumo indeksą, vadovaujantis I dalyje nurodytame įsakyme numatytomis sąlygomis ir ženklais; </w:t>
      </w:r>
      <w:r>
        <w:rPr>
          <w:rFonts w:ascii="Times New Roman" w:hAnsi="Times New Roman"/>
          <w:sz w:val="24"/>
        </w:rPr>
        <w:br/>
        <w:t xml:space="preserve">„2. lentelę, kurioje pateikiama išsami informacija apie elementus, į kuriuos atsižvelgiama </w:t>
      </w:r>
      <w:r>
        <w:rPr>
          <w:rFonts w:ascii="Times New Roman" w:hAnsi="Times New Roman"/>
          <w:sz w:val="24"/>
        </w:rPr>
        <w:lastRenderedPageBreak/>
        <w:t xml:space="preserve">nustatant patvarumo indekso balą, vadovaujantis I dalyje nurodytame įsakyme numatyta pateikimo forma. </w:t>
      </w:r>
    </w:p>
    <w:p w14:paraId="67E6F352" w14:textId="77777777" w:rsidR="00366729" w:rsidRDefault="00956BE5" w:rsidP="00366729">
      <w:pPr>
        <w:spacing w:after="0" w:line="240" w:lineRule="auto"/>
        <w:ind w:left="446"/>
        <w:rPr>
          <w:rFonts w:ascii="Times New Roman" w:eastAsia="Times New Roman" w:hAnsi="Times New Roman" w:cs="Times New Roman"/>
          <w:sz w:val="24"/>
          <w:szCs w:val="24"/>
        </w:rPr>
      </w:pPr>
      <w:r>
        <w:rPr>
          <w:rFonts w:ascii="Times New Roman" w:hAnsi="Times New Roman"/>
          <w:sz w:val="24"/>
        </w:rPr>
        <w:t xml:space="preserve">„ III.- Kai platintojas nėra tas pats asmuo kaip ir pardavėjas, jis II dalies 1 ir 2 punktuose nurodytomis sąlygomis nemokamai perduoda pardavėjui indeksą ir II dalyje nurodytą lentelę elektros ir elektroninės įrangos įtraukimo į sąrašą ir pristatymo metu. </w:t>
      </w:r>
      <w:r>
        <w:rPr>
          <w:rFonts w:ascii="Times New Roman" w:hAnsi="Times New Roman"/>
          <w:sz w:val="24"/>
        </w:rPr>
        <w:br/>
        <w:t xml:space="preserve">„ IV.- Indeksas papildomai gali būti tvirtinamas tiesiogiai ant kiekvienos įrangos arba pakuotės, ženklinant etiketėmis arba ženklais, vadovaujantis I dalyje nurodytame įsakyme numatytais ženklais. </w:t>
      </w:r>
    </w:p>
    <w:p w14:paraId="4B1F359E" w14:textId="17C1264C" w:rsidR="0023656E" w:rsidRDefault="00956BE5" w:rsidP="00956BE5">
      <w:pPr>
        <w:spacing w:after="0" w:line="240" w:lineRule="auto"/>
        <w:ind w:left="446"/>
        <w:rPr>
          <w:rFonts w:ascii="Times New Roman" w:eastAsia="Times New Roman" w:hAnsi="Times New Roman" w:cs="Times New Roman"/>
          <w:sz w:val="24"/>
          <w:szCs w:val="24"/>
        </w:rPr>
      </w:pPr>
      <w:r>
        <w:rPr>
          <w:rFonts w:ascii="Times New Roman" w:hAnsi="Times New Roman"/>
          <w:sz w:val="24"/>
        </w:rPr>
        <w:t xml:space="preserve">„ V.- II dalyje nurodytą informaciją gamintojai arba importuotojai viešai skelbia elektroniniu būdu ir per penkias darbo dienas nemokamai perduoda bet kuriam jos prašančiam asmeniui ne mažiau kaip 2 metus nuo paskutinio įrangos modelio vieneto pateikimo rinkai dienos. </w:t>
      </w:r>
    </w:p>
    <w:p w14:paraId="0758D714"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R. 541-219 straipsnis. Administracinė institucija užtikrina centralizuotą prieigą prie R. 541-218 straipsnio II dalyje nurodytos informacijos toliau nurodytomis sąlygomis. </w:t>
      </w:r>
      <w:r>
        <w:rPr>
          <w:rFonts w:ascii="Times New Roman" w:hAnsi="Times New Roman"/>
          <w:sz w:val="24"/>
        </w:rPr>
        <w:br/>
        <w:t xml:space="preserve">„ Kiekvienai įrangos kategorijai indeksas, skaičiavimo parametrai, pagal kuriuos jį buvo galima nustatyti, išskyrus su atsarginių dalių kaina susijusius parametrus, taip pat informacija, susijusi su modelių identifikavimu ir balų apskaičiavimo metodais, viešai platinami Visuomenės ir administracijos santykių kodekso R. 321-8 straipsnyje nurodytame bendrame tarpžinybiniame portale. </w:t>
      </w:r>
      <w:r>
        <w:rPr>
          <w:rFonts w:ascii="Times New Roman" w:hAnsi="Times New Roman"/>
          <w:sz w:val="24"/>
        </w:rPr>
        <w:br/>
        <w:t xml:space="preserve">„ Šie duomenys perduodami ir skelbiami gamintojo arba importuotojo atsakomybe pagal tame portale pateiktą duomenų schemą. Už aplinką ir ekonomiką atsakingų ministrų įsakyme prireikus nurodoma techninė duomenų schemos įgyvendinimo tvarka. </w:t>
      </w:r>
      <w:r>
        <w:rPr>
          <w:rFonts w:ascii="Times New Roman" w:hAnsi="Times New Roman"/>
          <w:sz w:val="24"/>
        </w:rPr>
        <w:br/>
        <w:t xml:space="preserve">„ Šiuos duomenis galima pakartotinai naudoti laikantis Visuomenės ir administracijos santykių kodekso III knygos II antraštinėje dalyje nustatytų sąlygų ir to paties kodekso D. 323-2-1 straipsnio I dalies 1 punkte nurodytos atvirosios licencijos sąlygų. </w:t>
      </w:r>
      <w:r>
        <w:rPr>
          <w:rFonts w:ascii="Times New Roman" w:hAnsi="Times New Roman"/>
          <w:sz w:val="24"/>
        </w:rPr>
        <w:br/>
        <w:t xml:space="preserve">„ Jei atnaujinamas modelio patvarumo indekso balas, šie duomenys atnaujinami per ne ilgesnį kaip vieno mėnesio laikotarpį. </w:t>
      </w:r>
    </w:p>
    <w:p w14:paraId="763FC439"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R. 541-220 straipsnis.-I.- Kai įranga parduodama parduotuvėse, pardavėjas ant kiekvienos siūlomos parduoti įrangos arba šalia jos matomu, įskaitomu ir lengvai prieinamu R. 541-218 straipsnio I dalyje nurodytame įsakyme numatytu būdu ir ženklais pateikia patvarumo indeksą. </w:t>
      </w:r>
      <w:r>
        <w:rPr>
          <w:rFonts w:ascii="Times New Roman" w:hAnsi="Times New Roman"/>
          <w:sz w:val="24"/>
        </w:rPr>
        <w:br/>
        <w:t xml:space="preserve">„ II.- Kai įranga parduodama nuotoliniu būdu, pardavėjas įrangos pristatyme ir visuose tinklalapiuose, kuriuose siūloma įsigyti įrangą, šalia jos kainos nuorodos matomu, įskaitomu ir lengvai prieinamu R. 541-218 straipsnio I dalyje nurodytame įsakyme numatytu būdu ir ženklais pateikia patvarumo indeksą. Šis įpareigojimas netaikomas užsakymo ir mokėjimo santraukos puslapiams. </w:t>
      </w:r>
      <w:r>
        <w:rPr>
          <w:rFonts w:ascii="Times New Roman" w:hAnsi="Times New Roman"/>
          <w:sz w:val="24"/>
        </w:rPr>
        <w:br/>
        <w:t xml:space="preserve">„ III.- Pardavėjas taip pat pateikia vartotojams R. 541-218 straipsnio II dalies 2 punkte nurodytą lentelę bet kokiu tinkamu būdu. Kai įranga parduodama parduotuvėje, lentynoje pateikiamas stendas, kuriuo vartotojas informuojamas apie lentelę ir galimybę ja pasinaudoti. Klientui paprašius, kopija turi būti išduota popierine arba elektronine forma, atsižvelgiant į kliento pasirinkimą. Kai įranga parduodama internetu, ši lentelė turi būti pasiekiama tiesiogiai iš tinklalapių, kuriuose rodomas patvarumo indeksas. </w:t>
      </w:r>
    </w:p>
    <w:p w14:paraId="0757B420"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R. 541-221 straipsnis.-I.- Patvarumo indeksas apskaičiuojamas vadovaujantis šiais parametrais: </w:t>
      </w:r>
      <w:r>
        <w:rPr>
          <w:rFonts w:ascii="Times New Roman" w:hAnsi="Times New Roman"/>
          <w:sz w:val="24"/>
        </w:rPr>
        <w:br/>
      </w:r>
      <w:r>
        <w:rPr>
          <w:rFonts w:ascii="Times New Roman" w:hAnsi="Times New Roman"/>
          <w:sz w:val="24"/>
        </w:rPr>
        <w:lastRenderedPageBreak/>
        <w:t xml:space="preserve">„1. Skalėje nuo 0 iki 10 nustatomas įrangos taisomumo balas, visų pirma atsižvelgiant į techninių dokumentų prieinamumą, išmontavimo paprastumą, atsarginių dalių prieinamumą ir kainą; </w:t>
      </w:r>
      <w:r>
        <w:rPr>
          <w:rFonts w:ascii="Times New Roman" w:hAnsi="Times New Roman"/>
          <w:sz w:val="24"/>
        </w:rPr>
        <w:br/>
        <w:t xml:space="preserve">„2. Skalėje nuo 0 iki 10 nustatomas įrangos patikimumo balas, atsižvelgiant, </w:t>
      </w:r>
      <w:r>
        <w:rPr>
          <w:rFonts w:ascii="Times New Roman" w:hAnsi="Times New Roman"/>
          <w:i/>
          <w:iCs/>
          <w:sz w:val="24"/>
        </w:rPr>
        <w:t>inter alia</w:t>
      </w:r>
      <w:r>
        <w:rPr>
          <w:rFonts w:ascii="Times New Roman" w:hAnsi="Times New Roman"/>
          <w:sz w:val="24"/>
        </w:rPr>
        <w:t xml:space="preserve">, į atsparumą stresui ir dilimui, techninės priežiūros ir aptarnavimo paprastumą, taip pat į komercinės garantijos buvimą ir kokybės procesą; </w:t>
      </w:r>
      <w:r>
        <w:rPr>
          <w:rFonts w:ascii="Times New Roman" w:hAnsi="Times New Roman"/>
          <w:sz w:val="24"/>
        </w:rPr>
        <w:br/>
        <w:t xml:space="preserve">„3. Jei reikia, skalėje nuo 0 iki 10 nustatomas balas, susijęs su įrangos programinės ir aparatinės įrangos atnaujinimais; </w:t>
      </w:r>
      <w:r>
        <w:rPr>
          <w:rFonts w:ascii="Times New Roman" w:hAnsi="Times New Roman"/>
          <w:sz w:val="24"/>
        </w:rPr>
        <w:br/>
        <w:t xml:space="preserve">„ Patvarumo indeksas apskaičiuojamas remiantis 1 ir 2 punktuose ir, atitinkamais atvejais, 3 punkte nurodytais balais. Jis išreiškiamas kaip bendras balas skalėje nuo 0 iki 10. </w:t>
      </w:r>
      <w:r>
        <w:rPr>
          <w:rFonts w:ascii="Times New Roman" w:hAnsi="Times New Roman"/>
          <w:sz w:val="24"/>
        </w:rPr>
        <w:br/>
        <w:t xml:space="preserve">„ II.- Aplinkos ir ekonomikos ministrų įsakyme nurodomi visi kiekvienos atitinkamos kategorijos įrangos kriterijai ir subkriterijai, į kuriuos atsižvelgiama, ir indekso apskaičiavimo metodai. </w:t>
      </w:r>
      <w:r>
        <w:rPr>
          <w:rFonts w:ascii="Times New Roman" w:hAnsi="Times New Roman"/>
          <w:sz w:val="24"/>
        </w:rPr>
        <w:br/>
        <w:t>„ III.- R. 541-218 straipsnio I dalyje nurodytame įsakyme gali būti numatyta, kad tam tikri kriterijai ar subkriterijai, susiję su įrangos patikimumu, gali būti nustatyti viename modelyje modelių, kurie gali būti laikomi lygiaverčiais, rinkiniui.“</w:t>
      </w:r>
    </w:p>
    <w:p w14:paraId="4AA5D504"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2 straipsnis</w:t>
      </w:r>
    </w:p>
    <w:p w14:paraId="56E9C66E"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Aplinkos kodekso R. 541-211 straipsnis pakeičiamas taip: </w:t>
      </w:r>
    </w:p>
    <w:p w14:paraId="616E4AD7"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R. 541-211 straipsnis. Šiame poskirsnyje taikomos R. 541-217 straipsnio 1–8 punktuose pateiktos apibrėžtys.“</w:t>
      </w:r>
    </w:p>
    <w:p w14:paraId="5F3A14FC"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3 straipsnis</w:t>
      </w:r>
    </w:p>
    <w:p w14:paraId="5244038D"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Aplinkos kodekso reglamentavimo dalies V knygos IV antraštinės dalies I skyriaus 9 skirsnio 2.3 ir 4 poskirsniai atitinkamai tampa to paties skirsnio 3, 4 ir 5 poskirsniais. </w:t>
      </w:r>
      <w:r>
        <w:rPr>
          <w:rFonts w:ascii="Times New Roman" w:hAnsi="Times New Roman"/>
          <w:sz w:val="24"/>
        </w:rPr>
        <w:br/>
        <w:t xml:space="preserve">Aplinkos kodekso D. 541-215–D. 541-219 straipsniai tampa to paties kodekso D. 541-222–D. 541-226 straipsniais, Aplinkos kodekso R. 541-220–R. 541-223 straipsniais atitinkamai tampa to paties kodekso R. 541-227–R. 541-230 straipsniais, o Aplinkos kodekso D. 541-225–D. 541-232-1 atitinkamai tampa to paties kodekso D. 541-231–D. 541-239 straipsniais. </w:t>
      </w:r>
      <w:r>
        <w:rPr>
          <w:rFonts w:ascii="Times New Roman" w:hAnsi="Times New Roman"/>
          <w:sz w:val="24"/>
        </w:rPr>
        <w:br/>
        <w:t>Galiojančiose taisyklėse atitinkamai iš dalies keičiamos nuorodos į Aplinkos kodekso D. 541-215–D. 541-232-1 straipsnių nuostatas.</w:t>
      </w:r>
    </w:p>
    <w:p w14:paraId="164929AB"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4 straipsnis</w:t>
      </w:r>
    </w:p>
    <w:p w14:paraId="0FD038C0"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Už šio dekreto, kuris bus paskelbtas Prancūzijos Respublikos oficialiajame leidinyje, taikymą yra atsakingi ekonomikos, finansų, pramonės ir skaitmeninio suverenumo ministras bei ekologinės pertvarkos ir teritorinės sanglaudos ministras.</w:t>
      </w:r>
    </w:p>
    <w:p w14:paraId="421DD6FF"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Parengta 2024 m. balandžio 5 d.</w:t>
      </w:r>
    </w:p>
    <w:p w14:paraId="0DCDC5CA"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Ministro Pirmininko</w:t>
      </w:r>
      <w:r>
        <w:rPr>
          <w:rFonts w:ascii="Times New Roman" w:hAnsi="Times New Roman"/>
          <w:sz w:val="24"/>
        </w:rPr>
        <w:br/>
        <w:t>Gabrielio Attalo vardu:</w:t>
      </w:r>
    </w:p>
    <w:p w14:paraId="2A297EFF"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Ekologinės pertvarkos ir teritorinės sanglaudos ministras</w:t>
      </w:r>
      <w:r>
        <w:rPr>
          <w:rFonts w:ascii="Times New Roman" w:hAnsi="Times New Roman"/>
          <w:sz w:val="24"/>
        </w:rPr>
        <w:br/>
        <w:t>Christophe Béchu</w:t>
      </w:r>
    </w:p>
    <w:p w14:paraId="14F9C159"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Ekonomikos, finansų, pramonės ir skaitmeninio suverenumo ministras</w:t>
      </w:r>
      <w:r>
        <w:rPr>
          <w:rFonts w:ascii="Times New Roman" w:hAnsi="Times New Roman"/>
          <w:sz w:val="24"/>
        </w:rPr>
        <w:br/>
        <w:t>Bruno Le Maire</w:t>
      </w:r>
    </w:p>
    <w:p w14:paraId="4C7B3C76" w14:textId="77777777" w:rsidR="0023656E" w:rsidRDefault="0023656E"/>
    <w:sectPr w:rsidR="00236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6E"/>
    <w:rsid w:val="0023656E"/>
    <w:rsid w:val="00366729"/>
    <w:rsid w:val="007274E1"/>
    <w:rsid w:val="007B3CEE"/>
    <w:rsid w:val="00956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403D"/>
  <w15:chartTrackingRefBased/>
  <w15:docId w15:val="{FD5B4176-1E84-4468-A5A1-BF138CC1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7B3CEE"/>
    <w:rPr>
      <w:color w:val="0563C1" w:themeColor="hyperlink"/>
      <w:u w:val="single"/>
    </w:rPr>
  </w:style>
  <w:style w:type="character" w:styleId="UnresolvedMention">
    <w:name w:val="Unresolved Mention"/>
    <w:basedOn w:val="DefaultParagraphFont"/>
    <w:uiPriority w:val="99"/>
    <w:semiHidden/>
    <w:unhideWhenUsed/>
    <w:rsid w:val="007B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0092">
      <w:bodyDiv w:val="1"/>
      <w:marLeft w:val="0"/>
      <w:marRight w:val="0"/>
      <w:marTop w:val="0"/>
      <w:marBottom w:val="0"/>
      <w:divBdr>
        <w:top w:val="none" w:sz="0" w:space="0" w:color="auto"/>
        <w:left w:val="none" w:sz="0" w:space="0" w:color="auto"/>
        <w:bottom w:val="none" w:sz="0" w:space="0" w:color="auto"/>
        <w:right w:val="none" w:sz="0" w:space="0" w:color="auto"/>
      </w:divBdr>
      <w:divsChild>
        <w:div w:id="104255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france.gouv.fr/eli/decret/2024/4/5/2024-316/jo/texte" TargetMode="External"/><Relationship Id="rId4" Type="http://schemas.openxmlformats.org/officeDocument/2006/relationships/hyperlink" Target="https://www.legifrance.gouv.fr/eli/decret/2024/4/5/TRED2329205D/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9784</Characters>
  <Application>Microsoft Office Word</Application>
  <DocSecurity>0</DocSecurity>
  <Lines>183</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2024-05-06T08:43:00Z</dcterms:created>
  <dcterms:modified xsi:type="dcterms:W3CDTF">2024-05-06T08:43:00Z</dcterms:modified>
</cp:coreProperties>
</file>