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EE5" w14:textId="77777777" w:rsidR="0023656E" w:rsidRDefault="00956BE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Uredba št. 2024-316 z dne 5. aprila 2024 o indeksu trajnosti električne in elektronske opreme</w:t>
      </w:r>
    </w:p>
    <w:p w14:paraId="16D700DD"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Ref. št.: TRED2329205D</w:t>
      </w:r>
    </w:p>
    <w:p w14:paraId="7D920524" w14:textId="192AB7B9"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https://www.legifrance.gouv.fr/eli/decret/2024/4/5/TRED2329205D/jo/texte</w:t>
        </w:r>
      </w:hyperlink>
    </w:p>
    <w:p w14:paraId="6CAA6AAE" w14:textId="783AAEE7"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Privzeti naslov: </w:t>
      </w:r>
      <w:hyperlink r:id="rId5" w:history="1">
        <w:r>
          <w:rPr>
            <w:rStyle w:val="Hyperlink"/>
            <w:rFonts w:ascii="Times New Roman" w:hAnsi="Times New Roman"/>
            <w:sz w:val="24"/>
          </w:rPr>
          <w:t>https://www.legifrance.gouv.fr/eli/decret/2024/4/5/2024-316/jo/texte</w:t>
        </w:r>
      </w:hyperlink>
    </w:p>
    <w:p w14:paraId="2AC6BE26"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UL FR št. 0082 z dne 7. aprila 2024</w:t>
      </w:r>
    </w:p>
    <w:p w14:paraId="7693BB8D" w14:textId="7098A389" w:rsidR="0023656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Besedilo št. 21</w:t>
      </w:r>
    </w:p>
    <w:p w14:paraId="1C8F13CD"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Ciljna javnost: proizvajalci, uvozniki, distributerji ali drugi dobavitelji električne in elektronske opreme, prodajalci te opreme in osebe, ki uporabljajo spletno mesto, platformo ali katero koli drugo spletno distribucijsko pot v okviru svoje poslovne dejavnosti v Franciji. </w:t>
      </w:r>
      <w:r>
        <w:rPr>
          <w:rFonts w:ascii="Times New Roman" w:hAnsi="Times New Roman"/>
          <w:sz w:val="24"/>
        </w:rPr>
        <w:br/>
        <w:t xml:space="preserve">Zadeva: izvedbena pravila indeksa trajnosti, opredeljenega v členu L. 541-9-2 okoljskega zakonika. </w:t>
      </w:r>
      <w:r>
        <w:rPr>
          <w:rFonts w:ascii="Times New Roman" w:hAnsi="Times New Roman"/>
          <w:sz w:val="24"/>
        </w:rPr>
        <w:br/>
        <w:t xml:space="preserve">Začetek veljavnosti: besedilo začne veljati dan po njegovi objavi. </w:t>
      </w:r>
      <w:r>
        <w:rPr>
          <w:rFonts w:ascii="Times New Roman" w:hAnsi="Times New Roman"/>
          <w:sz w:val="24"/>
        </w:rPr>
        <w:br/>
        <w:t xml:space="preserve">Obvestilo: Uredba določa izvedbena pravila člena L. 541-9-2 okoljskega zakonika, ki določa uvedbo indeksa trajnosti za določene kategorije električne in elektronske opreme. Določa zlasti merila in parametre izračuna, ki se uporabljajo za določitev tega indeksa, ter splošni okvir obveznosti v zvezi z njegovim sporočanjem in prikazom. </w:t>
      </w:r>
      <w:r>
        <w:rPr>
          <w:rFonts w:ascii="Times New Roman" w:hAnsi="Times New Roman"/>
          <w:sz w:val="24"/>
        </w:rPr>
        <w:br/>
        <w:t xml:space="preserve">Sklicevanja: Uredba je na voljo na spletnem mestu Légifrance (https://www.legifrance.gouv.fr). </w:t>
      </w:r>
    </w:p>
    <w:p w14:paraId="286486BA" w14:textId="77777777" w:rsidR="00366729" w:rsidRDefault="00956BE5" w:rsidP="00366729">
      <w:pPr>
        <w:spacing w:after="0" w:line="240" w:lineRule="auto"/>
        <w:rPr>
          <w:rFonts w:ascii="Times New Roman" w:eastAsia="Times New Roman" w:hAnsi="Times New Roman" w:cs="Times New Roman"/>
          <w:sz w:val="24"/>
          <w:szCs w:val="24"/>
        </w:rPr>
      </w:pPr>
      <w:r>
        <w:rPr>
          <w:rFonts w:ascii="Times New Roman" w:hAnsi="Times New Roman"/>
          <w:sz w:val="24"/>
        </w:rPr>
        <w:br/>
        <w:t>Predsednik vlade –</w:t>
      </w:r>
    </w:p>
    <w:p w14:paraId="4F0D4103" w14:textId="77777777" w:rsidR="00366729"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po poročilu ministra za gospodarstvo, finance ter industrijsko in digitalno suverenost ter ministra za ekološki prehod in teritorialno kohezijo;</w:t>
      </w:r>
    </w:p>
    <w:p w14:paraId="37F75173" w14:textId="442EB61D"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ob upoštevanju Direktive (EU) 2015/1535 Evropskega parlamenta in Sveta z dne 9. septembra 2015 o določitvi postopka za zbiranje informacij na področju tehničnih predpisov in pravil za storitve informacijske družbe, skupaj z uradnimi obvestili 2023/477–481/FR, ki so bila Evropski komisiji posredovana 2. avgusta 2023, in odgovori nanje z dne 27. oktobra 2023 in 5. februarja 2024;</w:t>
      </w:r>
      <w:r>
        <w:rPr>
          <w:rFonts w:ascii="Times New Roman" w:hAnsi="Times New Roman"/>
          <w:sz w:val="24"/>
        </w:rPr>
        <w:br/>
        <w:t>ob upoštevanju okoljskega zakonika, zlasti členov L. 541-9-1, L. 541-9-2, L. 541-9-4 in L. 541-9-4-1;</w:t>
      </w:r>
      <w:r>
        <w:rPr>
          <w:rFonts w:ascii="Times New Roman" w:hAnsi="Times New Roman"/>
          <w:sz w:val="24"/>
        </w:rPr>
        <w:br/>
        <w:t>ob upoštevanju kodeksa o odnosih med javnostjo in upravo, zlasti njegove knjige III;</w:t>
      </w:r>
      <w:r>
        <w:rPr>
          <w:rFonts w:ascii="Times New Roman" w:hAnsi="Times New Roman"/>
          <w:sz w:val="24"/>
        </w:rPr>
        <w:br/>
        <w:t>ob upoštevanju pripomb, podanih med javnim posvetovanjem med 5. septembrom in 13. oktobrom 2023 v skladu s členom L. 123-19-1 okoljskega zakonika;</w:t>
      </w:r>
      <w:r>
        <w:rPr>
          <w:rFonts w:ascii="Times New Roman" w:hAnsi="Times New Roman"/>
          <w:sz w:val="24"/>
        </w:rPr>
        <w:br/>
        <w:t>ob upoštevanju mnenja Državnega sveta (oddelek za javna dela) –</w:t>
      </w:r>
      <w:r>
        <w:rPr>
          <w:rFonts w:ascii="Times New Roman" w:hAnsi="Times New Roman"/>
          <w:sz w:val="24"/>
        </w:rPr>
        <w:br/>
        <w:t>odreja:</w:t>
      </w:r>
    </w:p>
    <w:p w14:paraId="25FC888A"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1</w:t>
      </w:r>
    </w:p>
    <w:p w14:paraId="640ECED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V naslovu IV knjige V poglavja I oddelka 9 regulativnega dela okoljskega zakonika se doda pododdelek 2: </w:t>
      </w:r>
    </w:p>
    <w:p w14:paraId="27226E4B"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xml:space="preserve"> „Pododdelek 2.</w:t>
      </w:r>
      <w:r>
        <w:rPr>
          <w:rFonts w:ascii="Times New Roman" w:hAnsi="Times New Roman"/>
          <w:sz w:val="24"/>
        </w:rPr>
        <w:br/>
        <w:t xml:space="preserve">Prikaz indeksa trajnosti, ki se uporablja za električno in elektronsko opremo </w:t>
      </w:r>
    </w:p>
    <w:p w14:paraId="6EEDF8B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541-215. Ta pododdelek se uporablja za kategorije nove električne in elektronske opreme, opredeljene z odredbo ministrov, pristojnih za okolje in gospodarstvo. </w:t>
      </w:r>
    </w:p>
    <w:p w14:paraId="3A6AF9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541-216. Indeks trajnosti, ki ga določijo proizvajalci ali uvozniki v skladu s členom L. 541-9-2 II, je sestavljen iz ocene, ki se za vsak model opreme določi v skladu s spodaj navedenimi postopki. Ta ocena je namenjena obveščanju potrošnikov ob nakupu nove opreme. </w:t>
      </w:r>
      <w:r>
        <w:rPr>
          <w:rFonts w:ascii="Times New Roman" w:hAnsi="Times New Roman"/>
          <w:sz w:val="24"/>
        </w:rPr>
        <w:br/>
        <w:t xml:space="preserve"> Indeks trajnosti nadomesti indeks popravljivosti iz odstavka I člena L. 541-9-2 od začetka veljavnosti obveznosti glede indeksa trajnosti za zadevno kategorijo opreme. </w:t>
      </w:r>
    </w:p>
    <w:p w14:paraId="34FF8F0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541-217. V tem pododdelku se uporabljajo naslednje opredelitve pojmov: </w:t>
      </w:r>
      <w:r>
        <w:rPr>
          <w:rFonts w:ascii="Times New Roman" w:hAnsi="Times New Roman"/>
          <w:sz w:val="24"/>
        </w:rPr>
        <w:br/>
        <w:t xml:space="preserve">1. ‚omogočanje dostopnosti na trgu‘: vsaka dobava, v okviru gospodarske dejavnosti, opreme, namenjene distribuciji ali uporabi na nacionalnem trgu, za plačilo ali brezplačno; </w:t>
      </w:r>
      <w:r>
        <w:rPr>
          <w:rFonts w:ascii="Times New Roman" w:hAnsi="Times New Roman"/>
          <w:sz w:val="24"/>
        </w:rPr>
        <w:br/>
        <w:t xml:space="preserve">2. ‚dajanje na trg‘: prvo omogočanje dostopnosti opreme na nacionalnem trgu; </w:t>
      </w:r>
      <w:r>
        <w:rPr>
          <w:rFonts w:ascii="Times New Roman" w:hAnsi="Times New Roman"/>
          <w:sz w:val="24"/>
        </w:rPr>
        <w:br/>
        <w:t xml:space="preserve">3. ‚proizvajalec‘: vsaka fizična ali pravna oseba, ki proizvaja opremo ali za katero se ta oprema načrtuje in trži pod njenim imenom ali blagovno znamko; </w:t>
      </w:r>
      <w:r>
        <w:rPr>
          <w:rFonts w:ascii="Times New Roman" w:hAnsi="Times New Roman"/>
          <w:sz w:val="24"/>
        </w:rPr>
        <w:br/>
        <w:t xml:space="preserve">4. ‚uvoznik‘: vsaka fizična ali pravna oseba, ki daje opremo na nacionalni trg iz držav članic Evropske unije ali iz tretjih držav; </w:t>
      </w:r>
      <w:r>
        <w:rPr>
          <w:rFonts w:ascii="Times New Roman" w:hAnsi="Times New Roman"/>
          <w:sz w:val="24"/>
        </w:rPr>
        <w:br/>
        <w:t xml:space="preserve">5. ‚distributer‘: vsaka fizična ali pravna oseba v dobavni verigi, razen proizvajalca ali uvoznika, ki ponuja opremo za prodajo na domačem trgu; </w:t>
      </w:r>
      <w:r>
        <w:rPr>
          <w:rFonts w:ascii="Times New Roman" w:hAnsi="Times New Roman"/>
          <w:sz w:val="24"/>
        </w:rPr>
        <w:br/>
        <w:t xml:space="preserve">6. ‚prodajalec‘: vsaka fizična ali pravna oseba, ki v okviru gospodarske dejavnosti omogoči dostopnost opreme na trgu s prodajo, tudi na daljavo, potrošnikom; </w:t>
      </w:r>
      <w:r>
        <w:rPr>
          <w:rFonts w:ascii="Times New Roman" w:hAnsi="Times New Roman"/>
          <w:sz w:val="24"/>
        </w:rPr>
        <w:br/>
        <w:t xml:space="preserve">7. ‚prodaja na daljavo‘: pogodba, sklenjena na daljavo med poklicnim prodajalcem in potrošnikom, v okviru organiziranega sistema prodaje, brez hkratne fizične prisotnosti poklicnega prodajalca in potrošnika, izključno z uporabo ene ali več komunikacijskih tehnik na daljavo, dokler se pogodba ne sklene; </w:t>
      </w:r>
      <w:r>
        <w:rPr>
          <w:rFonts w:ascii="Times New Roman" w:hAnsi="Times New Roman"/>
          <w:sz w:val="24"/>
        </w:rPr>
        <w:br/>
        <w:t xml:space="preserve">8.  ‚model‘: različica opreme, pri kateri imajo vse enote enake tehnične lastnosti, pomembne za izračun indeksa; </w:t>
      </w:r>
      <w:r>
        <w:rPr>
          <w:rFonts w:ascii="Times New Roman" w:hAnsi="Times New Roman"/>
          <w:sz w:val="24"/>
        </w:rPr>
        <w:br/>
        <w:t xml:space="preserve">9. ‚enakovredni modeli‘: skupina modelov, ki imajo enake tehnične lastnosti, relevantne za preskus zanesljivosti, ki ga je treba opraviti, in ki jih isti proizvajalec, uvoznik ali drug model da na trg ali v uporabo kot drug model z drugo referenco modela. </w:t>
      </w:r>
    </w:p>
    <w:p w14:paraId="664ACBEA"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br/>
        <w:t xml:space="preserve"> Člen R. 541-218.</w:t>
      </w:r>
      <w:r>
        <w:rPr>
          <w:rFonts w:ascii="Times New Roman" w:hAnsi="Times New Roman"/>
          <w:sz w:val="24"/>
        </w:rPr>
        <w:br/>
        <w:t xml:space="preserve">I. Proizvajalci ali uvozniki za vsak model opreme, ki ga dajo na trg, določijo indeks trajnosti in parametre, ki so omogočili njegovo določitev v skladu s postopki, določenimi z odredbo ministrov, pristojnih za okolje in gospodarstvo. </w:t>
      </w:r>
      <w:r>
        <w:rPr>
          <w:rFonts w:ascii="Times New Roman" w:hAnsi="Times New Roman"/>
          <w:sz w:val="24"/>
        </w:rPr>
        <w:br/>
        <w:t xml:space="preserve">II. Proizvajalci ali uvozniki v elektronski obliki in brezplačno distributerjem ali prodajalcem v času oblikovanja seznama in dobave opreme za vsak model opreme, dane na trg, sporočijo:  </w:t>
      </w:r>
      <w:r>
        <w:rPr>
          <w:rFonts w:ascii="Times New Roman" w:hAnsi="Times New Roman"/>
          <w:sz w:val="24"/>
        </w:rPr>
        <w:br/>
        <w:t xml:space="preserve">1. indeks trajnosti v skladu s pogoji in oznakami, določenimi z odredbo iz oddelka I; </w:t>
      </w:r>
      <w:r>
        <w:rPr>
          <w:rFonts w:ascii="Times New Roman" w:hAnsi="Times New Roman"/>
          <w:sz w:val="24"/>
        </w:rPr>
        <w:br/>
      </w:r>
      <w:r>
        <w:rPr>
          <w:rFonts w:ascii="Times New Roman" w:hAnsi="Times New Roman"/>
          <w:sz w:val="24"/>
        </w:rPr>
        <w:lastRenderedPageBreak/>
        <w:t xml:space="preserve">2. preglednico s podatki o elementih, upoštevanih pri oceni indeksa trajnosti, v skladu z obliko predstavitve, določeno z odredbo iz oddelka I. </w:t>
      </w:r>
    </w:p>
    <w:p w14:paraId="67E6F352"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III. Če distributer ni ista oseba kot prodajalec, mora prodajalcu v času oblikovanja seznama in dobave električne in elektronske opreme brezplačno in pod pogoji iz točk 1 in 2 oddelka II sporočiti indeks in preglednico iz oddelka II. </w:t>
      </w:r>
      <w:r>
        <w:rPr>
          <w:rFonts w:ascii="Times New Roman" w:hAnsi="Times New Roman"/>
          <w:sz w:val="24"/>
        </w:rPr>
        <w:br/>
        <w:t xml:space="preserve"> IV. Indeks se lahko poleg tega pritrdi neposredno na vsako opremo ali embalažo z etiketiranjem ali označevanjem ob upoštevanju oznak, določenih z odredbo iz oddelka I. </w:t>
      </w:r>
    </w:p>
    <w:p w14:paraId="4B1F359E" w14:textId="17C1264C" w:rsidR="0023656E" w:rsidRDefault="00956BE5" w:rsidP="00956BE5">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V. Informacije iz odstavka II dajo proizvajalci ali uvozniki na voljo javnosti v elektronski obliki in jih v petih delovnih dneh brezplačno sporočijo vsem, ki jih zahtevajo vsaj dve leti po tem, ko je bila na trg dana zadnja enota modela opreme. </w:t>
      </w:r>
    </w:p>
    <w:p w14:paraId="0758D71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541-219. Upravni organ zagotovi centraliziran dostop do informacij iz oddelka II člena R. 541-218 pod spodaj navedenimi pogoji. </w:t>
      </w:r>
      <w:r>
        <w:rPr>
          <w:rFonts w:ascii="Times New Roman" w:hAnsi="Times New Roman"/>
          <w:sz w:val="24"/>
        </w:rPr>
        <w:br/>
        <w:t xml:space="preserve"> Za vsako kategorijo opreme se indeks, parametri, na podlagi katerih se je določil indeks, razen tistih, ki se nanašajo na ceno rezervnih delov, ter informacije v zvezi z identifikacijo modelov in načini izračuna ocene javno razširjajo prek enotnega medresorskega portala iz člena R. 321-8 kodeksa o odnosih med javnostjo in upravo. </w:t>
      </w:r>
      <w:r>
        <w:rPr>
          <w:rFonts w:ascii="Times New Roman" w:hAnsi="Times New Roman"/>
          <w:sz w:val="24"/>
        </w:rPr>
        <w:br/>
        <w:t xml:space="preserve"> Podatki se prenesejo in objavijo na odgovornost proizvajalca ali uvoznika v skladu s podatkovno shemo, ki je na voljo na navedenem portalu. V odredbi ministrov, pristojnih za okolje in gospodarstvo, se po potrebi določijo tehnične ureditve za izvajanje podatkovne sheme. </w:t>
      </w:r>
      <w:r>
        <w:rPr>
          <w:rFonts w:ascii="Times New Roman" w:hAnsi="Times New Roman"/>
          <w:sz w:val="24"/>
        </w:rPr>
        <w:br/>
        <w:t xml:space="preserve"> Ti podatki se lahko ponovno uporabijo pod pogoji iz naslova II knjige III kodeksa o odnosih med javnostjo in upravo ter pod pogoji odprte licence iz točke 1 oddelka I člena D. 323-2-1 navedenega zakonika. </w:t>
      </w:r>
      <w:r>
        <w:rPr>
          <w:rFonts w:ascii="Times New Roman" w:hAnsi="Times New Roman"/>
          <w:sz w:val="24"/>
        </w:rPr>
        <w:br/>
        <w:t xml:space="preserve"> Če je izračun ocene indeksa trajnosti za model posodobljen, se ti podatki posodobijo v obdobju, ki ni daljše od enega meseca. </w:t>
      </w:r>
    </w:p>
    <w:p w14:paraId="763FC439"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541-220.</w:t>
      </w:r>
      <w:r>
        <w:rPr>
          <w:rFonts w:ascii="Times New Roman" w:hAnsi="Times New Roman"/>
          <w:sz w:val="24"/>
        </w:rPr>
        <w:br/>
        <w:t xml:space="preserve">I. Kadar je oprema naprodaj v trgovini, prodajalec na vsaki opremi, ki se prodaja, ali v neposredni bližini v skladu s pogoji in oznakami, določenimi v odredbi iz oddelka I člena R. 541-218, na viden, čitljiv in enostavno dostopen način navede indeks trajnosti. </w:t>
      </w:r>
      <w:r>
        <w:rPr>
          <w:rFonts w:ascii="Times New Roman" w:hAnsi="Times New Roman"/>
          <w:sz w:val="24"/>
        </w:rPr>
        <w:br/>
        <w:t xml:space="preserve"> II. Če je oprema naprodaj na daljavo, prodajalec navede indeks trajnosti na viden, čitljiv in enostavno dostopen način v predstavitvi opreme in na vseh spletnih straneh, kjer se lahko opravi nakup opreme, blizu navedbe njene cene, na način in z oznakami, določenimi v odredbi iz oddelka I člena R. 541-218. Ta obveznost ne velja za strani s povzetkom naročila in plačila. </w:t>
      </w:r>
      <w:r>
        <w:rPr>
          <w:rFonts w:ascii="Times New Roman" w:hAnsi="Times New Roman"/>
          <w:sz w:val="24"/>
        </w:rPr>
        <w:br/>
        <w:t xml:space="preserve"> III. Prodajalec da potrošnikom na voljo tudi preglednico iz točke 2 oddelka II člena R. 541-218, in sicer po katerem koli ustreznem postopku. Če je oprema naprodaj v trgovini, je na polici prikaz, ki potrošnika obvešča o preglednici in možnosti dostopa do nje. Na zahtevo stranke mora biti kopija izdana v papirni ali elektronski obliki po izbiri stranke. Če je oprema naprodaj na spletu, je ta preglednica dostopna neposredno na spletnih straneh, na katerih je prikazan indeks trajnosti. </w:t>
      </w:r>
    </w:p>
    <w:p w14:paraId="0757B42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541-221.</w:t>
      </w:r>
      <w:r>
        <w:rPr>
          <w:rFonts w:ascii="Times New Roman" w:hAnsi="Times New Roman"/>
          <w:sz w:val="24"/>
        </w:rPr>
        <w:br/>
        <w:t xml:space="preserve">I. Indeks trajnosti se izračuna na podlagi naslednjih meril in parametrov: </w:t>
      </w:r>
      <w:r>
        <w:rPr>
          <w:rFonts w:ascii="Times New Roman" w:hAnsi="Times New Roman"/>
          <w:sz w:val="24"/>
        </w:rPr>
        <w:br/>
        <w:t xml:space="preserve">1. ocene popravljivosti opreme na lestvici od 0 do 10, pri čemer se upoštevajo zlasti dostopnost tehnične dokumentacije, enostavnost razstavljanja, razpoložljivost in cene </w:t>
      </w:r>
      <w:r>
        <w:rPr>
          <w:rFonts w:ascii="Times New Roman" w:hAnsi="Times New Roman"/>
          <w:sz w:val="24"/>
        </w:rPr>
        <w:lastRenderedPageBreak/>
        <w:t xml:space="preserve">rezervnih delov; </w:t>
      </w:r>
      <w:r>
        <w:rPr>
          <w:rFonts w:ascii="Times New Roman" w:hAnsi="Times New Roman"/>
          <w:sz w:val="24"/>
        </w:rPr>
        <w:br/>
        <w:t xml:space="preserve">2. ocene zanesljivosti opreme na lestvici od 0 do 10, pri čemer se med drugim upoštevajo odpornost proti obremenitvi in obrabi, enostavnost vzdrževanja in servisiranja ter obstoj tržne garancije in postopka kakovosti; </w:t>
      </w:r>
      <w:r>
        <w:rPr>
          <w:rFonts w:ascii="Times New Roman" w:hAnsi="Times New Roman"/>
          <w:sz w:val="24"/>
        </w:rPr>
        <w:br/>
        <w:t xml:space="preserve">3. po potrebi ocena na lestvici od 0 do 10 v zvezi s posodobitvami programske in strojne opreme navedene opreme. </w:t>
      </w:r>
      <w:r>
        <w:rPr>
          <w:rFonts w:ascii="Times New Roman" w:hAnsi="Times New Roman"/>
          <w:sz w:val="24"/>
        </w:rPr>
        <w:br/>
        <w:t xml:space="preserve"> Indeks trajnosti se izračuna na podlagi ocen, navedenih v točkah 1 in 2 ter po potrebi v točki 3. Izražen je kot globalna ocena na lestvici od 0 do 10. </w:t>
      </w:r>
      <w:r>
        <w:rPr>
          <w:rFonts w:ascii="Times New Roman" w:hAnsi="Times New Roman"/>
          <w:sz w:val="24"/>
        </w:rPr>
        <w:br/>
        <w:t xml:space="preserve"> II. Za vsako zadevno kategorijo opreme se v odredbi ministrov za okolje in gospodarstvo določijo vsa upoštevana merila in podmerila ter metode izračuna indeksa. </w:t>
      </w:r>
      <w:r>
        <w:rPr>
          <w:rFonts w:ascii="Times New Roman" w:hAnsi="Times New Roman"/>
          <w:sz w:val="24"/>
        </w:rPr>
        <w:br/>
        <w:t xml:space="preserve"> III. Odredba iz oddelka I člena R. 541-218 lahko določa, da se lahko nekatera merila ali podmerila v zvezi z zanesljivostjo opreme določijo na enem samem modelu za niz modelov, ki se lahko štejejo za enakovredne.“</w:t>
      </w:r>
    </w:p>
    <w:p w14:paraId="4AA5D504"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2</w:t>
      </w:r>
    </w:p>
    <w:p w14:paraId="56E9C66E"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Člen R. 541-211 okoljskega zakonika se nadomesti z naslednjim: </w:t>
      </w:r>
    </w:p>
    <w:p w14:paraId="616E4A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541-211. Za namene tega pododdelka se uporabljajo opredelitve pojmov iz točk 1 do 8 člena R. 541-217.“</w:t>
      </w:r>
    </w:p>
    <w:p w14:paraId="5F3A14FC"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3</w:t>
      </w:r>
    </w:p>
    <w:p w14:paraId="5244038D"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Pododdelki 2, 3 in 4 oddelka 9 poglavja I naslova IV knjige V regulativnega dela okoljskega zakonika se preštevilčijo v pododdelke 3, 4 in 5 istega oddelka. </w:t>
      </w:r>
      <w:r>
        <w:rPr>
          <w:rFonts w:ascii="Times New Roman" w:hAnsi="Times New Roman"/>
          <w:sz w:val="24"/>
        </w:rPr>
        <w:br/>
        <w:t xml:space="preserve">Členi D. 541-215 do D. 541-219 okoljskega zakonika se preštevilčijo v člene D. 541-222 do D. 541-226 navedenega zakonika, členi R. 541-220 do R. 541-223 okoljskega zakonika se preštevilčijo v člene R. 541-227 do R. 541-230 navedenega zakonika ter členi D. 541-225 do D. 541-232-1 okoljskega zakonika se preštevilčijo v člene D. 541-231 do D. 541-239 navedenega zakonika. </w:t>
      </w:r>
      <w:r>
        <w:rPr>
          <w:rFonts w:ascii="Times New Roman" w:hAnsi="Times New Roman"/>
          <w:sz w:val="24"/>
        </w:rPr>
        <w:br/>
        <w:t>V veljavnih predpisih se ustrezno spremenijo sklicevanja na določbe členov D. 541-215 do D. 541-232-1 okoljskega zakonika.</w:t>
      </w:r>
    </w:p>
    <w:p w14:paraId="164929AB"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4</w:t>
      </w:r>
    </w:p>
    <w:p w14:paraId="0FD038C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Za izvajanje te uredbe, ki bo objavljena v Uradnem listu Francoske republike, sta odgovorna minister za gospodarstvo, finance ter industrijsko in digitalno suverenost ter minister za ekološki prehod in teritorialno kohezijo.</w:t>
      </w:r>
    </w:p>
    <w:p w14:paraId="421DD6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Dne 5. aprila 2024.</w:t>
      </w:r>
    </w:p>
    <w:p w14:paraId="0DCDC5CA"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Gabriel Attal</w:t>
      </w:r>
      <w:r>
        <w:rPr>
          <w:rFonts w:ascii="Times New Roman" w:hAnsi="Times New Roman"/>
          <w:sz w:val="24"/>
        </w:rPr>
        <w:br/>
        <w:t>za predsednika vlade:</w:t>
      </w:r>
    </w:p>
    <w:p w14:paraId="2A297E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minister za ekološki prehod in teritorialno kohezijo</w:t>
      </w:r>
      <w:r>
        <w:rPr>
          <w:rFonts w:ascii="Times New Roman" w:hAnsi="Times New Roman"/>
          <w:sz w:val="24"/>
        </w:rPr>
        <w:br/>
        <w:t>Christophe Béchu</w:t>
      </w:r>
    </w:p>
    <w:p w14:paraId="14F9C159"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 za gospodarstvo, finance ter industrijsko in digitalno suverenost</w:t>
      </w:r>
      <w:r>
        <w:rPr>
          <w:rFonts w:ascii="Times New Roman" w:hAnsi="Times New Roman"/>
          <w:sz w:val="24"/>
        </w:rPr>
        <w:br/>
        <w:t>Bruno Le Maire</w:t>
      </w:r>
    </w:p>
    <w:p w14:paraId="4C7B3C76" w14:textId="77777777" w:rsidR="0023656E" w:rsidRDefault="0023656E"/>
    <w:sectPr w:rsidR="00236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E"/>
    <w:rsid w:val="0023656E"/>
    <w:rsid w:val="00366729"/>
    <w:rsid w:val="00762D65"/>
    <w:rsid w:val="007B3CEE"/>
    <w:rsid w:val="00956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403D"/>
  <w15:chartTrackingRefBased/>
  <w15:docId w15:val="{FD5B4176-1E84-4468-A5A1-BF138CC1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7B3CEE"/>
    <w:rPr>
      <w:color w:val="0563C1" w:themeColor="hyperlink"/>
      <w:u w:val="single"/>
    </w:rPr>
  </w:style>
  <w:style w:type="character" w:styleId="UnresolvedMention">
    <w:name w:val="Unresolved Mention"/>
    <w:basedOn w:val="DefaultParagraphFont"/>
    <w:uiPriority w:val="99"/>
    <w:semiHidden/>
    <w:unhideWhenUsed/>
    <w:rsid w:val="007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092">
      <w:bodyDiv w:val="1"/>
      <w:marLeft w:val="0"/>
      <w:marRight w:val="0"/>
      <w:marTop w:val="0"/>
      <w:marBottom w:val="0"/>
      <w:divBdr>
        <w:top w:val="none" w:sz="0" w:space="0" w:color="auto"/>
        <w:left w:val="none" w:sz="0" w:space="0" w:color="auto"/>
        <w:bottom w:val="none" w:sz="0" w:space="0" w:color="auto"/>
        <w:right w:val="none" w:sz="0" w:space="0" w:color="auto"/>
      </w:divBdr>
      <w:divsChild>
        <w:div w:id="104255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eli/decret/2024/4/5/2024-316/jo/texte" TargetMode="External"/><Relationship Id="rId4" Type="http://schemas.openxmlformats.org/officeDocument/2006/relationships/hyperlink" Target="https://www.legifrance.gouv.fr/eli/decret/2024/4/5/TRED2329205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8933</Characters>
  <Application>Microsoft Office Word</Application>
  <DocSecurity>0</DocSecurity>
  <Lines>178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2024-05-06T08:45:00Z</dcterms:created>
  <dcterms:modified xsi:type="dcterms:W3CDTF">2024-05-06T08:45:00Z</dcterms:modified>
</cp:coreProperties>
</file>