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Regeringsdekret nr. 559/2023 af 14. december 2023 om</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aktiviteter til forebyggelse af produktion af bionedbrydeligt affald, detaljerede regler for affaldshåndteringsaktiviteter i forbindelse med bionedbrydeligt affald og regler for klassificering af kompost fremstillet af bioaffald</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henhold til den tilladelse, der er givet ved afsnit 88, stk. 1, nr. 28 og 29, i lov CLXXXV af 2012 om affald, og for så vidt angår afsnit 20 på grundlag af den tilladelse, der er givet i henhold til afsnit 31, stk. 1, litra a), i lov CXXX af 2010 om lovgivning, og som handler inden for rammerne af de opgaver, der er fastsat i grundlovens artikel 15, stk. 1, fastsætter regeringen følgende:</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Anvendelsesområde</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 xml:space="preserve"> (1) Denne regulering vedrører</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forebyggelse af produktion af bionedbrydeligt affald</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bionedbrydeligt affald</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stabiliseret affald</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blandet affald</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fermenteringsrest</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hjemmekompostering og lokal kompostering</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kompostering på stedet</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komposterbar bioplast</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forarbejdningsstøtte til kompostering på stedet</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stabilisering</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biogasproduktion</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forarbejdningsstøtte til biogasproduktion og</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 affaldsfasens ophørs for bionedbrydeligt affald.</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Denne regulering finder ikke anvendelse på</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biologisk bortskaffelse af kontaminerede geologiske formationer eller udgravet forurenet jord i en rensningsproces</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rester i jordoverfladen og i jorden af afgrøder, der dannes under landbrugs- og skovbrugsaktiviteter</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biogas, der naturligt dannes på deponeringsanlæg, og</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affald fra madolie og fedt, der er omfattet af ordningen for udvidet producentansvar.</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Definitioner</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Afsnit 2</w:t>
      </w:r>
      <w:r>
        <w:rPr>
          <w:rFonts w:ascii="Times New Roman" w:hAnsi="Times New Roman"/>
          <w:sz w:val="24"/>
        </w:rPr>
        <w:t xml:space="preserve">  I dette dekret forstås ved:</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Animalske biprodukter:</w:t>
      </w:r>
      <w:r>
        <w:rPr>
          <w:rFonts w:ascii="Times New Roman" w:hAnsi="Times New Roman"/>
          <w:sz w:val="24"/>
        </w:rPr>
        <w:t xml:space="preserve"> Animalske biprodukter som defineret i artikel 3, stk. 1, i Europa-Parlamentets og Rådets forordning (EF) nr. 1069/2009 af 21. oktober 2009 om sundhedsbestemmelser for animalske biprodukter og afledte produkter, som ikke er bestemt til konsum, og om ophævelse af forordning (EF) nr. 1774/2002 (i det følgende benævnt: forordningen om animalske biprodukter).</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iCs/>
          <w:sz w:val="24"/>
        </w:rPr>
        <w:t>Afledte produkter</w:t>
      </w:r>
      <w:r>
        <w:rPr>
          <w:rFonts w:ascii="Times New Roman" w:hAnsi="Times New Roman"/>
          <w:sz w:val="24"/>
        </w:rPr>
        <w:t>: Afledte produkter af animalske biprodukter som defineret i artikel 3, stk. 2, i Europa-Parlamentets og Rådets forordning (EF) nr. 1069/2009 af 21. oktober 2009 om sundhedsbestemmelser for animalske biprodukter og afledte produkter, som ikke er bestemt til konsum, og om ophævelse af forordning (EF) nr. 1774/2002 (i det følgende benævnt: forordningen om animalske biprodukter).</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Biogas:</w:t>
      </w:r>
      <w:r>
        <w:rPr>
          <w:rFonts w:ascii="Times New Roman" w:hAnsi="Times New Roman"/>
          <w:sz w:val="24"/>
        </w:rPr>
        <w:t xml:space="preserve"> En blanding af metan, kuldioxid og spor af gasser, der dannes under den anaerobe nedbrydning af et bionedbrydeligt stof.</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Biogasproduktion:</w:t>
      </w:r>
      <w:r>
        <w:rPr>
          <w:rFonts w:ascii="Times New Roman" w:hAnsi="Times New Roman"/>
          <w:sz w:val="24"/>
        </w:rPr>
        <w:t xml:space="preserve"> En nyttiggørelsesoperation, hvor det bionedbrydelige materiale eller affald nedbrydes under kontrollerede forhold i anaerobt miljø med anvendelse af mikroorganismer, hvilket resulterer i dannelse af biogas og fermenteringsrester som følge af nedbrydning.</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Biologisk behandling:</w:t>
      </w:r>
      <w:r>
        <w:rPr>
          <w:rFonts w:ascii="Times New Roman" w:hAnsi="Times New Roman"/>
          <w:sz w:val="24"/>
        </w:rPr>
        <w:t xml:space="preserve"> Biogasproduktion, forbehandling af grønt affald, kompostering og stabilisering.</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Forbehandlingsområde:</w:t>
      </w:r>
      <w:r>
        <w:rPr>
          <w:rFonts w:ascii="Times New Roman" w:hAnsi="Times New Roman"/>
          <w:sz w:val="24"/>
        </w:rPr>
        <w:t xml:space="preserve"> Et sted eller et område med teknisk beskyttelse, som er en del af det anlæg, der anvendes til forberedelse af den biologiske behandling, og hvor behandlingen af bionedbrydeligt affald påbegyndes.</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Fermenteringsrest:</w:t>
      </w:r>
      <w:r>
        <w:rPr>
          <w:rFonts w:ascii="Times New Roman" w:hAnsi="Times New Roman"/>
          <w:sz w:val="24"/>
        </w:rPr>
        <w:t xml:space="preserve"> Fast eller flydende affald, der opstår under biogasproduktionen.</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Madaffald:</w:t>
      </w:r>
      <w:r>
        <w:rPr>
          <w:rFonts w:ascii="Times New Roman" w:hAnsi="Times New Roman"/>
          <w:sz w:val="24"/>
        </w:rPr>
        <w:t xml:space="preserve"> Køkken- og madaffald som defineret i bilag 1 til Kommissionens forordning (EU) nr. 142/2011 om gennemførelse af Europa-Parlamentets og Rådets forordning (EF) nr. 1069/2009 om sundhedsbestemmelser for animalske biprodukter og afledte produkter, som ikke </w:t>
      </w:r>
      <w:r>
        <w:rPr>
          <w:rFonts w:ascii="Times New Roman" w:hAnsi="Times New Roman"/>
          <w:sz w:val="24"/>
        </w:rPr>
        <w:lastRenderedPageBreak/>
        <w:t>er bestemt til konsum, og om gennemførelse af Rådets direktiv 97/78/EF for så vidt angår visse prøver og genstande, der er fritaget for veterinærkontrol ved grænsen som omhandlet i nævnte direktiv, og fødevarer — jf. artikel 2 i Europa-Parlamentets og Rådets forordning (EF) nr. 178/2002 af 28. januar 2002 om generelle principper og krav i fødevarelovgivningen, om oprettelse af Den Europæiske Fødevaresikkerhedsautoritet og om procedurer vedrørende fødevaresikkerhed — som er blevet affald.</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Husholdningskompostering:</w:t>
      </w:r>
      <w:r>
        <w:rPr>
          <w:rFonts w:ascii="Times New Roman" w:hAnsi="Times New Roman"/>
          <w:sz w:val="24"/>
        </w:rPr>
        <w:t xml:space="preserve"> Forarbejdning til eget brug af grønt affald og grønt køkkenaffald eller andet organisk materiale af vegetabilsk oprindelse, i den faste ejendom, hvor det produceres, eller i et andet område med husholdningskompostering med henblik på at tilføre næringsstoffer til planterne, hvorved forarbejdningen resulterer i dannelsen af hjemmekompost.</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Hygiejnisering:</w:t>
      </w:r>
      <w:r>
        <w:rPr>
          <w:rFonts w:ascii="Times New Roman" w:hAnsi="Times New Roman"/>
          <w:sz w:val="24"/>
        </w:rPr>
        <w:t xml:space="preserve"> Minimering af den vegetative form af infektiøse mikrober i bionedbrydeligt affald for at udelukke infektion.</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w:t>
      </w:r>
      <w:r>
        <w:rPr>
          <w:rFonts w:ascii="Times New Roman" w:hAnsi="Times New Roman"/>
          <w:sz w:val="24"/>
        </w:rPr>
        <w:t xml:space="preserve"> Affald i henhold til bilag 1 samt humuslignende materiale med højt indhold af organisk materiale som defineret i særskilt lovgivning, der er fremstillet af grønt husholdningsaffald og grønt køkkenaffald, med anvendelse af forarbejdningsstøtte ved husholdningskompostering, lokal kompostering eller kompostering på stedet, og som er ophørt med at være affald.</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Komposteringsenhed:</w:t>
      </w:r>
      <w:r>
        <w:rPr>
          <w:rFonts w:ascii="Times New Roman" w:hAnsi="Times New Roman"/>
          <w:sz w:val="24"/>
        </w:rPr>
        <w:t xml:space="preserve"> Et parti bionedbrydeligt affald og forarbejdningsstøtte, der behandles ensartet i overensstemmelse med den anvendte teknologi efter forbehandlingsoperation.</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Kompostparti:</w:t>
      </w:r>
      <w:r>
        <w:rPr>
          <w:rFonts w:ascii="Times New Roman" w:hAnsi="Times New Roman"/>
          <w:sz w:val="24"/>
        </w:rPr>
        <w:t xml:space="preserve"> Kompost fra samme komposteringsenhed.</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Bionedbrydeligt affald, der er omfattet af en koncession:</w:t>
      </w:r>
      <w:r>
        <w:rPr>
          <w:rFonts w:ascii="Times New Roman" w:hAnsi="Times New Roman"/>
          <w:sz w:val="24"/>
        </w:rPr>
        <w:t xml:space="preserve"> Grønt vegetabilsk affald, der er bionedbrydeligt, kommer fra en have eller en park og er omfattet af en koncession i henhold til affaldsloven, samt køkkengrønt og madaffald, der behandles som affald svarende til husholdningsaffald, der produceres af en husstand eller (ikke-erhvervsmæssig enhed) bruger af fast ejendom, eller grønt køkkenaffald og madaffald, der produceres af en (økonomisk organisation) ejer af fast ejendom, bortset fra en operatør, i overensstemmelse med ministerielt dekret om dyresundhedsbestemmelser for animalske biprodukter, som ikke er bestemt til konsum.</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Køkkenmadaffald:</w:t>
      </w:r>
      <w:r>
        <w:rPr>
          <w:rFonts w:ascii="Times New Roman" w:hAnsi="Times New Roman"/>
          <w:sz w:val="24"/>
        </w:rPr>
        <w:t xml:space="preserve"> Køkkenfødevarer og fødevarer bestemt til konsum i husholdninger, som er blevet til affald, og som ikke betragtes som grønt køkkenaffald.</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Grønt køkkenaffald:</w:t>
      </w:r>
      <w:r>
        <w:rPr>
          <w:rFonts w:ascii="Times New Roman" w:hAnsi="Times New Roman"/>
          <w:sz w:val="24"/>
        </w:rPr>
        <w:t xml:space="preserve"> Vegetabilsk køkkenaffald fra husholdninger betragtes som grønt køkkenaffald, hvor køkkenaffaldet indeholder rå vegetabilske rester og frugtrester, kaffegrums (undtagen filtre, kapsler og andre emballagematerialer), teblade (uden poser og andet emballagemateriale), krydderier, urter og æggeskaller.</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Lokal indsamling:</w:t>
      </w:r>
      <w:r>
        <w:rPr>
          <w:rFonts w:ascii="Times New Roman" w:hAnsi="Times New Roman"/>
          <w:sz w:val="24"/>
        </w:rPr>
        <w:t xml:space="preserve"> Særskilt indsamling af grønt affald og grønt køkkenaffald på et sted tæt på beboelsesejendomme ved hjælp af et fællesskab af brugere af fast ejendom (fysiske personer), der bor i en række beboelsesejendomme</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Lokal kompostering:</w:t>
      </w:r>
      <w:r>
        <w:rPr>
          <w:rFonts w:ascii="Times New Roman" w:hAnsi="Times New Roman"/>
          <w:sz w:val="24"/>
        </w:rPr>
        <w:t xml:space="preserve"> Hjemmekompostering, hvor forbehandling af kompostering, kompostering og brug af kompost udføres i fællesskab af ejerlejligheder, andelsboligforeninger eller små lokalsamfund.</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19. </w:t>
      </w:r>
      <w:r>
        <w:rPr>
          <w:rFonts w:ascii="Times New Roman" w:hAnsi="Times New Roman"/>
          <w:i/>
          <w:sz w:val="24"/>
        </w:rPr>
        <w:t>Respirationsintensitet:</w:t>
      </w:r>
      <w:r>
        <w:rPr>
          <w:rFonts w:ascii="Times New Roman" w:hAnsi="Times New Roman"/>
          <w:sz w:val="24"/>
        </w:rPr>
        <w:t xml:space="preserve"> Iltforbrug af indholdet af organisk materiale i bionedbrydeligt affald [mg O</w:t>
      </w:r>
      <w:r>
        <w:rPr>
          <w:rFonts w:ascii="Times New Roman" w:hAnsi="Times New Roman"/>
          <w:sz w:val="24"/>
          <w:vertAlign w:val="subscript"/>
        </w:rPr>
        <w:t>2</w:t>
      </w:r>
      <w:r>
        <w:rPr>
          <w:rFonts w:ascii="Times New Roman" w:hAnsi="Times New Roman"/>
          <w:sz w:val="24"/>
        </w:rPr>
        <w:t>/g tørstof].</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Certificeret produktkompost:</w:t>
      </w:r>
      <w:r>
        <w:rPr>
          <w:rFonts w:ascii="Times New Roman" w:hAnsi="Times New Roman"/>
          <w:sz w:val="24"/>
        </w:rPr>
        <w:t xml:space="preserve"> Affald i henhold til bilag 1 samt gødnings- og jordforbedringsprodukter, der ikke længere har affaldsstatus, og som er egnede til landbrugsmæssig anvendelse som fastsat i tilladelsen. Sådanne humuslignende gødnings- og jordforbedringsmidler fremstilles via kompostering på stedet ved hjælp af forarbejdningsstøtte, de er rige på plantenæringsstoffer med et højt indhold af organisk materiale og er godkendt til markedsføring i henhold til ministerielt dekret om godkendelse, oplagring, markedsføring og anvendelse af udbyttefremmende produkter</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Åbent komposteringssystem:</w:t>
      </w:r>
      <w:r>
        <w:rPr>
          <w:rFonts w:ascii="Times New Roman" w:hAnsi="Times New Roman"/>
          <w:sz w:val="24"/>
        </w:rPr>
        <w:t xml:space="preserve"> Komposteringsteknologi, der anvendes på komposteringsstedet, hvorved komposteringsenheden er i direkte kontakt med luft, og komposteringsenheden ikke er dækket af tekniske eller arkitektoniske elementer.</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Stabilisering:</w:t>
      </w:r>
      <w:r>
        <w:rPr>
          <w:rFonts w:ascii="Times New Roman" w:hAnsi="Times New Roman"/>
          <w:sz w:val="24"/>
        </w:rPr>
        <w:t xml:space="preserve"> En forbehandlingsoperation, hvor bionedbrydeligheden af blandet affald (indeholdende bionedbrydeligt affald) reduceres ved de nødvendige kombinationer af mekaniske og biologiske processer, hvilket resulterer i en reduktion af respirationsintensiteten og skabelse af stabiliseret affald, der opfylder hygiejnebetingelserne, og hvor respirationsintensiteten (AT4) er faldet under 10 mg O</w:t>
      </w:r>
      <w:r>
        <w:rPr>
          <w:rFonts w:ascii="Times New Roman" w:hAnsi="Times New Roman"/>
          <w:sz w:val="24"/>
          <w:vertAlign w:val="subscript"/>
        </w:rPr>
        <w:t>2</w:t>
      </w:r>
      <w:r>
        <w:rPr>
          <w:rFonts w:ascii="Times New Roman" w:hAnsi="Times New Roman"/>
          <w:sz w:val="24"/>
        </w:rPr>
        <w:t>/g tørstof.</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Stabiliseret affald:</w:t>
      </w:r>
      <w:r>
        <w:rPr>
          <w:rFonts w:ascii="Times New Roman" w:hAnsi="Times New Roman"/>
          <w:sz w:val="24"/>
        </w:rPr>
        <w:t xml:space="preserve"> Stof afledt af mekanisk-biologisk behandling af bioaffald, der er uegnet til kompostering eller anaerob bionedbrydning, hvis respirationsintensitet (AT4) efter fire dage efter stabilisering falder til under 10 mg O</w:t>
      </w:r>
      <w:r>
        <w:rPr>
          <w:rFonts w:ascii="Times New Roman" w:hAnsi="Times New Roman"/>
          <w:sz w:val="24"/>
          <w:vertAlign w:val="subscript"/>
        </w:rPr>
        <w:t>2</w:t>
      </w:r>
      <w:r>
        <w:rPr>
          <w:rFonts w:ascii="Times New Roman" w:hAnsi="Times New Roman"/>
          <w:sz w:val="24"/>
        </w:rPr>
        <w:t>/g, og dynamisk respirationsintensitet er mindre end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Kompostering på stedet:</w:t>
      </w:r>
      <w:r>
        <w:rPr>
          <w:rFonts w:ascii="Times New Roman" w:hAnsi="Times New Roman"/>
          <w:sz w:val="24"/>
        </w:rPr>
        <w:t xml:space="preserve"> En nyttiggørelsesoperation på et komposteringssted, hvor bionedbrydeligt affald og tilsat forarbejdningsstøtte nedbrydes ved autotermiske og termofile biologiske processer ved hjælp af mikroorganismer og andre levende organismer under tilstedeværelse af ilt, og som følge heraf dannes en kompost med biologisk stabile organiske og uorganiske komponenter og patogener, hvis koncentration i komposten ikke overstiger de værdier, der er angivet i bilag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 der er egnet til kompostering på stedet:</w:t>
      </w:r>
      <w:r>
        <w:rPr>
          <w:rFonts w:ascii="Times New Roman" w:hAnsi="Times New Roman"/>
          <w:sz w:val="24"/>
        </w:rPr>
        <w:t xml:space="preserve"> Plastaffald, der er mærket eller certificeret til bionedbrydning, og som er i overensstemmelse med MSZ EN 13432-standarden eller en tilsvarende teknisk løsning, og som ud over kompostering på stedet kan anvendes til biogasproduktion, hvis det indsamles sammen med køkkenmadaffald.</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Lukket komposteringssystem:</w:t>
      </w:r>
      <w:r>
        <w:rPr>
          <w:rFonts w:ascii="Times New Roman" w:hAnsi="Times New Roman"/>
          <w:sz w:val="24"/>
        </w:rPr>
        <w:t xml:space="preserve"> Komposteringsteknologi, der anvendes på komposteringsstedet, hvor komposteringsprocessen udføres i en lukket enhed med brug af tekniske eller arkitektoniske elementer.</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Regler om forebyggelse af bionedbrydeligt affald</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w:t>
      </w:r>
      <w:r>
        <w:rPr>
          <w:rFonts w:ascii="Times New Roman" w:hAnsi="Times New Roman"/>
          <w:sz w:val="24"/>
        </w:rPr>
        <w:t xml:space="preserve"> (1) Hvor det er teknisk muligt, økonomisk velegnet og økonomisk proportionalt skal plantebaseret organisk materiale være genstand for hjemmekompostering eller lokal kompostering.</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Kompost i overensstemmelse med bestemmelserne i dette dekret kan tages i betragtning for at opfylde målværdien i henhold til Kommissionens gennemførelsesafgørelse (EU) 2019/1004 af 7. juni 2019 om fastsættelse af regler for beregningen, verifikationen og rapportering af data </w:t>
      </w:r>
      <w:r>
        <w:rPr>
          <w:rFonts w:ascii="Times New Roman" w:hAnsi="Times New Roman"/>
          <w:sz w:val="24"/>
        </w:rPr>
        <w:lastRenderedPageBreak/>
        <w:t>om affald i overensstemmelse med Europa-Parlamentets og Rådets direktiv 2008/98/EF og om ophævelse af Kommissionens gennemførelsesafgørelse C(2012) 2384.</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Koncessionsselskabet indsamler mindst hvert femte år data om mængden og anvendelsen af kompost, der produceres via hjemmekompostering eller lokal kompostering.</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Bevidstgørelse og uddannelse blandt befolkningen om forebyggelse af bionedbrydeligt affald vil blive gennemført ved hjælp af det nationale program for forebyggelse af madaffald. Dette program, der drives af det nationale kontor for fødevarekædesikkerhed (NÉBIH), vil bidrage til sagen med en række foredrag landsdækkende under titlen "Maradék nélkül" ("Uden affald") for at give Ungarn mulighed for at nå mål nr. 12.3 i FN's mål for bæredygtig udvikling inden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Regler om særskilt indsamling af bionedbrydeligt affald</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 xml:space="preserve"> (1) Bionedbrydeligt affald indsamles af affaldsindehaveren på frivillig basis på det sted, hvor affaldsdannelsen finder sted, i en affaldsindsamlingsbeholder, der udelukkende er beregnet til dette formål og på en måde, der ikke bringer miljøet i fare.</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Koncessionsvirksomheden skal inden for rammerne af sine aktiviteter, jf. stk. 9, forsyne affaldsindehaveren med en særlig beholder til indsamling af grønt køkkenaffald og køkkenmadaffald.</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For transport og overvågning af køkkenaffald finder de relevante bestemmelser i det ministerielle dekret om dyresundhedsbestemmelser for animalske biprodukter, som ikke er bestemt til konsum, anvendelse, hvis forarbejdningen finder sted i et biogas- eller komposteringsanlæg. For så vidt angår bionedbrydeligt affald, der er omfattet af en koncession, finder kravene til udstedelse af et handelsdokument som fastsat i det ministerielle dekret om dyresundhedsbestemmelser for animalske biprodukter, som ikke er bestemt til konsum, ikke anvendelse på modtagelse og godkendelse fra husholdninger.</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Det er forbudt at anvende særskilt indsamlet madaffald fra husholdninger til fodringsformål, og licenstageren har ikke ret til at anvende sådant affald hverken direkte eller indirekte.</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Indsamling, transport og overvågning af madaffald fra økonomiske organisationer, når det forarbejdes i et biogas- og komposteringsanlæg, skal ske i overensstemmelse med de relevante bestemmelser i det ministerielle dekret om dyresundhedsbestemmelser for animalske biprodukter, som ikke er bestemt til konsum.</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Metoden og hyppigheden af modtagelse, indsamling og transport af bionedbrydeligt affald, der er omfattet af en koncession, fastsættes af koncessionsselskabet.</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Indsamling og transport af bionedbrydeligt affald, der er omfattet af koncessionen, kan udføres med en affaldshåndteringstilladelse.</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Affaldsindehaveren skal sikre, at det bionedbrydelige affald, der leveres til koncessionsvirksomheden, ikke indeholder andet affald, herunder emballagemateriale og fremmed materiale.</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Koncessionsselskabet skal sikre betingelserne for særskilt indsamling i henhold til dette dekret, når det er teknisk og fagligt muligt. Koncessionsselskabet foretager primært dør-til-dør-indsamling, hvis det ikke medfører uforholdsmæssigt store økonomiske omkostninger. </w:t>
      </w:r>
      <w:r>
        <w:rPr>
          <w:rFonts w:ascii="Times New Roman" w:hAnsi="Times New Roman"/>
          <w:sz w:val="24"/>
        </w:rPr>
        <w:lastRenderedPageBreak/>
        <w:t>Koncessionsselskabet etablerer affaldsindsamlingssteder i en størrelse, der svarer til antallet af beboere, hvor dør-til-dør-indsamling ikke er tilgængelig.</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Uanset bestemmelserne i regeringsdekretet om reglerne for udformning og drift af visse affaldshåndteringsanlæg udpeger koncessionsselskabet det affaldsindsamlingsanlæg, der drives af koncessionsselskabet eller en koncessionsunderentreprenør, som et affaldsindsamlingssted.</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Afsnit 5</w:t>
      </w:r>
      <w:r>
        <w:rPr>
          <w:rFonts w:ascii="Times New Roman" w:hAnsi="Times New Roman"/>
          <w:sz w:val="24"/>
        </w:rPr>
        <w:t xml:space="preserve">  Bionedbrydeligt affald, der indeholder stoffer opført i bilag I og II til forordning (EU) 2019/1021 om persistente organiske miljøgifte, må ikke være genstand for kompostering og må ikke omdannes til fermenteringsrester.</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Regler om særskilt indsamling af grønt affald og grønt køkkenaffald på lokalt plan</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 xml:space="preserve">Afsnit 6 </w:t>
      </w:r>
      <w:r>
        <w:rPr>
          <w:rFonts w:ascii="Times New Roman" w:hAnsi="Times New Roman"/>
          <w:sz w:val="24"/>
        </w:rPr>
        <w:t xml:space="preserve"> Hvis grønt affald og grønt køkkenaffald ikke kan anvendes på anden måde som defineret i afsnit 8, skal særskilt indsamlet grønt affald og grønt køkkenaffald primært anvendes ved kompostering på stedet eller biogasproduktion, og skal som en sidste udvej anvendes ved energiudnyttelse i et biomassekraftværk.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 xml:space="preserve"> (1) Lokal indsamling kan foretages i et område, der er fastlagt af koncessionsselskabet, og som aftales med lokalsamfundet eller i et privat område, der vedligeholdes af boligfællesskabet, men kun på et bestemt sted inden for den faste ejendom.</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Der skal til stadighed sikres fri adgang til det lokale indsamlingssted, selv for handicappede.</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Lokal indsamling kan foretages uden en affaldshåndteringstilladelse.</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Grønt affald, der indeholder farlige komponenter på stedet for lokal indsamling, plast, der ikke er certificeret for bionedbrydelighed under hjemmekomposteringsforhold, og andet affald end grønt affald og grønt køkkenaffald må ikke deponeres.</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Ejeren af den faste ejendom eller en person, der i en skriftlig aftale er bemyndiget af lokalsamfundet eller boligfællesskabet, skal sørge for følgende:</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rengøring og vedligeholdelse af det lokale indsamlingssted og tilrådighedsstillelse af det nødvendige personale og de nødvendige materielle forhold, og</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installation på stedet af en informationstavle med angivelse af anvendelsesbetingelserne.</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Ejeren af den faste ejendom, der er involveret i indsamlingen, eller den person, der er bemyndiget af ejeren, skal underrette koncessionsselskabet om den lokale indsamlingsaktivitet lige på det tidspunkt, hvor placeringen af det lukkede område fastlægges, inden den lokale indsamling påbegyndes og efter dens ophør.</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Regler for hjemmekompostering, lokal kompostering og kompostering på stedet</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 xml:space="preserve"> (1) De fysiske, kemiske og biologiske krav til komposter til ikke-landbrugsmæssig anvendelse er specificeret i bilag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Ejeren af den faste ejendom, der anvendes til kompostering, er ansvarlig for gennemførelsen af opgaver vedrørende lokal kompostering og hjemmekompostering.</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Gennemførelsen af de komposteringsopgaver på lokalt niveau, der er omhandlet i stk. 2, skal forvaltes i lokalsamfundet gennem en person eller organisation, der er udpeget af lokalsamfundet eller gennem en person eller organisation, der er bemyndiget ved en skriftlig aftale med lokalsamfundet.</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Den person eller enhed, der er omhandlet i stk. 3, skal tage sig af</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rengøring og vedligeholdelse af indsamlingsstedet og tilrådighedsstillelse af det nødvendige personale og de nødvendige materielle forhold</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installation på stedet af informationstavlen med angivelse af anvendelsesbetingelserne</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anvendelse af fremstillet kompost</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oplysninger om mængden og anvendelsen af den producerede kompost, som skal leveres til koncessionsselskabet på den af koncessionsselskabet foreskrevne måde.</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Hjemmekompostering eller lokal kompostering kan ikke anvendes til behandling af animalske biprodukter og afledte produkter eller plast, der ikke er certificeret for bionedbrydelighed under hjemmekomposteringsforhold.</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Grønt affald, der indeholder farlige komponenter og affald, bortset fra grønt affald, må ikke anvendes til hjemmekompostering og lokal kompostering.</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 xml:space="preserve"> (1) Kompostering på stedet må kun foretages med en affaldshåndteringstilladelse til nyttiggørelse, og den skal udføres på et komposteringssted ved hjælp af en R3c-nyttiggørelsesoperation, der er specificeret i det ministerielle dekret, og som indeholder en liste over bortskaffelses- og nyttiggørelsesoperationer i forbindelse med affaldshåndtering.</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For kompostering på stedet af bionedbrydeligt affald, kan de typer affald og forarbejdningsstøtte, der er nævnt i bilag 1 samt de typer affald, der kan anvendes som forarbejdningsstøtte, anvendes.</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Spildevandsslam kan anvendes under kompostering på stedet, så længe kravene i regeringsdekretet om regler for landbrugsmæssig anvendelse og håndtering af spildevand og spildevandsslam overholdes, og der er udstedt en affaldshåndteringstilladelse i overensstemmelse med regeringsdekretet om registrering og officiel godkendelse af affaldshåndteringsaktiviteter.</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Komposterbar bioplast må kun underkastes behandling i forbindelse med kompostering på stedet.</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 xml:space="preserve"> (1) Tekniske regler for kompostering, stabilisering og biogasproduktion på stedet samt de tekniske og driftsmæssige betingelser, der er nødvendige for kompostering på stedet, er specificeret i bilag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Bionedbrydeligt affald, herunder bioplast, der kan behandles ved kompostering på stedet, skal opbevares adskilt fra alt andet affald og materiale i forbehandlingsområdet, indtil komposteringen påbegyndes.</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Forberedelsen til kompostering af bionedbrydeligt affald, herunder bioplast, der kan behandles via kompostering på stedet, bør påbegyndes i forbehandlingsområdet. Affaldet skal derefter overføres til komposteringsområdet for yderligere behandling.</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Kompostering på stedet i komposteringsområdet skal udføres</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 et åbent komposteringssystem,</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 et lukket komposteringssystem, eller</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i en kombination af enheder, der er i overensstemmelse med litra a) og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Bionedbrydeligt affald, herunder bioplast, der kan behandles via kompostering på stedet, skal anbringes i en komposteringsenhed i komposteringsområdet afhængigt af det valgte komposteringssystem.</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De data, der indsamles af fødevarekædens kontrolorgan (som foreskrevet i det ministerielle dekret om dyresundhedsbestemmelser for animalske biprodukter, som ikke er bestemt til konsum) om mængden af madaffald — der kan klassificeres som animalsk biprodukt, der overføres eller modtages til forarbejdning — kan ved kontrollen af opnåelse af målet tages i betragtning som forarbejdning for at nå genanvendelsesmålet.</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Stabiliseringsregler</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 xml:space="preserve"> (1) De affaldstyper og den forarbejdningsstøtte, der kan anvendes til biologisk behandling og stabilisering, samt de typer affald, der kan anvendes som forarbejdningsstøtte, er specificeret i bilag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Til stabilisering, er det kun det affald, der er anført i bilag 1, der kan anvendes, hvis biologiske behandling kan foretages med en affaldshåndteringstilladelse, med forbehold af de regler, der er fastsat i regeringsdekretet om registrering og officiel godkendelse af affaldshåndteringsaktiviteter.</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Stabiliseret affald fra stabilisering må kun anvendes til nyttiggørelses- eller bortskaffelsesoperationer som fastsat af affaldshåndteringsmyndigheden.</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Stabiliseringen skal ske i et område med en fast overfladebelægning.</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Under driften af et deponeringsanlæg kan stabiliseret affald anvendes som et dæklag, eller det kan anvendes til genopdyrkning af det til at fungere som et nivellerings- eller dæklag som en del af det øverste slutlag i overensstemmelse med ministerielt dekret om visse regler og betingelser vedrørende deponering af affald og deponeringsanlæg, hvorved stabiliseret affald kan anvendes i det omfang, der er beskrevet i retningslinjerne for teknisk beskyttelse og teknologi, under hensyntagen til de bedste tilgængelige metoder til forebyggelse og reduktion af miljøforurening som defineret i affaldshåndteringstilladelsen til bortskaffelse. Stabiliseret bioaffald må ikke anvendes i større grad til nyttiggørelsesformål under deponeringsanlæggets drift.</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Den mængde stabiliseret affald, der kan anvendes til genopdyrkning af et deponeringsanlæg, må ikke overstige 500 tons tørstof pr. hektar.</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(7) De tekniske betingelser, der er nødvendige for stabilisering, er specificeret i bilag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Regler for biogasproduktion</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 xml:space="preserve"> (1) Hvis bionedbrydeligt affald transporteres til et biogasanlæg, kan biogasproduktion med en affaldshåndteringstilladelse udføres ved hjælp af en R3-nyttiggørelsesoperation som defineret i det ministerielle dekret om bortskaffelses- og nyttiggørelsesoperationer i forbindelse med affaldshåndtering.</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Etablering, godkendelse og drift af et biogasanlæg, der også forarbejder animalske biprodukter, er underlagt ministerielt dekret om dyresundhedsbestemmelser for animalske biprodukter, som ikke er bestemt til konsum, artikel 24 i Europa-Parlamentets og Rådets forordning (EF) nr. 1069/2009 af 21. oktober 2009 om sundhedsbestemmelser for animalske biprodukter og afledte produkter, som ikke er bestemt til konsum, og om ophævelse af forordning (EF) nr. 1774/2002 (forordningen om animalske biprodukter) og bilag V til Kommissionens forordning (EU) nr. 142/2011 om gennemførelse af Europa-Parlamentets og Rådets forordning (EF) nr. 1069/2009 om sundhedsbestemmelser for animalske biprodukter og afledte produkter, som ikke er bestemt til konsum, og om gennemførelse af Rådets direktiv 97/78/EF for så vidt angår visse prøver og genstande, der er fritaget for veterinærkontrol ved grænsen i henhold til samme direktiv (i det følgende benævnt: Kommissionens forordning (EU) nr. 142/2011).</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Til produktion af biogas fra bionedbrydeligt affald: de affaldstyper, der er nævnt i bilag 1 herunder bioplast, der er egnet til kompostering på stedet, kan anvendes.</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Biogasproduktion fra bionedbrydeligt affald i et biogasanlæg kan udføres gennem en</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våd eller</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tør</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fermenteringsproces.</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De tekniske betingelser, der er nødvendige for biogasproduktion, er specificeret i bilag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De data, der indsamles af fødevarekædens kontrolorgan (som foreskrevet i det ministerielle dekret om dyresundhedsbestemmelser for animalske biprodukter, som ikke er bestemt til konsum) om mængden af madaffald — der kan klassificeres som animalsk biprodukt, der overføres eller modtages til forarbejdning — kan ved kontrollen af opnåelse af målet tages i betragtning som forarbejdning for at nå genanvendelsesmålet.</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Regler om affaldsfasens ophør</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 xml:space="preserve"> (1) I tilfælde af landbrugsmæssig anvendelse ophører affaldsstatus for bionedbrydeligt affald, hvis de kompost- og fermenteringsrester, der er fremstillet heraf, opfylder de specifikke krav, der er fastsat i</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ministerielt dekret om tilladelse, oplagring, markedsføring og anvendelse af udbyttefremmende stoffer, og i</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forordning (EF) 2019/1009 om fastsættelse af regler om tilgængeliggørelse på markedet af EU-gødningsprodukter.</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Ved ikke-landbrugsmæssige anvendelser ophører affaldsstatussen for bionedbrydeligt affald, hvis de kompost- og fermenteringsrester, der er fremstillet heraf, opfylder kravene i bilag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 (1) Kompost kan overdrages af operatøren af komposteringsanlæg, og fermenteringsrester kan overdrages af biogasanlægsoperatøren til en anden person til brug, hvis overholdelsen af bestemmelserne i afsnit 9, stk. 1, i lov CLXXXV af 2012 om affald, for så vidt angår affaldsfasens ophør, bekræftes af operatøren ved en overensstemmelseserklæring i henhold til bilag 4, medmindre komposten eller fermenteringsresten afleveres til videre behandling i affaldsstatus.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Overensstemmelseserklæringen udfærdiges pr. modtager og pr. transaktion på individuelt grundlag.</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Overensstemmelseserklæringen attesterer de deri indeholdte oplysninger, indtil den næste overensstemmelseserklæring er udfærdiget.</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To eksemplarer af overensstemmelseserklæringen udfærdiges af den i stk. 1 omhandlede operatør, som opbevarer det første eksemplar som en attest og udleverer duplikatet til brugeren ved afsendelsen eller videresender den på verificerbar måde.</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Overensstemmelseserklæringen skal opbevares af operatøren og brugeren i mindst fem år.</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 xml:space="preserve"> (1) I tilfælde af ikke-landbrugsmæssige anvendelser kontrolleres egnetheden af kompostens fysiske, kemiske, biologiske og hygiejnisk-mikrobiologiske egenskaber i henhold til dette dekret af operatøren af komposteringsstedet ved hjælp af en repræsentativ prøve af komposten. Akkrediteret prøveudtagning og forberedelse af prøver foretages på grundlag af en standard.</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Der udtages prøver af kompost fremstillet på et komposteringssted pr. parti af kompostering i følgende tilfælde og hyppighed:</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hvis komposteringsstedets kapacitet ikke overstiger 10 000 tons bionedbrydeligt affald pr. referenceår, mindst én gang om året fra den producerede kompost</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hvis komposteringsanlægget har en kapacitet på mere end 10 000 tons bionedbrydeligt affald pr. referenceår, mindst to gange om året fra den producerede kompost, eller</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hvis teknologien på komposteringsstedet ændres.</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Laboratorietestning af kompostprøven udføres efter en standardmetode eller en tilsvarende metode i et laboratorium, der er akkrediteret til testning. Den laboratorietestrapport, der indeholder resultaterne af testen, skal opbevares i mindst fem år.</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Der skal udføres test for organiske forurenende stoffer, hvis et eller flere af de anvendte stoffer anses for at være risikable stoffer i henhold til bilag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Hvis komposten ikke opfylder kravene til affaldsfasens ophør, der er fastsat i bilag 2, skal den fortsat behandles og klassificeres som affald i henhold til ministerielt dekret om affaldslisten og derefter overføres til en virksomhed med ansvar for nyttiggørelse af affald, der </w:t>
      </w:r>
      <w:r>
        <w:rPr>
          <w:rFonts w:ascii="Times New Roman" w:hAnsi="Times New Roman"/>
          <w:sz w:val="24"/>
        </w:rPr>
        <w:lastRenderedPageBreak/>
        <w:t>er i besiddelse af en gyldig affaldshåndteringstilladelse eller en samlet miljøanvendelsestilladelse.</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 xml:space="preserve"> (1) I tilfælde af ikke-landbrugsmæssige anvendelser verificeres egnetheden af fermenteringsrestens fysiske, kemiske, biologiske og hygiejnisk-mikrobiologiske egenskaber i henhold til dette dekret af operatøren af biogasanlægget ved hjælp af en repræsentativ prøve af fermenteringsresten.</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Der udtages prøver af den fermenteringsrest, der produceres i biogasanlægget, i følgende tilfælde og hyppighed:</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hvis biogasanlægget har en kapacitet på højst 10 000 tons bionedbrydeligt affald pr. referenceår, mindst én gang om året fra den fremkomne fermenteringsrest</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hvis biogasanlægget har en kapacitet på mere end 10 000 tons bionedbrydeligt affald pr. referenceår, mindst to gange om året fra den fremkomne fermenteringsrest, eller</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hvis teknologien på biogasanlægget ændres.</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Laboratorietestning af fermenteringsrestprøven skal udføres i overensstemmelse med en standard i et laboratorium, der er akkrediteret til testning. Den laboratorietestrapport, der indeholder resultaterne af testen, skal opbevares i mindst fem år.</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Der skal udføres test for organiske forurenende stoffer, hvis et eller flere af de anvendte stoffer anses for at være risikable stoffer i henhold til bilag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Afsluttende bestemmelser</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Afsnit 17</w:t>
      </w:r>
      <w:r>
        <w:rPr>
          <w:rFonts w:ascii="Times New Roman" w:hAnsi="Times New Roman"/>
          <w:sz w:val="24"/>
        </w:rPr>
        <w:t xml:space="preserve">  Dette dekret træder i kraft den 31. december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 xml:space="preserve"> (1) Dette dekret har til formål at overholde</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Europa-Parlamentets og Rådets direktiv 2008/98/EF af 19. november 2008 om affald og om ophævelse af visse direktiver.</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Rådets direktiv 1999/31/EF af 26. april 1999 om deponering af affald</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Udkastet til dekretet har været genstand for forudgående notifikation i henhold til Europa-Parlamentets og Rådets direktiv (EU) 2015/1535 af 9. september 2015 om en informationsprocedure med hensyn til tekniske forskrifter samt forskrifter for informationssamfundets tjenester.</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Afsnit 19</w:t>
      </w:r>
      <w:r>
        <w:rPr>
          <w:rFonts w:ascii="Times New Roman" w:hAnsi="Times New Roman"/>
          <w:sz w:val="24"/>
        </w:rPr>
        <w:t xml:space="preserve">  Personer, der har håndteret deres madaffald inden dette dekrets ikrafttræden i overensstemmelse med bestemmelserne i forskriften om dyresundhedsbestemmelser for animalske biprodukter, som ikke er bestemt til konsum (i det følgende benævnt: forskriften) kan fortsætte deres virksomhed efter dette dekrets ikrafttræden i overensstemmelse med bestemmelserne i forskriften.</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Afsnit 20</w:t>
      </w:r>
      <w:r>
        <w:rPr>
          <w:rFonts w:ascii="Times New Roman" w:hAnsi="Times New Roman"/>
          <w:sz w:val="24"/>
        </w:rPr>
        <w:t xml:space="preserve">  KvVM-dekret nr. 23/2003 af 29. december 2003 fra ministeriet for miljøbeskyttelse og vandforvaltning om behandling af bioaffald og de tekniske krav til kompostering ophæves.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Premierminister (underskrevet)</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Bilag 1 til regeringsdekret nr. 559/2023 af 14. december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Typer af affald og forarbejdningsstøtte, der kan anvendes til biologisk behandling og stabilisering, og typer af affald, der kan anvendes som forarbejdningsstøtte</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Typer af affald, der kan anvendes til biologisk behandling: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
        <w:gridCol w:w="1661"/>
        <w:gridCol w:w="1662"/>
        <w:gridCol w:w="2933"/>
        <w:gridCol w:w="1662"/>
        <w:gridCol w:w="840"/>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Identifikationskode</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Beskrivelse af affaldstypen</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Bemærkning</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Risikabelt stof</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hovedgruppenummer</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undergruppenummer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LANDBRUG, GARTNERI, AKVAKULTUR, SKOVBRUG, JAGT OG FISKERI SAMT FREMSTILLING OG FORARBEJDNING AF LEVNEDSMIDLER</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landbrug, gartneri, akvakultur, skovbrug, jagt og fiskeri</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vask og rengøring</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animalske vævsdele</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Undtagen knoglevæv.</w:t>
            </w:r>
            <w:r>
              <w:rPr>
                <w:rFonts w:ascii="Times New Roman" w:hAnsi="Times New Roman"/>
                <w:sz w:val="24"/>
              </w:rPr>
              <w:b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vegetabilske vævsdele</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animalsk fæces, urin og gødning (herunder tilsmudset halm), flydende affald, der indsamles særskilt og behandles uden for produktionsstedet</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Ved tilsmudset halm forstås strøelse, der bruges til at gennembløde animalsk fæces, urin og gødning. Med forbehold af </w:t>
            </w:r>
            <w:r>
              <w:rPr>
                <w:rFonts w:ascii="Times New Roman" w:hAnsi="Times New Roman"/>
                <w:sz w:val="24"/>
              </w:rPr>
              <w:lastRenderedPageBreak/>
              <w:t>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affald fra skovbrug</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ubehandlet træ.</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fremstilling og forarbejdning af kød, fisk og andre af fødevarer af animalsk oprindelse</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vask og rengøring</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animalske vævsdele</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materialer uegnede til konsum eller forarbejdning</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r>
              <w:rPr>
                <w:rFonts w:ascii="Times New Roman" w:hAnsi="Times New Roman"/>
                <w:sz w:val="24"/>
              </w:rPr>
              <w:b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affald fra fremstilling og forarbejdning af frugt, grøntsager, korn, spiseolier, kakao, kaffe, te, tobak, og konserves samt fra fremstilling af gær og </w:t>
            </w:r>
            <w:r>
              <w:rPr>
                <w:rFonts w:ascii="Times New Roman" w:hAnsi="Times New Roman"/>
                <w:b/>
                <w:sz w:val="24"/>
              </w:rPr>
              <w:lastRenderedPageBreak/>
              <w:t xml:space="preserve">gærekstrakt og fra produktion og fermentering af melasse  </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vask, rengøring, skrælning, centrifugering og separering</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materialer uegnede til konsum eller forarbejdning</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Der blev ikke anvendt ekstraktionsmidler.</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sukkerforarbejdning</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fremstilling af mejeriprodukter</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materialer uegnede til konsum eller forarbejdning</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Kun slam, der ikke indeholder kemiske </w:t>
            </w:r>
            <w:r>
              <w:rPr>
                <w:rFonts w:ascii="Times New Roman" w:hAnsi="Times New Roman"/>
                <w:sz w:val="24"/>
              </w:rPr>
              <w:lastRenderedPageBreak/>
              <w:t>rengørings-, koagulations- eller ekstraktionsmidler.</w:t>
            </w:r>
            <w:r>
              <w:rPr>
                <w:rFonts w:ascii="Times New Roman" w:hAnsi="Times New Roman"/>
                <w:sz w:val="24"/>
              </w:rPr>
              <w:b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bagerier og sukkervarefabrikker</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materialer uegnede til konsum eller forarbejdning</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produktion af alkoholholdige og alkoholfrie drikkevarer (bortset fra kaffe, te og kakao)</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affald fra vask, rengøring og mekanisk sønderdeling af råstoffer</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affald fra destillation af spiritus</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materialer uegnede til konsum eller forarbejdning</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TRÆFORARBEJDNING OG FREMSTILLING AF PLADEMATERIALER, MØBLER, PAPIRMASSE, PAPIR OG PAP</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træforarbejdning og fremstilling af brædder og møbler</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bark-og korkaffald</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ubehandlet træ.</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savsmuld, spåner, afskåret materiale, tømmer, spånplader og finer, bortset fra affald henhørende under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ubehandlet træ.</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fremstilling og forarbejdning af papirmasse, papir og pap</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bark- og træaffald</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mekanisk separerede afskæringer fra papirmasse af papir- og papaffald</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den rest, der ikke indeholder kemiske behandlingsmidler.</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affald fra sortering af papir og pap bestemt til genanvendelse</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den rest, der ikke indeholder kemiske behandlingsmidler.</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mekanisk udskilt fiberrejekt, fiber-, fyldstof-, og bestrygningsrestprodukt</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 bortset fra slam henhørende under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LÆDER-, PELS- OG TEKSTILINDUSTRIEN</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læder- og pelsindustrien</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navnlig fra spildevandsrensning på stedet, uden krom</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slam, der ikke indeholder kemiske rengørings-, koagulations- eller ekstraktionsmidler.</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tekstilindustrien</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organisk materiale fra naturlige produkter (f.eks. fedt, voks)</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spildevandsrensning på stedet, bortset fra affald henhørende under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affald fra uforarbejdede tekstilfibre</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naturligt.</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affald fra forarbejdede tekstilfibre</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dem, der er fri for kemisk forurening.</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EMBALLAGEAFFALD, ABSORPTIONSMIDLER, AFTØRRINGSKLUDE, FILTERMATERIALER OG BESKYTTELSESDRAGTER, IKKE ANDETSTEDS SPECIFICERET </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Emballageaffald (herunder særskilt indsamlet bionedbrydeligt kommunalt emballageaffald)</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Papir- og papemballageaffald</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Hvis genanvendelse i papirindustrien ikke er mulig, eller det er nødvendigt for kulstof-kvælstofforholdet for bionedbrydeligt affald, der er forberedt til behandling.</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træemballageaffald</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IKKE ANDETSTEDS SPECIFICERET</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ikke-overensstemmende og ubrugte produkter</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organisk affald, bortset fra affald henhørende under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AFFALDSBEHANDLINGSANLÆG, SPILDEVANDSRENSNINGSANLÆG UDEN FOR PRODUKTIONSSTEDET SAMT FRA FREMSTILLING AF DRIKKEVAND ELLER VAND TIL INDUSTRIELT BRUG</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 som ikke overholder specifikationerne</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Den del af det behandlede materiale, der er resultatet af den endelige sortering af mekanisk-biologisk affaldsbehandli</w:t>
            </w:r>
            <w:r>
              <w:rPr>
                <w:rFonts w:ascii="Times New Roman" w:hAnsi="Times New Roman"/>
                <w:sz w:val="24"/>
              </w:rPr>
              <w:lastRenderedPageBreak/>
              <w:t>ng, og som kan genindføres til denne behandling med henblik på genstabiliseringsforsøg eller til anvendelse som biologisk "podemiddel"</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anaerob behandling af affald</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fermentat fra anaerob behandling af kommunalt affald</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fermentat fra anaerob behandling af animalsk og vegetabilsk affald</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spildevandsrensningsanlæg ikke andetsteds specificeret</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Ja</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behandling af byspildevand</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biologisk behandling af industrispildevand, bortset fra affald henhørende under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biologisk behandling af industrispildevand, bortset fra affald henhørende under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affald fra fremstilling af drikkevand eller vand til industriel brug</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fast affald fra primær filtrering og sortering</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vandrensning</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dekarbonisering</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KOMMUNALT AFFALD (HUSHOLDNINGSAFFALD OG LIGNENDE HANDELS-, INDUSTRI- OG INSTITUTIONSAFFALD), HERUNDER MINDRE DELE, DER INDSAMLES SÆRSKILT</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hvis det kommer fra et særskilt indsamlingssystem.</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mindre dele, der indsamles særskilt (undtagen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papir og pap</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bionedbrydeligt køkken- og kantineaffald</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spiselig olie og fedt</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forbehold af national lovgivning og EU-lovgivning om animalske biprodukter.</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træ, bortset fra affald henhørende under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Kun hvis de ikke er behandlet med kemikalier (herunder farvning, overfladebehandling).</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Have- og parkaffald (inkl. affald fra kirkegårde)</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bionedbrydeligt affald</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I tilfælde af bark, kun ubehandlet træ. I tilfælde af særskilt indsamlet kirkegårdsaffald kun i tilfælde af direkte modtagelse, </w:t>
            </w:r>
            <w:r>
              <w:rPr>
                <w:rFonts w:ascii="Times New Roman" w:hAnsi="Times New Roman"/>
                <w:sz w:val="24"/>
              </w:rPr>
              <w:lastRenderedPageBreak/>
              <w:t>forudsat at der findes et særskilt indsamlingssystem på kirkegården, og det kan kontrolleres korrekt, at affaldet ikke indeholder fremmede materialer (f.eks. folier, blomster- og kransetråde, plastblomster og komponenter hertil).</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andet kommunalt affald</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andet kommunalt affald, herunder blandet kommunalt affald</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Efter forbehandling.</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Ja</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affald fra markeder</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Hvor markedet driver et særskilt indsamlingssystem.</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slam fra septiktanken</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Forarbejdningsstøtte, der kan anvendes til fremstilling af kompost og affaldstyper, der kan anvendes som forarbejdningsstøtte: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3334"/>
        <w:gridCol w:w="2452"/>
        <w:gridCol w:w="2883"/>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Navnet på forarbejdningsstøttens type</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Kvalitetsstandarder og</w:t>
            </w:r>
            <w:r>
              <w:rPr>
                <w:rFonts w:ascii="Times New Roman" w:hAnsi="Times New Roman"/>
                <w:b/>
                <w:sz w:val="24"/>
              </w:rPr>
              <w:br/>
              <w:t>noter</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Granulater af sten</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basalt granulat</w:t>
            </w:r>
            <w:r>
              <w:rPr>
                <w:rFonts w:ascii="Times New Roman" w:hAnsi="Times New Roman"/>
                <w:sz w:val="24"/>
              </w:rPr>
              <w:br/>
              <w:t>b) alginitgranulat</w:t>
            </w:r>
            <w:r>
              <w:rPr>
                <w:rFonts w:ascii="Times New Roman" w:hAnsi="Times New Roman"/>
                <w:sz w:val="24"/>
              </w:rPr>
              <w:br/>
              <w:t>c) granulater af andre sten</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Slam, sedimenter</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naturligt slam og naturlige sedimenter </w:t>
            </w:r>
            <w:r>
              <w:rPr>
                <w:rFonts w:ascii="Times New Roman" w:hAnsi="Times New Roman"/>
                <w:sz w:val="24"/>
              </w:rPr>
              <w:lastRenderedPageBreak/>
              <w:t>uden tilsætning af jord og uden urenheder, herunder ukontamineret slam og slam fra kloakrensning og dræning</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Lermineraler</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rene lermineraler</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Kalk(sten)</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kalkstensgranulat</w:t>
            </w:r>
            <w:r>
              <w:rPr>
                <w:rFonts w:ascii="Times New Roman" w:hAnsi="Times New Roman"/>
                <w:sz w:val="24"/>
              </w:rPr>
              <w:br/>
              <w:t>b) dolomitgranulat</w:t>
            </w:r>
            <w:r>
              <w:rPr>
                <w:rFonts w:ascii="Times New Roman" w:hAnsi="Times New Roman"/>
                <w:sz w:val="24"/>
              </w:rPr>
              <w:br/>
              <w:t>c) kalkslam fra sukkerfabrikker</w:t>
            </w:r>
            <w:r>
              <w:rPr>
                <w:rFonts w:ascii="Times New Roman" w:hAnsi="Times New Roman"/>
                <w:sz w:val="24"/>
              </w:rPr>
              <w:br/>
              <w:t>d) ikke-standard calciumcarbonat,</w:t>
            </w:r>
            <w:r>
              <w:rPr>
                <w:rFonts w:ascii="Times New Roman" w:hAnsi="Times New Roman"/>
                <w:sz w:val="24"/>
              </w:rPr>
              <w:br/>
              <w:t>kalkslamaffald</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Aske fra biomasseforbrænding</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vegetabilsk aske</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Op til 2 m/m%.</w:t>
            </w:r>
            <w:r>
              <w:rPr>
                <w:rFonts w:ascii="Times New Roman" w:hAnsi="Times New Roman"/>
                <w:sz w:val="24"/>
              </w:rPr>
              <w:br/>
              <w:t>Uden flyveaske med et maksimalt indhold af urenheder (mg/kg i tørstoffet):</w:t>
            </w:r>
            <w:r>
              <w:rPr>
                <w:rFonts w:ascii="Times New Roman" w:hAnsi="Times New Roman"/>
                <w:sz w:val="24"/>
              </w:rPr>
              <w:br/>
              <w:t>a) zink (Zn): 1500</w:t>
            </w:r>
            <w:r>
              <w:rPr>
                <w:rFonts w:ascii="Times New Roman" w:hAnsi="Times New Roman"/>
                <w:sz w:val="24"/>
              </w:rPr>
              <w:br/>
              <w:t>b) kobber (Cu): 250</w:t>
            </w:r>
            <w:r>
              <w:rPr>
                <w:rFonts w:ascii="Times New Roman" w:hAnsi="Times New Roman"/>
                <w:sz w:val="24"/>
              </w:rPr>
              <w:br/>
              <w:t>c) krom (Cr): 250</w:t>
            </w:r>
            <w:r>
              <w:rPr>
                <w:rFonts w:ascii="Times New Roman" w:hAnsi="Times New Roman"/>
                <w:sz w:val="24"/>
              </w:rPr>
              <w:br/>
              <w:t>d) bly (Pb): 100</w:t>
            </w:r>
            <w:r>
              <w:rPr>
                <w:rFonts w:ascii="Times New Roman" w:hAnsi="Times New Roman"/>
                <w:sz w:val="24"/>
              </w:rPr>
              <w:br/>
              <w:t>e) vanadium (V): 100</w:t>
            </w:r>
            <w:r>
              <w:rPr>
                <w:rFonts w:ascii="Times New Roman" w:hAnsi="Times New Roman"/>
                <w:sz w:val="24"/>
              </w:rPr>
              <w:br/>
              <w:t>f) kobolt (Co): 100</w:t>
            </w:r>
            <w:r>
              <w:rPr>
                <w:rFonts w:ascii="Times New Roman" w:hAnsi="Times New Roman"/>
                <w:sz w:val="24"/>
              </w:rPr>
              <w:br/>
              <w:t>g) nikkel (Ni): 100</w:t>
            </w:r>
            <w:r>
              <w:rPr>
                <w:rFonts w:ascii="Times New Roman" w:hAnsi="Times New Roman"/>
                <w:sz w:val="24"/>
              </w:rPr>
              <w:br/>
              <w:t>h) molybdæn (Mo): 20</w:t>
            </w:r>
            <w:r>
              <w:rPr>
                <w:rFonts w:ascii="Times New Roman" w:hAnsi="Times New Roman"/>
                <w:sz w:val="24"/>
              </w:rPr>
              <w:br/>
              <w:t>i) arsen (As): 20</w:t>
            </w:r>
            <w:r>
              <w:rPr>
                <w:rFonts w:ascii="Times New Roman" w:hAnsi="Times New Roman"/>
                <w:sz w:val="24"/>
              </w:rPr>
              <w:br/>
              <w:t>j) cadmium (Cd): 8</w:t>
            </w:r>
            <w:r>
              <w:rPr>
                <w:rFonts w:ascii="Times New Roman" w:hAnsi="Times New Roman"/>
                <w:sz w:val="24"/>
              </w:rPr>
              <w:br/>
              <w:t>Må ikke indeholde flyveaske</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Jord (udvundet eller fra slam)</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ukontamineret naturlig jord fra byggeri eller nedrivning, slam fra vask af rodplanter</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Op til 15 m/m%.</w:t>
            </w:r>
            <w:r>
              <w:rPr>
                <w:rFonts w:ascii="Times New Roman" w:hAnsi="Times New Roman"/>
                <w:sz w:val="24"/>
              </w:rPr>
              <w:br/>
              <w:t>Maksimalt indhold af forurenende stoffer (mg/kg tørstof):</w:t>
            </w:r>
            <w:r>
              <w:rPr>
                <w:rFonts w:ascii="Times New Roman" w:hAnsi="Times New Roman"/>
                <w:sz w:val="24"/>
              </w:rPr>
              <w:br/>
              <w:t>a) arsen (As): 30</w:t>
            </w:r>
            <w:r>
              <w:rPr>
                <w:rFonts w:ascii="Times New Roman" w:hAnsi="Times New Roman"/>
                <w:sz w:val="24"/>
              </w:rPr>
              <w:br/>
              <w:t>b) bly (Pb): 100</w:t>
            </w:r>
            <w:r>
              <w:rPr>
                <w:rFonts w:ascii="Times New Roman" w:hAnsi="Times New Roman"/>
                <w:sz w:val="24"/>
              </w:rPr>
              <w:br/>
              <w:t>c) cadmium (Cd): 1,1</w:t>
            </w:r>
            <w:r>
              <w:rPr>
                <w:rFonts w:ascii="Times New Roman" w:hAnsi="Times New Roman"/>
                <w:sz w:val="24"/>
              </w:rPr>
              <w:br/>
              <w:t>d) krom (Cr): 90</w:t>
            </w:r>
            <w:r>
              <w:rPr>
                <w:rFonts w:ascii="Times New Roman" w:hAnsi="Times New Roman"/>
                <w:sz w:val="24"/>
              </w:rPr>
              <w:br/>
              <w:t>e) kobber (Cu): 90</w:t>
            </w:r>
            <w:r>
              <w:rPr>
                <w:rFonts w:ascii="Times New Roman" w:hAnsi="Times New Roman"/>
                <w:sz w:val="24"/>
              </w:rPr>
              <w:br/>
              <w:t>f) nikkel (Ni): 55</w:t>
            </w:r>
            <w:r>
              <w:rPr>
                <w:rFonts w:ascii="Times New Roman" w:hAnsi="Times New Roman"/>
                <w:sz w:val="24"/>
              </w:rPr>
              <w:br/>
              <w:t>g) kviksølv (Hg): 0,7</w:t>
            </w:r>
            <w:r>
              <w:rPr>
                <w:rFonts w:ascii="Times New Roman" w:hAnsi="Times New Roman"/>
                <w:sz w:val="24"/>
              </w:rPr>
              <w:br/>
              <w:t>h) zink (Zn): 450</w:t>
            </w:r>
            <w:r>
              <w:rPr>
                <w:rFonts w:ascii="Times New Roman" w:hAnsi="Times New Roman"/>
                <w:sz w:val="24"/>
              </w:rPr>
              <w:br/>
              <w:t xml:space="preserve">i) polycykliske aromatiske carbonhydrider (PAH16: naphthalen, fluor, phenantren, anthracen, </w:t>
            </w:r>
            <w:r>
              <w:rPr>
                <w:rFonts w:ascii="Times New Roman" w:hAnsi="Times New Roman"/>
                <w:sz w:val="24"/>
              </w:rPr>
              <w:lastRenderedPageBreak/>
              <w:t>fluoranthen, pyren, benzo[a]antracen, chrysen, benzo[b]fluoroanthen, benzo[k]fluoroanthen, benzo[a]pyren, indeno[1,2,3-cd]pyren, dibenzo[a,h]anthracen, benzo[g, h, i]perylen): 2</w:t>
            </w:r>
            <w:r>
              <w:rPr>
                <w:rFonts w:ascii="Times New Roman" w:hAnsi="Times New Roman"/>
                <w:sz w:val="24"/>
              </w:rPr>
              <w:br/>
              <w:t xml:space="preserve">samlet kulbrinteindhold: 200, som kun undersøges, hvis der er mistanke om tidligere kulbrinteforurening eller dannelsen af slam fra vask er ukendt, og der er mistanke om, at der forekommer et vist opløsnings-, koagulations- eller ekstraktionsmiddel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Lignocellulose</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landbrugsbiprodukter af vegetabilsk oprindelse</w:t>
            </w:r>
            <w:r>
              <w:rPr>
                <w:rFonts w:ascii="Times New Roman" w:hAnsi="Times New Roman"/>
                <w:sz w:val="24"/>
              </w:rPr>
              <w:br/>
              <w:t>b) blanke hoveder af korn/ufyldte kerner</w:t>
            </w:r>
            <w:r>
              <w:rPr>
                <w:rFonts w:ascii="Times New Roman" w:hAnsi="Times New Roman"/>
                <w:sz w:val="24"/>
              </w:rPr>
              <w:br/>
              <w:t>c) halmgødning</w:t>
            </w:r>
            <w:r>
              <w:rPr>
                <w:rFonts w:ascii="Times New Roman" w:hAnsi="Times New Roman"/>
                <w:sz w:val="24"/>
              </w:rPr>
              <w:br/>
              <w:t>d) grønne beskæringer,</w:t>
            </w:r>
            <w:r>
              <w:rPr>
                <w:rFonts w:ascii="Times New Roman" w:hAnsi="Times New Roman"/>
                <w:sz w:val="24"/>
              </w:rPr>
              <w:br/>
              <w:t>grønt affald</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Produkter, der bidrager til komposteringsprocessen</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mikrobiologiske præparater, biologiske startere</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 der er godkendt til markedsføring og anvendelse.</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Affald fra affaldsbehandlingsanlæg, fra spildevandsbehandlingsanlæg, der behandler spildevand uden for anlægget, samt affald fra drikkevand og industrivandforsyning</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fast affald fra finfiltrering og sortering</w:t>
            </w:r>
            <w:r>
              <w:rPr>
                <w:rFonts w:ascii="Times New Roman" w:hAnsi="Times New Roman"/>
                <w:sz w:val="24"/>
              </w:rPr>
              <w:br/>
              <w:t>b) slam fra rensning af vand,</w:t>
            </w:r>
            <w:r>
              <w:rPr>
                <w:rFonts w:ascii="Times New Roman" w:hAnsi="Times New Roman"/>
                <w:sz w:val="24"/>
              </w:rPr>
              <w:br/>
              <w:t>slam fra dekarbonisering</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Bilag 2 til regeringsdekret nr. 559/2023 af 14. december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Fysiske, kemiske og biologiske krav til komposter til ikke-landbrugsmæssig anvendelse</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Affaldsstatus for kompost fremstillet af bionedbrydeligt affald skal elimineres ved at overholde grænseværdierne for følgende anvendelseskategorier: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382"/>
        <w:gridCol w:w="2487"/>
        <w:gridCol w:w="2920"/>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Hvis kompost fremstillet af bionedbrydeligt affald anvendes i et område, hvor det direkte kan bringe menneskers sundhed i fare (navnlig i grønne områder, der tilhører beboelsesområder og rekreative områder, legepladser, parker, blomsterbede ved vejsiden, skovområder, offentlige promenader, hundeluftningsområder, offentlige blomsterkasser, områder tilhørende sportsfaciliteter, strandområder og områder tilhørende offentlige institutioner), skal komposten også opfylde kravene i bilag 3, punkt 4, i FVM-dekret nr. 36/2006 af 18. maj 2006 fra ministeren for landbrug og udvikling af landdistrikter om godkendelse, oplagring, markedsføring og anvendelse af udbyttefremmende stoffer.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Hvis kompost fremstillet af bionedbrydeligt affald anvendes i et område, der er omfattet af lov om skove og om beskyttelse og forvaltning af skove, på den deri regulerede måde eller på andre eksterne skovområder, skal komposten også opfylde de krav, der er angivet i punkt 1.1 og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Hvis kompost fremstillet af bionedbrydeligt affald anvendes til genopdyrkning, genopfyldning af landskabssår eller anvendes i lukkede affaldsdepoter i henhold til KvVM-dekret nr. 20/2006 af 5. april 2006 fra ministeriet for miljøbeskyttelse og vandforvaltning om visse regler og betingelser vedrørende deponering af affald og deponeringsanlæg, skal komposten også opfylde kravene i punkt 1.1 og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Fysiske og biologiske egenskaber: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651"/>
        <w:gridCol w:w="2354"/>
        <w:gridCol w:w="1689"/>
        <w:gridCol w:w="2095"/>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Egenskaber</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Bemærkning</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Indhold af organisk materiale</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Indholdet af organisk stof i kompost udgør mindst 15 % af tørstofindholdet.</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Indholdet af organisk stof i kompost udgør mindst 15 % af tørstofindholdet.</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Minimumsindholdet af organisk materiale henviser til produktet ved afslutningen af komposteringsfasen, før det blandes med andre stoffer. Målet er at forhindre fortynding af ingredienser (f.eks. med sand, jord).</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Kompostmodenhed</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Den maksimale temperatur, der opnås under selvopvarmningstesten, må ikke overstige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Patogener</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negativ</w:t>
            </w:r>
            <w:r>
              <w:rPr>
                <w:rFonts w:ascii="Times New Roman" w:hAnsi="Times New Roman"/>
                <w:sz w:val="24"/>
              </w:rPr>
              <w:br/>
              <w:t>b) Antallet af fækale coliforme bakterier nr. 500/g</w:t>
            </w:r>
            <w:r>
              <w:rPr>
                <w:rFonts w:ascii="Times New Roman" w:hAnsi="Times New Roman"/>
                <w:sz w:val="24"/>
              </w:rPr>
              <w:br/>
              <w:t>c) Antallet af fækale streptokokker 500/g</w:t>
            </w:r>
            <w:r>
              <w:rPr>
                <w:rFonts w:ascii="Times New Roman" w:hAnsi="Times New Roman"/>
                <w:sz w:val="24"/>
              </w:rPr>
              <w:br/>
              <w:t>d) Menneskelige parasitiske æg fra indvoldsorm 25 g negativ</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Målingen af denne parameter skal ledsages af regelmæssige temperaturmålinger.</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Spiredygtige ukrudtsfrø og planteformeringsformler</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 komposten må der højst være 2 spiredygtige ukrudtsfrø pr. liter.</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Målingen af denne parameter skal ledsages af regelmæssige temperaturmålinger.</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Makroskopiske urenheder</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Blandt partikler på over 2 mm kan kompost indeholde glas, metal og plast i højst 0,5 % af tørstofindholdet.</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Blandt partikler på over 2 mm kan kompost indeholde glas, metal og plast i højst 0,5 % af tørstofindholdet.</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Der bør skelnes mellem sten og kunstige urenheder.</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Kemiske egenskaber:</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Indhold af tungmetaller: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628"/>
        <w:gridCol w:w="1815"/>
        <w:gridCol w:w="1841"/>
        <w:gridCol w:w="3385"/>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Tungmetaller</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Mængde (mg/kg i tørstof) Kategori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Mængde (mg/kg i tørstof) Kategori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Bemærkning</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Zink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Kviksølv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Cadmium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Kobolt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Krom i alt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Færdigt produkt, før det blandes med andre stoffer. For så vidt angår krom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Krom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Molybdæn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Nikkel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Bly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Kobber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Organiske urenheder: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546"/>
        <w:gridCol w:w="1244"/>
        <w:gridCol w:w="1337"/>
        <w:gridCol w:w="1662"/>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Organiske urenheder</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Mængde</w:t>
            </w:r>
            <w:r>
              <w:rPr>
                <w:rFonts w:ascii="Times New Roman" w:hAnsi="Times New Roman"/>
                <w:b/>
                <w:sz w:val="24"/>
              </w:rPr>
              <w:br/>
              <w:t>Kategori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Mængde</w:t>
            </w:r>
            <w:r>
              <w:rPr>
                <w:rFonts w:ascii="Times New Roman" w:hAnsi="Times New Roman"/>
                <w:b/>
                <w:sz w:val="24"/>
              </w:rPr>
              <w:br/>
              <w:t>Kategori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Bemærkning</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Samlet beskrivende polychlorbiphenylindhold (PCB7: PCB 28, 52, 101, 118, 138, 153, 180) (mg/kg i tørstoffet)</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Samlet indhold af polycykliske aromatiske kulbrinter (PAH16: naphthalen, fluor, phenanthren, anthracen, fluoranthen, pyren, benzo[a]antracen, chrysen, benzo[b]fluoroanthen, benzo[k]fluoroanthen, benzo[a]pyren, indeno[1,2,3-cd]pyren, dibenzo[a,h]anthracen, benzo[g, h, i]perylen) (indhold mg/kg i tørstoffet)</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Færdigt produkt, før det blandes med andre stoffer.</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Aliphatiske carbonhydrider i alt (TPH) (mg/kg i tørstoffet)</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Når fermenteringsresterne drænes til et spildevandsrensningsanlæg, ophører affaldsstatussen for de fermenteringsrester, der dannes i et biogasanlæg, med at overholde grænseværdierne i bilag 4 og 5 til ministerielt dekret om grænseværdier for forurenende vandarter og visse regler for deres anvendelse.</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Bilag 3 til regeringsdekret nr. 559/2023 af 14. december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Tekniske regler for kompostering, stabilisering og biogasproduktion på stedet</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Kompostering på stedet:</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For komposteringssystemer som defineret i afsnit 10, stk. 3, bortset fra hvor animalske biprodukter anvendes ved kompostering på stedet, skal der sikres mindst følgende temperaturer og blandings- og rotationsfrekvenser på komposteringsstedet: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en temperatur på 55 °C skal opretholdes i mindst 14 dage i en åben komposteringsenhed for at sikre hygiejnisering, hvor der skal foretages mindst fem omrøringer eller rotationer</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en temperatur på 65 °C skal opretholdes i mindst syv dage i en åben komposteringsenhed for at sikre hygiejnisering, hvor der skal foretages mindst to omrøringer eller rotationer</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for at sikre hygiejnisering i en lukket komposteringsenhed skal temperaturen holdes på 60 °C i mindst syv dage.</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For at opnå et højt niveau af biologisk aktivitet under kompostering skal mindst følgende betingelser sikres:</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den bedste tilgængelige struktur og luftning</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tilstrækkelig ilttilførsel</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tilstrækkeligt vand- og næringsstofindhold</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et kulstof-kvælstofforhold på 25-35:1 og</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pH-interval på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Efter intensiv modning skal operatøren af komposteringsstedet efterfølgende modne komposten i efterbehandlingsområdet, indtil temperaturen under selvopvarmningstesten overstiger 30 °C. Efter modningen kan der foretages sortering eller opdeling.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I tilfælde af kompostering af animalske biprodukter eller afledte produkter er det nødvendigt at følge de konverteringsparametre og mikrobiologiske parametre, der er fastsat i kapitel III, afsnit 1 og 3, i bilag V til Kommissionens forordning (EU) nr. 142/2011.</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Stabilisering:</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Stabilisering kan kun foretages i et affaldshåndteringsanlæg med en vandtæt indkapsling.</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Stabiliseringen skal mindst sikre følgende betingelser:</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stadier i henhold til temperaturbehovet for psykrofile, mesofile og termofile mikroorganismer</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et højt niveau af biologisk aktivitet og et tilstrækkeligt vandindhold for bionedbrydeligt affald, udvikling af passende pH-betingelser</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c) til hygiejnisering, den bedste tilgængelige struktur, luftning og homogenisering.</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Blandet affald skal stabiliseres, indtil respirationsintensiteten (AT4) falder til under 10 mg O</w:t>
      </w:r>
      <w:r>
        <w:rPr>
          <w:rFonts w:ascii="Times New Roman" w:hAnsi="Times New Roman"/>
          <w:sz w:val="24"/>
          <w:vertAlign w:val="subscript"/>
        </w:rPr>
        <w:t>2</w:t>
      </w:r>
      <w:r>
        <w:rPr>
          <w:rFonts w:ascii="Times New Roman" w:hAnsi="Times New Roman"/>
          <w:sz w:val="24"/>
        </w:rPr>
        <w:t>/g af tørstoffet.</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Biogasproduktion:</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I forbindelse med de procedurer, der er omhandlet i afsnit 12, stk. 3, skal minimumstemperaturværdierne og -perioderne, jf. nedenstående tabel, sikres: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367"/>
        <w:gridCol w:w="2157"/>
        <w:gridCol w:w="4265"/>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Driftssystem til biogas</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Temperaturværdier</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Varighed af vedligeholdelse af temperaturværdier</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Våd fermenteringsproces</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minimum 25-35 dage</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Tør fermenteringsproces</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minimum 20-30 dage</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Optimalt kulstof-kvælstofforhold: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Passende pH-interval: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Hvis et biogasanlæg anvender animalske biprodukter eller afledte produkter, anvendes de konverteringsparametre og mikrobiologiske parametre, der er fastsat i kapitel III, afsnit 1 og 3, i bilag V til Kommissionens forordning (EU) nr. 142/2011.</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Bilag 4 til regeringsdekret nr. 559/2023 af 14. december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Overensstemmelseserklæring og dens indhold</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Der udfærdiges en overensstemmelseserklæring for kompostpartiet i overensstemmelse med følgende tabel:</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w:t>
            </w:r>
            <w:r>
              <w:rPr>
                <w:b/>
                <w:sz w:val="17"/>
              </w:rPr>
              <w:br/>
              <w:t>OVERENSSTEMMELSESERKLÆRING</w:t>
            </w:r>
          </w:p>
        </w:tc>
        <w:tc>
          <w:tcPr>
            <w:tcW w:w="4549" w:type="dxa"/>
          </w:tcPr>
          <w:p w14:paraId="386EEDDB" w14:textId="77777777" w:rsidR="00D75B38" w:rsidRDefault="00D75B38" w:rsidP="00D75B38">
            <w:pPr>
              <w:pStyle w:val="TableParagraph"/>
              <w:spacing w:line="195" w:lineRule="exact"/>
              <w:ind w:left="106"/>
              <w:rPr>
                <w:sz w:val="17"/>
              </w:rPr>
            </w:pPr>
            <w:r>
              <w:rPr>
                <w:sz w:val="17"/>
              </w:rPr>
              <w:t>1. Navn på operatøren af komposteringsstedet:</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Adresse på operatørens vedtægtsmæssige hjemsted:</w:t>
            </w:r>
          </w:p>
        </w:tc>
        <w:tc>
          <w:tcPr>
            <w:tcW w:w="4549" w:type="dxa"/>
          </w:tcPr>
          <w:p w14:paraId="6FBDFC63" w14:textId="77777777" w:rsidR="00D75B38" w:rsidRDefault="00D75B38" w:rsidP="00D75B38">
            <w:pPr>
              <w:pStyle w:val="TableParagraph"/>
              <w:spacing w:line="195" w:lineRule="exact"/>
              <w:ind w:left="106"/>
              <w:rPr>
                <w:sz w:val="17"/>
              </w:rPr>
            </w:pPr>
            <w:r>
              <w:rPr>
                <w:sz w:val="17"/>
              </w:rPr>
              <w:t>3. Produktionsstedets adresse:</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w:t>
            </w:r>
          </w:p>
        </w:tc>
        <w:tc>
          <w:tcPr>
            <w:tcW w:w="4549" w:type="dxa"/>
          </w:tcPr>
          <w:p w14:paraId="4BF075C6" w14:textId="77777777" w:rsidR="00D75B38" w:rsidRDefault="00D75B38" w:rsidP="00D75B38">
            <w:pPr>
              <w:pStyle w:val="TableParagraph"/>
              <w:spacing w:before="4"/>
              <w:ind w:left="106"/>
              <w:rPr>
                <w:sz w:val="17"/>
              </w:rPr>
            </w:pPr>
            <w:r>
              <w:rPr>
                <w:sz w:val="17"/>
              </w:rPr>
              <w:t>5. E-mail:</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6. KÜJ ID (Miljøkunde-ID):</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7. KTJ ID (Miljøområde-ID):</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Statistisk nummer fra HCSO (Ungarns centrale statistiske kontor):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Affaldshåndteringstilladelsesnummer:</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Tilladelse til markedsføring og anvendelse af kompost (hvis relevant):</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Antal udtagningsrapporter for affaldsfasens ophør og laboratorietestrapporter (identifikationsmærke for affaldsprøve):</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Behandlingsoperation:</w:t>
            </w:r>
          </w:p>
        </w:tc>
        <w:tc>
          <w:tcPr>
            <w:tcW w:w="4549" w:type="dxa"/>
          </w:tcPr>
          <w:p w14:paraId="65F30F63" w14:textId="77777777" w:rsidR="00D75B38" w:rsidRDefault="00D75B38" w:rsidP="00D75B38">
            <w:pPr>
              <w:pStyle w:val="TableParagraph"/>
              <w:spacing w:line="195" w:lineRule="exact"/>
              <w:ind w:left="97"/>
              <w:rPr>
                <w:sz w:val="17"/>
              </w:rPr>
            </w:pPr>
            <w:r>
              <w:rPr>
                <w:sz w:val="17"/>
              </w:rPr>
              <w:t>13. Behandlingsteknologi:</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Affald, der anvendes til fremstilling af kompost:</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Type:</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Mængde:</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Eventuel forarbejdningsstøtte til fremstilling af kompost (hvis relevant):</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Type:</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Mængde:</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Standard anvendt til kompostproduktion (hvis relevant):</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Anvendelseskategori for komposten:</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Parti kompost fjernet fra komposteringsstedet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Interne indikatorer for kompostindhold:</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reaktion:</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volumenvægt:</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tørstofindhold:</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indhold af organisk materiale:</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vandopløseligt saltindhold i alt:</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partikelstørrelsesfordeling:</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t xml:space="preserve">Indhold af aktivt stof </w:t>
            </w:r>
            <w:r>
              <w:rPr>
                <w:sz w:val="17"/>
              </w:rPr>
              <w:t>(N, P</w:t>
            </w:r>
            <w:r>
              <w:rPr>
                <w:sz w:val="11"/>
              </w:rPr>
              <w:t>2</w:t>
            </w:r>
            <w:r>
              <w:rPr>
                <w:sz w:val="17"/>
              </w:rPr>
              <w:t>O</w:t>
            </w:r>
            <w:r>
              <w:rPr>
                <w:sz w:val="11"/>
              </w:rPr>
              <w:t>5</w:t>
            </w:r>
            <w:r>
              <w:rPr>
                <w:sz w:val="17"/>
              </w:rPr>
              <w:t>, K</w:t>
            </w:r>
            <w:r>
              <w:rPr>
                <w:sz w:val="11"/>
              </w:rPr>
              <w:t>2</w:t>
            </w:r>
            <w:r>
              <w:rPr>
                <w:sz w:val="17"/>
              </w:rPr>
              <w:t xml:space="preserve">O, </w:t>
            </w:r>
            <w:proofErr w:type="spellStart"/>
            <w:r>
              <w:rPr>
                <w:sz w:val="17"/>
              </w:rPr>
              <w:t>Ca</w:t>
            </w:r>
            <w:proofErr w:type="spellEnd"/>
            <w:r>
              <w:rPr>
                <w:sz w:val="17"/>
              </w:rPr>
              <w:t>,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Kompostens fysiske og biologiske egenskaber:</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indhold af organisk materiale:</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kompostmodenhed:</w:t>
            </w:r>
          </w:p>
          <w:p w14:paraId="4A816E56" w14:textId="77777777" w:rsidR="00D75B38" w:rsidRDefault="00D75B38" w:rsidP="00D75B38">
            <w:pPr>
              <w:pStyle w:val="TableParagraph"/>
              <w:numPr>
                <w:ilvl w:val="1"/>
                <w:numId w:val="16"/>
              </w:numPr>
              <w:tabs>
                <w:tab w:val="left" w:pos="445"/>
              </w:tabs>
              <w:spacing w:before="1"/>
              <w:ind w:left="445" w:hanging="341"/>
              <w:rPr>
                <w:sz w:val="17"/>
              </w:rPr>
            </w:pPr>
            <w:proofErr w:type="spellStart"/>
            <w:r>
              <w:rPr>
                <w:sz w:val="17"/>
              </w:rPr>
              <w:t>patogener</w:t>
            </w:r>
            <w:proofErr w:type="spellEnd"/>
            <w:r>
              <w:rPr>
                <w:sz w:val="17"/>
              </w:rPr>
              <w:t>:</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spiredygtige ukrudtsfrø og planteformeringsformler:</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makroskopiske urenheder:</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Kemiske egenskaber af kompost:</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Indhold af tungmetaller:</w:t>
            </w:r>
          </w:p>
          <w:p w14:paraId="58C1AB90" w14:textId="77777777" w:rsidR="00D75B38" w:rsidRDefault="00D75B38" w:rsidP="00D75B38">
            <w:pPr>
              <w:pStyle w:val="TableParagraph"/>
              <w:numPr>
                <w:ilvl w:val="0"/>
                <w:numId w:val="14"/>
              </w:numPr>
              <w:tabs>
                <w:tab w:val="left" w:pos="508"/>
              </w:tabs>
              <w:spacing w:before="1"/>
              <w:ind w:left="508" w:hanging="404"/>
              <w:rPr>
                <w:sz w:val="17"/>
              </w:rPr>
            </w:pPr>
            <w:proofErr w:type="spellStart"/>
            <w:r>
              <w:rPr>
                <w:sz w:val="17"/>
              </w:rPr>
              <w:t>Zn</w:t>
            </w:r>
            <w:proofErr w:type="spellEnd"/>
            <w:r>
              <w:rPr>
                <w:sz w:val="17"/>
              </w:rPr>
              <w:t>:</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proofErr w:type="spellStart"/>
            <w:r>
              <w:rPr>
                <w:sz w:val="17"/>
              </w:rPr>
              <w:t>Pb</w:t>
            </w:r>
            <w:proofErr w:type="spellEnd"/>
            <w:r>
              <w:rPr>
                <w:sz w:val="17"/>
              </w:rPr>
              <w:t>:</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proofErr w:type="spellStart"/>
            <w:r>
              <w:rPr>
                <w:sz w:val="17"/>
              </w:rPr>
              <w:t>Cr</w:t>
            </w:r>
            <w:proofErr w:type="spellEnd"/>
            <w:r>
              <w:rPr>
                <w:sz w:val="17"/>
              </w:rPr>
              <w:t>:</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Organiske urenheder:</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Navn, adresse og vedtægtsmæssigt hjemsted for den bruger, som komposten overdrages til:</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Leveringsadresse:</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Jeg erklærer, at komposten opfylder betingelserne for affaldsfasens ophør, der er fastsat i regeringsdekret nr. 559/2023 af 14. december 2023 om aktiviteter til at forhindre produktionen af bionedbrydeligt affald, de nærmere regler om affaldshåndteringsaktiviteter i forbindelse med bionedbrydeligt affald og reglerne for klassificeringen af kompost fremstillet af bioaffald, og i afsnit 9, stk. 1, i lov CLXXXV af 2012 om affald:</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Dato og underskrift:</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Der udfærdiges en overensstemmelseserklæring for restfermenteringspartiet i overensstemmelse med følgende tabel:</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FERMENTERINGSREST</w:t>
            </w:r>
            <w:r>
              <w:rPr>
                <w:b/>
                <w:sz w:val="17"/>
              </w:rPr>
              <w:br/>
              <w:t>OVERENSSTEMMELSESERKLÆRING</w:t>
            </w:r>
          </w:p>
        </w:tc>
        <w:tc>
          <w:tcPr>
            <w:tcW w:w="4546" w:type="dxa"/>
          </w:tcPr>
          <w:p w14:paraId="16F7218D" w14:textId="77777777" w:rsidR="00D75B38" w:rsidRDefault="00D75B38" w:rsidP="00D75B38">
            <w:pPr>
              <w:pStyle w:val="TableParagraph"/>
              <w:spacing w:line="195" w:lineRule="exact"/>
              <w:rPr>
                <w:sz w:val="17"/>
              </w:rPr>
            </w:pPr>
            <w:r>
              <w:rPr>
                <w:sz w:val="17"/>
              </w:rPr>
              <w:t>1. Navnet på operatøren af biogasanlægget:</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Adresse på operatørens vedtægtsmæssige hjemsted:</w:t>
            </w:r>
          </w:p>
        </w:tc>
        <w:tc>
          <w:tcPr>
            <w:tcW w:w="4546" w:type="dxa"/>
          </w:tcPr>
          <w:p w14:paraId="61677E8E" w14:textId="77777777" w:rsidR="00D75B38" w:rsidRDefault="00D75B38" w:rsidP="00D75B38">
            <w:pPr>
              <w:pStyle w:val="TableParagraph"/>
              <w:spacing w:line="195" w:lineRule="exact"/>
              <w:rPr>
                <w:sz w:val="17"/>
              </w:rPr>
            </w:pPr>
            <w:r>
              <w:rPr>
                <w:sz w:val="17"/>
              </w:rPr>
              <w:t>3. Produktionsstedets adresse:</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w:t>
            </w:r>
          </w:p>
        </w:tc>
        <w:tc>
          <w:tcPr>
            <w:tcW w:w="4546" w:type="dxa"/>
          </w:tcPr>
          <w:p w14:paraId="6313FF0B" w14:textId="77777777" w:rsidR="00D75B38" w:rsidRDefault="00D75B38" w:rsidP="00D75B38">
            <w:pPr>
              <w:pStyle w:val="TableParagraph"/>
              <w:spacing w:line="195" w:lineRule="exact"/>
              <w:rPr>
                <w:sz w:val="17"/>
              </w:rPr>
            </w:pPr>
            <w:r>
              <w:rPr>
                <w:sz w:val="17"/>
              </w:rPr>
              <w:t>5. E-mail:</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fermenteringsrest</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fermenteringsrest</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(Miljøkunde-ID):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(Miljøområde-ID):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Statistisk nummer fra HCSO (Ungarns centrale statistiske kontor):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Affaldshåndteringstilladelsesnummer:</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Tilladelse til markedsføring og anvendelse af eventuelle fermenteringsrester (hvis relevant):</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Behandlingsoperation:</w:t>
            </w:r>
          </w:p>
        </w:tc>
        <w:tc>
          <w:tcPr>
            <w:tcW w:w="4549" w:type="dxa"/>
          </w:tcPr>
          <w:p w14:paraId="12765214" w14:textId="77777777" w:rsidR="00D75B38" w:rsidRDefault="00D75B38" w:rsidP="00D75B38">
            <w:pPr>
              <w:pStyle w:val="TableParagraph"/>
              <w:spacing w:line="195" w:lineRule="exact"/>
              <w:ind w:left="97"/>
              <w:rPr>
                <w:sz w:val="17"/>
              </w:rPr>
            </w:pPr>
            <w:r>
              <w:rPr>
                <w:sz w:val="17"/>
              </w:rPr>
              <w:t>12. Behandlingsteknologi:</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Affald, der anvendes til fremstilling af fermenteringsrester:</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Type:</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Mængde:</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t>Forarbejdningsstøtte (hvis relevant), der anvendes til fremstilling af fermenteringsresten:</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Type:</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Mængde:</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Standard anvendt til biogasproduktion (hvis relevant):</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Mængden af dannede fermenteringsrester (kg eller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Fermenteringsrestens kemiske egenskaber:</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Kemiske egenskaber:</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reaktion:</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indhold af organisk materiale:</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kvælstof i alt:</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fosfor i alt:</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Risikable elementer:</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For tørstofindhold på under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For tørstofindhold på over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w:t>
            </w:r>
            <w:proofErr w:type="spellStart"/>
            <w:r>
              <w:rPr>
                <w:sz w:val="17"/>
              </w:rPr>
              <w:t>Cr</w:t>
            </w:r>
            <w:proofErr w:type="spellEnd"/>
            <w:r>
              <w:rPr>
                <w:sz w:val="17"/>
              </w:rPr>
              <w:t>:</w:t>
            </w:r>
          </w:p>
          <w:p w14:paraId="79367A84" w14:textId="77777777" w:rsidR="00D75B38" w:rsidRDefault="00D75B38" w:rsidP="00D75B38">
            <w:pPr>
              <w:pStyle w:val="TableParagraph"/>
              <w:numPr>
                <w:ilvl w:val="0"/>
                <w:numId w:val="7"/>
              </w:numPr>
              <w:tabs>
                <w:tab w:val="left" w:pos="507"/>
              </w:tabs>
              <w:spacing w:before="28"/>
              <w:ind w:left="507" w:hanging="341"/>
              <w:rPr>
                <w:sz w:val="17"/>
              </w:rPr>
            </w:pPr>
            <w:proofErr w:type="spellStart"/>
            <w:r>
              <w:rPr>
                <w:sz w:val="17"/>
              </w:rPr>
              <w:t>CrVI</w:t>
            </w:r>
            <w:proofErr w:type="spellEnd"/>
            <w:r>
              <w:rPr>
                <w:sz w:val="17"/>
              </w:rPr>
              <w:t>:</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proofErr w:type="spellStart"/>
            <w:r>
              <w:rPr>
                <w:sz w:val="17"/>
              </w:rPr>
              <w:t>Pb</w:t>
            </w:r>
            <w:proofErr w:type="spellEnd"/>
            <w:r>
              <w:rPr>
                <w:sz w:val="17"/>
              </w:rPr>
              <w:t>:</w:t>
            </w:r>
          </w:p>
          <w:p w14:paraId="1C9C4C64" w14:textId="77777777" w:rsidR="00D75B38" w:rsidRDefault="00D75B38" w:rsidP="00D75B38">
            <w:pPr>
              <w:pStyle w:val="TableParagraph"/>
              <w:numPr>
                <w:ilvl w:val="0"/>
                <w:numId w:val="7"/>
              </w:numPr>
              <w:tabs>
                <w:tab w:val="left" w:pos="507"/>
              </w:tabs>
              <w:spacing w:before="32"/>
              <w:ind w:left="507" w:hanging="341"/>
              <w:rPr>
                <w:sz w:val="17"/>
              </w:rPr>
            </w:pPr>
            <w:proofErr w:type="spellStart"/>
            <w:r>
              <w:rPr>
                <w:sz w:val="17"/>
              </w:rPr>
              <w:t>Zn</w:t>
            </w:r>
            <w:proofErr w:type="spellEnd"/>
            <w:r>
              <w:rPr>
                <w:sz w:val="17"/>
              </w:rPr>
              <w:t>:</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w:t>
            </w:r>
            <w:proofErr w:type="spellStart"/>
            <w:r>
              <w:rPr>
                <w:sz w:val="17"/>
              </w:rPr>
              <w:t>Cr</w:t>
            </w:r>
            <w:proofErr w:type="spellEnd"/>
            <w:r>
              <w:rPr>
                <w:sz w:val="17"/>
              </w:rPr>
              <w:t>:</w:t>
            </w:r>
          </w:p>
          <w:p w14:paraId="450BCC6C" w14:textId="77777777" w:rsidR="00D75B38" w:rsidRDefault="00D75B38" w:rsidP="00D75B38">
            <w:pPr>
              <w:pStyle w:val="TableParagraph"/>
              <w:numPr>
                <w:ilvl w:val="0"/>
                <w:numId w:val="6"/>
              </w:numPr>
              <w:tabs>
                <w:tab w:val="left" w:pos="503"/>
              </w:tabs>
              <w:spacing w:before="28"/>
              <w:ind w:left="503" w:hanging="341"/>
              <w:rPr>
                <w:sz w:val="17"/>
              </w:rPr>
            </w:pPr>
            <w:proofErr w:type="spellStart"/>
            <w:r>
              <w:rPr>
                <w:sz w:val="17"/>
              </w:rPr>
              <w:t>CrVI</w:t>
            </w:r>
            <w:proofErr w:type="spellEnd"/>
            <w:r>
              <w:rPr>
                <w:sz w:val="17"/>
              </w:rPr>
              <w:t>:</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proofErr w:type="spellStart"/>
            <w:r>
              <w:rPr>
                <w:sz w:val="17"/>
              </w:rPr>
              <w:t>Pb</w:t>
            </w:r>
            <w:proofErr w:type="spellEnd"/>
            <w:r>
              <w:rPr>
                <w:sz w:val="17"/>
              </w:rPr>
              <w:t>:</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proofErr w:type="spellStart"/>
            <w:r>
              <w:rPr>
                <w:sz w:val="17"/>
              </w:rPr>
              <w:t>Zn</w:t>
            </w:r>
            <w:proofErr w:type="spellEnd"/>
            <w:r>
              <w:rPr>
                <w:sz w:val="17"/>
              </w:rPr>
              <w:t>:</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Organiske miljøgifte:</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For tørstofindhold på under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animalske og vegetabilske fedtstoffer:</w:t>
            </w:r>
          </w:p>
          <w:p w14:paraId="781C3B0E" w14:textId="77777777" w:rsidR="00D75B38" w:rsidRDefault="00D75B38" w:rsidP="00D75B38">
            <w:pPr>
              <w:pStyle w:val="TableParagraph"/>
              <w:numPr>
                <w:ilvl w:val="0"/>
                <w:numId w:val="4"/>
              </w:numPr>
              <w:tabs>
                <w:tab w:val="left" w:pos="508"/>
              </w:tabs>
              <w:spacing w:before="33"/>
              <w:ind w:left="508" w:hanging="341"/>
              <w:rPr>
                <w:sz w:val="17"/>
              </w:rPr>
            </w:pPr>
            <w:proofErr w:type="spellStart"/>
            <w:r>
              <w:rPr>
                <w:sz w:val="17"/>
              </w:rPr>
              <w:t>anionisk</w:t>
            </w:r>
            <w:proofErr w:type="spellEnd"/>
            <w:r>
              <w:rPr>
                <w:sz w:val="17"/>
              </w:rPr>
              <w:t xml:space="preserve"> overfladeaktivt stof:</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For tørstofindhold på over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Fermenteringsrestens biologiske egenskaber:</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Mikrobiologiske forurenende stoffer:</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Antallet af fækale coliforme bakterier:</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Antallet af menneskelige parasitiske æg fra indvoldsorm:</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 xml:space="preserve">Salmonella </w:t>
            </w:r>
            <w:proofErr w:type="spellStart"/>
            <w:r>
              <w:rPr>
                <w:sz w:val="17"/>
              </w:rPr>
              <w:t>sp</w:t>
            </w:r>
            <w:proofErr w:type="spellEnd"/>
            <w:r>
              <w:rPr>
                <w:sz w:val="17"/>
              </w:rPr>
              <w:t>.</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Antallet af fækale streptokokker:</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 xml:space="preserve">Antallet af </w:t>
            </w:r>
            <w:proofErr w:type="spellStart"/>
            <w:r>
              <w:rPr>
                <w:sz w:val="17"/>
              </w:rPr>
              <w:t>pseudomonas</w:t>
            </w:r>
            <w:proofErr w:type="spellEnd"/>
            <w:r>
              <w:rPr>
                <w:sz w:val="17"/>
              </w:rPr>
              <w:t xml:space="preserve"> </w:t>
            </w:r>
            <w:proofErr w:type="spellStart"/>
            <w:r>
              <w:rPr>
                <w:sz w:val="17"/>
              </w:rPr>
              <w:t>aeroginosa</w:t>
            </w:r>
            <w:proofErr w:type="spellEnd"/>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Testresultat for </w:t>
            </w:r>
            <w:proofErr w:type="spellStart"/>
            <w:r>
              <w:rPr>
                <w:i/>
                <w:sz w:val="17"/>
              </w:rPr>
              <w:t>Azotobacter</w:t>
            </w:r>
            <w:proofErr w:type="spellEnd"/>
            <w:r>
              <w:rPr>
                <w:i/>
                <w:sz w:val="17"/>
              </w:rPr>
              <w:t xml:space="preserve"> agile</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Navn, adresse og forretningssted for den bruger, som fermenteringsresten overføres til:</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Leveringsadresse:</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Jeg erklærer, at fermenteringsresten er i overensstemmelse med betingelserne for affaldsfasens ophør, der er fastsat i regeringsdekret nr. 559/2023 af 14. december 2023 om aktiviteter til forebyggelse af produktion af bionedbrydeligt affald, de nærmere regler for affaldshåndteringsaktiviteter i forbindelse med bionedbrydeligt affald og reglerne for klassificering af kompost fremstillet af bioaffald og i afsnit 9, stk. 1, i</w:t>
            </w:r>
          </w:p>
          <w:p w14:paraId="15E63BCD" w14:textId="77777777" w:rsidR="00D75B38" w:rsidRDefault="00D75B38" w:rsidP="00D75B38">
            <w:pPr>
              <w:pStyle w:val="TableParagraph"/>
              <w:spacing w:before="2"/>
              <w:rPr>
                <w:sz w:val="17"/>
              </w:rPr>
            </w:pPr>
            <w:r>
              <w:rPr>
                <w:sz w:val="17"/>
              </w:rPr>
              <w:t>lov CLXXXV af 2012 om affald:</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Dato og underskrift:</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8AF2" w14:textId="77777777" w:rsidR="0087127D" w:rsidRDefault="0087127D" w:rsidP="00D75B38">
      <w:pPr>
        <w:spacing w:after="0" w:line="240" w:lineRule="auto"/>
      </w:pPr>
      <w:r>
        <w:separator/>
      </w:r>
    </w:p>
  </w:endnote>
  <w:endnote w:type="continuationSeparator" w:id="0">
    <w:p w14:paraId="27E618EA" w14:textId="77777777" w:rsidR="0087127D" w:rsidRDefault="0087127D"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DBAC" w14:textId="77777777" w:rsidR="0087127D" w:rsidRDefault="0087127D" w:rsidP="00D75B38">
      <w:pPr>
        <w:spacing w:after="0" w:line="240" w:lineRule="auto"/>
      </w:pPr>
      <w:r>
        <w:separator/>
      </w:r>
    </w:p>
  </w:footnote>
  <w:footnote w:type="continuationSeparator" w:id="0">
    <w:p w14:paraId="4E0082A6" w14:textId="77777777" w:rsidR="0087127D" w:rsidRDefault="0087127D"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3E727D"/>
    <w:rsid w:val="004B077F"/>
    <w:rsid w:val="0087127D"/>
    <w:rsid w:val="009478CF"/>
    <w:rsid w:val="009D57B8"/>
    <w:rsid w:val="00A321C1"/>
    <w:rsid w:val="00AA287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7378</Words>
  <Characters>46042</Characters>
  <Application>Microsoft Office Word</Application>
  <DocSecurity>0</DocSecurity>
  <Lines>2092</Lines>
  <Paragraphs>937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2024-07-24T13:52:00Z</dcterms:created>
  <dcterms:modified xsi:type="dcterms:W3CDTF">2024-07-24T13:52:00Z</dcterms:modified>
</cp:coreProperties>
</file>