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883D72" w:rsidRPr="00C32FE3" w14:paraId="5294C413" w14:textId="77777777" w:rsidTr="008E78E3">
        <w:trPr>
          <w:cantSplit/>
        </w:trPr>
        <w:tc>
          <w:tcPr>
            <w:tcW w:w="3982" w:type="dxa"/>
            <w:gridSpan w:val="3"/>
          </w:tcPr>
          <w:p w14:paraId="12E4120A" w14:textId="77777777" w:rsidR="00883D72" w:rsidRPr="00C32FE3" w:rsidRDefault="00883D72" w:rsidP="008E78E3">
            <w:pPr>
              <w:pStyle w:val="SNREPUBLIQUE"/>
            </w:pPr>
            <w:r>
              <w:t>РЕПУБЛИКА ФРАНЦИЯ</w:t>
            </w:r>
          </w:p>
        </w:tc>
      </w:tr>
      <w:tr w:rsidR="00883D72" w14:paraId="1DC733E0" w14:textId="77777777" w:rsidTr="008E78E3">
        <w:trPr>
          <w:cantSplit/>
          <w:trHeight w:hRule="exact" w:val="113"/>
        </w:trPr>
        <w:tc>
          <w:tcPr>
            <w:tcW w:w="1527" w:type="dxa"/>
          </w:tcPr>
          <w:p w14:paraId="303300D1" w14:textId="77777777" w:rsidR="00883D72" w:rsidRPr="00C32FE3" w:rsidRDefault="00883D72" w:rsidP="008E78E3"/>
        </w:tc>
        <w:tc>
          <w:tcPr>
            <w:tcW w:w="968" w:type="dxa"/>
          </w:tcPr>
          <w:p w14:paraId="2FB32BB1" w14:textId="77777777" w:rsidR="00883D72" w:rsidRPr="00C32FE3" w:rsidRDefault="00883D72" w:rsidP="008E78E3"/>
        </w:tc>
        <w:tc>
          <w:tcPr>
            <w:tcW w:w="1487" w:type="dxa"/>
          </w:tcPr>
          <w:p w14:paraId="079FF002" w14:textId="77777777" w:rsidR="00883D72" w:rsidRPr="00C32FE3" w:rsidRDefault="00883D72" w:rsidP="008E78E3"/>
        </w:tc>
      </w:tr>
      <w:tr w:rsidR="00883D72" w:rsidRPr="00C32FE3" w14:paraId="5C160E58" w14:textId="77777777" w:rsidTr="008E78E3">
        <w:trPr>
          <w:cantSplit/>
        </w:trPr>
        <w:tc>
          <w:tcPr>
            <w:tcW w:w="3982" w:type="dxa"/>
            <w:gridSpan w:val="3"/>
          </w:tcPr>
          <w:p w14:paraId="7E1DE639" w14:textId="310B7EEF" w:rsidR="00883D72" w:rsidRPr="00C32FE3" w:rsidRDefault="00883D72" w:rsidP="008E78E3">
            <w:pPr>
              <w:pStyle w:val="SNTimbre"/>
            </w:pPr>
            <w:r>
              <w:t>Министерство на партньорството с териториите и децентрализацията</w:t>
            </w:r>
          </w:p>
        </w:tc>
      </w:tr>
      <w:tr w:rsidR="00883D72" w14:paraId="7C06654B" w14:textId="77777777" w:rsidTr="008E78E3">
        <w:trPr>
          <w:cantSplit/>
          <w:trHeight w:hRule="exact" w:val="227"/>
        </w:trPr>
        <w:tc>
          <w:tcPr>
            <w:tcW w:w="1527" w:type="dxa"/>
          </w:tcPr>
          <w:p w14:paraId="553126B3" w14:textId="77777777" w:rsidR="00883D72" w:rsidRPr="00C32FE3" w:rsidRDefault="00883D72" w:rsidP="008E78E3"/>
        </w:tc>
        <w:tc>
          <w:tcPr>
            <w:tcW w:w="968" w:type="dxa"/>
          </w:tcPr>
          <w:p w14:paraId="59A68DF9" w14:textId="77777777" w:rsidR="00883D72" w:rsidRPr="00C32FE3" w:rsidRDefault="00883D72" w:rsidP="008E78E3"/>
        </w:tc>
        <w:tc>
          <w:tcPr>
            <w:tcW w:w="1487" w:type="dxa"/>
          </w:tcPr>
          <w:p w14:paraId="65A16757" w14:textId="77777777" w:rsidR="00883D72" w:rsidRPr="00C32FE3" w:rsidRDefault="00883D72" w:rsidP="008E78E3"/>
        </w:tc>
      </w:tr>
      <w:tr w:rsidR="00883D72" w:rsidRPr="00C32FE3" w14:paraId="76313933" w14:textId="77777777" w:rsidTr="008E78E3">
        <w:trPr>
          <w:cantSplit/>
          <w:trHeight w:hRule="exact" w:val="227"/>
        </w:trPr>
        <w:tc>
          <w:tcPr>
            <w:tcW w:w="1527" w:type="dxa"/>
          </w:tcPr>
          <w:p w14:paraId="1C68F5A5" w14:textId="77777777" w:rsidR="00883D72" w:rsidRPr="00C32FE3" w:rsidRDefault="00883D72" w:rsidP="008E78E3"/>
        </w:tc>
        <w:tc>
          <w:tcPr>
            <w:tcW w:w="968" w:type="dxa"/>
          </w:tcPr>
          <w:p w14:paraId="01A4771D" w14:textId="77777777" w:rsidR="00883D72" w:rsidRPr="00C32FE3" w:rsidRDefault="00883D72" w:rsidP="008E78E3"/>
        </w:tc>
        <w:tc>
          <w:tcPr>
            <w:tcW w:w="1487" w:type="dxa"/>
          </w:tcPr>
          <w:p w14:paraId="1D7A418B" w14:textId="77777777" w:rsidR="00883D72" w:rsidRPr="00C32FE3" w:rsidRDefault="00883D72" w:rsidP="008E78E3"/>
        </w:tc>
      </w:tr>
    </w:tbl>
    <w:p w14:paraId="596C5EB6" w14:textId="77777777" w:rsidR="00883D72" w:rsidRPr="00C32FE3" w:rsidRDefault="00883D72" w:rsidP="00883D72">
      <w:pPr>
        <w:pStyle w:val="SNNature"/>
      </w:pPr>
      <w:r>
        <w:t>Указ №                          от</w:t>
      </w:r>
    </w:p>
    <w:p w14:paraId="2D7A540B" w14:textId="77777777" w:rsidR="00883D72" w:rsidRPr="00C32FE3" w:rsidRDefault="00883D72" w:rsidP="00883D72">
      <w:pPr>
        <w:pStyle w:val="SNtitre"/>
      </w:pPr>
      <w:r>
        <w:t>относно условията за прилагане на член L.1214—8—3 от Кодекса за транспорта</w:t>
      </w:r>
    </w:p>
    <w:p w14:paraId="48F7015D" w14:textId="77777777" w:rsidR="00883D72" w:rsidRPr="00C32FE3" w:rsidRDefault="00883D72" w:rsidP="00883D72">
      <w:pPr>
        <w:pStyle w:val="SNNORCentr"/>
      </w:pPr>
      <w:r>
        <w:t>Реф. №: TRET2326169D</w:t>
      </w:r>
    </w:p>
    <w:p w14:paraId="46FC1EAF" w14:textId="77777777" w:rsidR="00883D72" w:rsidRPr="000D7A23" w:rsidRDefault="00883D72" w:rsidP="00883D72">
      <w:pPr>
        <w:pStyle w:val="SNAutorit"/>
        <w:ind w:left="708" w:firstLine="0"/>
        <w:jc w:val="both"/>
        <w:rPr>
          <w:b w:val="0"/>
          <w:i/>
        </w:rPr>
      </w:pPr>
      <w:r>
        <w:rPr>
          <w:i/>
        </w:rPr>
        <w:t xml:space="preserve">Целева аудитория: </w:t>
      </w:r>
      <w:r>
        <w:rPr>
          <w:b w:val="0"/>
          <w:i/>
        </w:rPr>
        <w:t>цифрови услуги за оказване на съдействие при пътуване, които имат за цел да улеснят едномодалното или мултимодалното пътуване чрез транспортни услуги, превозни средства, велосипеди, устройства за лична мобилност или пеша.</w:t>
      </w:r>
    </w:p>
    <w:p w14:paraId="5131E781" w14:textId="77777777" w:rsidR="00883D72" w:rsidRPr="000D7A23" w:rsidRDefault="00883D72" w:rsidP="00883D72">
      <w:pPr>
        <w:pStyle w:val="SNAutorit"/>
        <w:spacing w:before="120"/>
        <w:ind w:left="708" w:firstLine="0"/>
        <w:jc w:val="both"/>
        <w:rPr>
          <w:b w:val="0"/>
          <w:i/>
        </w:rPr>
      </w:pPr>
      <w:r>
        <w:rPr>
          <w:i/>
        </w:rPr>
        <w:t xml:space="preserve">Предмет: </w:t>
      </w:r>
      <w:r>
        <w:rPr>
          <w:b w:val="0"/>
          <w:i/>
        </w:rPr>
        <w:t>определяне на процедурите за прилагане на член L.1214—8—3 от Кодекса за транспорта.</w:t>
      </w:r>
    </w:p>
    <w:p w14:paraId="028B2818" w14:textId="77777777" w:rsidR="00883D72" w:rsidRPr="000D7A23" w:rsidRDefault="00883D72" w:rsidP="00883D72">
      <w:pPr>
        <w:pStyle w:val="SNAutorit"/>
        <w:spacing w:before="120"/>
        <w:ind w:left="708" w:firstLine="0"/>
        <w:jc w:val="both"/>
        <w:rPr>
          <w:b w:val="0"/>
          <w:i/>
        </w:rPr>
      </w:pPr>
      <w:r>
        <w:rPr>
          <w:i/>
        </w:rPr>
        <w:t>Влизане в сила:</w:t>
      </w:r>
      <w:r>
        <w:rPr>
          <w:b w:val="0"/>
          <w:i/>
        </w:rPr>
        <w:t xml:space="preserve"> текстът влиза в сила в деня след публикуването му.</w:t>
      </w:r>
    </w:p>
    <w:p w14:paraId="2F8DC73C" w14:textId="1CA4465B" w:rsidR="00883D72" w:rsidRPr="000D7A23" w:rsidRDefault="00883D72" w:rsidP="00883D72">
      <w:pPr>
        <w:pStyle w:val="SNAutorit"/>
        <w:spacing w:before="120"/>
        <w:ind w:left="708" w:firstLine="0"/>
        <w:jc w:val="both"/>
        <w:rPr>
          <w:b w:val="0"/>
          <w:i/>
        </w:rPr>
      </w:pPr>
      <w:r>
        <w:rPr>
          <w:i/>
        </w:rPr>
        <w:t xml:space="preserve">Известие: </w:t>
      </w:r>
      <w:r>
        <w:rPr>
          <w:b w:val="0"/>
          <w:i/>
        </w:rPr>
        <w:t>указът определя процедурите за прилагане на разпоредбите на член L.1214—8—3 от Кодекса за транспорта относно достъпа до съответните данни от цифровите услуги за подпомагане на пътуванията към организационните органи за мобилност с цел разбиране на мобилността в рамките на тяхната териториална юрисдикция, с оглед насърчаване на подходящи алтернативи на изключителното използване на отделното превозно средство, по-специално в зони за мобилност с ниски емисии, и оценка на въздействието на стратегиите за преминаване към други видове транспорт, по-специално адекватността на съоръженията за паркиране и возене. Указът определя съответните данни, реда и условията за достъп и обезпечаване на данните, както и реда и условията за информиране на субектите на данни.</w:t>
      </w:r>
    </w:p>
    <w:p w14:paraId="6D210A36" w14:textId="5B4C1B6F" w:rsidR="00883D72" w:rsidRPr="000D7A23" w:rsidRDefault="00883D72" w:rsidP="00883D72">
      <w:pPr>
        <w:pStyle w:val="SNAutorit"/>
        <w:spacing w:before="120"/>
        <w:ind w:left="708" w:firstLine="0"/>
        <w:rPr>
          <w:b w:val="0"/>
          <w:i/>
        </w:rPr>
      </w:pPr>
      <w:r>
        <w:rPr>
          <w:i/>
        </w:rPr>
        <w:t xml:space="preserve">Референции: </w:t>
      </w:r>
      <w:r>
        <w:rPr>
          <w:b w:val="0"/>
          <w:i/>
        </w:rPr>
        <w:t>настоящият указ се издава за прилагането на член L.1214—8—3 от Кодекса за транспорта, произтичащ от член 109 от Закон № 2021—1104 от 22 август 2021 г. относно борбата с изменението на климата и укрепването на устойчивостта спрямо последиците от него. Можете да направите справка на уеб сайта на Légifrance (http://www.legifrance.gouv.fr).</w:t>
      </w:r>
    </w:p>
    <w:p w14:paraId="27919A0D" w14:textId="77777777" w:rsidR="00883D72" w:rsidRPr="00C32FE3" w:rsidRDefault="00883D72" w:rsidP="00883D72">
      <w:pPr>
        <w:pStyle w:val="SNAutorit"/>
      </w:pPr>
      <w:r>
        <w:t>Министър-председателят,</w:t>
      </w:r>
    </w:p>
    <w:p w14:paraId="17CFB5DF" w14:textId="4FF4D1D2" w:rsidR="00883D72" w:rsidRPr="00C32FE3" w:rsidRDefault="00883D72" w:rsidP="00396E80">
      <w:pPr>
        <w:pStyle w:val="SNRapport"/>
      </w:pPr>
      <w:r>
        <w:t>В следствие на доклада на министъра делегиран към министъра за партньорство с териториите и децентрализацията, отговарящ за транспорта,</w:t>
      </w:r>
    </w:p>
    <w:p w14:paraId="1680FAFD" w14:textId="217FE4C0" w:rsidR="00883D72" w:rsidRDefault="00883D72" w:rsidP="00883D72">
      <w:pPr>
        <w:ind w:left="708"/>
        <w:jc w:val="both"/>
        <w:rPr>
          <w:iCs/>
          <w:color w:val="00000A"/>
        </w:rPr>
      </w:pPr>
      <w:r>
        <w:rPr>
          <w:color w:val="00000A"/>
        </w:rPr>
        <w:lastRenderedPageBreak/>
        <w:t>като взе предвид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както и Нотификация № 2022/64/F,</w:t>
      </w:r>
    </w:p>
    <w:p w14:paraId="42775026" w14:textId="764A96B2" w:rsidR="00B45048" w:rsidRDefault="00B45048" w:rsidP="00883D72">
      <w:pPr>
        <w:ind w:left="708"/>
        <w:jc w:val="both"/>
        <w:rPr>
          <w:iCs/>
          <w:color w:val="00000A"/>
        </w:rPr>
      </w:pPr>
    </w:p>
    <w:p w14:paraId="26842327" w14:textId="6F06E583" w:rsidR="00B45048" w:rsidRDefault="00B45048" w:rsidP="00883D72">
      <w:pPr>
        <w:ind w:left="708"/>
        <w:jc w:val="both"/>
        <w:rPr>
          <w:iCs/>
          <w:color w:val="00000A"/>
        </w:rPr>
      </w:pPr>
      <w:r>
        <w:rPr>
          <w:color w:val="00000A"/>
        </w:rPr>
        <w:t>като взе предвид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w:t>
      </w:r>
    </w:p>
    <w:p w14:paraId="6D29809E" w14:textId="77777777" w:rsidR="00883D72" w:rsidRDefault="00883D72" w:rsidP="00883D72">
      <w:pPr>
        <w:ind w:left="708"/>
        <w:jc w:val="both"/>
        <w:rPr>
          <w:iCs/>
          <w:color w:val="00000A"/>
        </w:rPr>
      </w:pPr>
    </w:p>
    <w:p w14:paraId="6C381CE4" w14:textId="3CB6F486" w:rsidR="00883D72" w:rsidRDefault="00883D72" w:rsidP="00883D72">
      <w:pPr>
        <w:ind w:left="708"/>
        <w:jc w:val="both"/>
        <w:rPr>
          <w:iCs/>
          <w:color w:val="00000A"/>
        </w:rPr>
      </w:pPr>
      <w:r>
        <w:rPr>
          <w:color w:val="00000A"/>
        </w:rPr>
        <w:t>като взе предвид Кодекса на транспорта, и по-специално член L. 1214—8—3 от него;</w:t>
      </w:r>
    </w:p>
    <w:p w14:paraId="3B8B0284" w14:textId="77777777" w:rsidR="00B45048" w:rsidRDefault="00B45048" w:rsidP="00883D72">
      <w:pPr>
        <w:ind w:left="708"/>
        <w:jc w:val="both"/>
        <w:rPr>
          <w:iCs/>
          <w:color w:val="00000A"/>
        </w:rPr>
      </w:pPr>
    </w:p>
    <w:p w14:paraId="3FB93B75" w14:textId="77777777" w:rsidR="00883D72" w:rsidRPr="00FC07BF" w:rsidRDefault="00883D72" w:rsidP="00883D72">
      <w:pPr>
        <w:ind w:left="708"/>
        <w:jc w:val="both"/>
        <w:rPr>
          <w:iCs/>
          <w:color w:val="00000A"/>
        </w:rPr>
      </w:pPr>
      <w:r>
        <w:rPr>
          <w:color w:val="00000A"/>
        </w:rPr>
        <w:t>като взе предвид Закон № 2021</w:t>
      </w:r>
      <w:r>
        <w:rPr>
          <w:color w:val="00000A"/>
        </w:rPr>
        <w:noBreakHyphen/>
        <w:t>1104 от 22 август 2021 г. относно борбата с изменението на климата и укрепването на устойчивостта на последиците от него, и по-специално член 109 от него,</w:t>
      </w:r>
    </w:p>
    <w:p w14:paraId="402ACF3F" w14:textId="77777777" w:rsidR="00883D72" w:rsidRPr="004B6885" w:rsidRDefault="00883D72" w:rsidP="00883D72">
      <w:pPr>
        <w:ind w:left="708"/>
        <w:jc w:val="both"/>
        <w:rPr>
          <w:iCs/>
          <w:color w:val="00000A"/>
        </w:rPr>
      </w:pPr>
    </w:p>
    <w:p w14:paraId="455D7243" w14:textId="356248E9" w:rsidR="00883D72" w:rsidRDefault="00883D72" w:rsidP="00883D72">
      <w:pPr>
        <w:ind w:left="708"/>
        <w:jc w:val="both"/>
        <w:rPr>
          <w:iCs/>
          <w:color w:val="00000A"/>
        </w:rPr>
      </w:pPr>
      <w:r>
        <w:rPr>
          <w:color w:val="00000A"/>
        </w:rPr>
        <w:t>като взе предвид становището на Националния съвет по оценка на стандартите от 10 октомври 2024 г.;</w:t>
      </w:r>
    </w:p>
    <w:p w14:paraId="2CF54E08" w14:textId="77777777" w:rsidR="00883D72" w:rsidRPr="004B6885" w:rsidRDefault="00883D72" w:rsidP="00883D72">
      <w:pPr>
        <w:ind w:left="708"/>
        <w:jc w:val="both"/>
        <w:rPr>
          <w:iCs/>
          <w:color w:val="00000A"/>
        </w:rPr>
      </w:pPr>
    </w:p>
    <w:p w14:paraId="59BF4CA4" w14:textId="4264DA6E" w:rsidR="00883D72" w:rsidRPr="004B6885" w:rsidRDefault="00883D72" w:rsidP="00883D72">
      <w:pPr>
        <w:ind w:left="708"/>
        <w:jc w:val="both"/>
        <w:rPr>
          <w:iCs/>
          <w:color w:val="00000A"/>
        </w:rPr>
      </w:pPr>
      <w:r>
        <w:rPr>
          <w:color w:val="00000A"/>
        </w:rPr>
        <w:t>като взе предвид становището на френския орган за защита на данните от 19 септември 2024 г.,</w:t>
      </w:r>
    </w:p>
    <w:p w14:paraId="1AEC1136" w14:textId="77777777" w:rsidR="00883D72" w:rsidRPr="004B6885" w:rsidRDefault="00883D72" w:rsidP="00883D72">
      <w:pPr>
        <w:ind w:left="708"/>
        <w:jc w:val="both"/>
        <w:rPr>
          <w:iCs/>
          <w:color w:val="00000A"/>
        </w:rPr>
      </w:pPr>
    </w:p>
    <w:p w14:paraId="6D5D1217" w14:textId="77777777" w:rsidR="00883D72" w:rsidRPr="00C32FE3" w:rsidRDefault="00883D72" w:rsidP="00E67613">
      <w:pPr>
        <w:pStyle w:val="SNActe"/>
      </w:pPr>
      <w:r>
        <w:t>С настоящото реши:</w:t>
      </w:r>
    </w:p>
    <w:p w14:paraId="268BF584" w14:textId="77777777" w:rsidR="00883D72" w:rsidRPr="004E0C89" w:rsidRDefault="00883D72" w:rsidP="00D91770">
      <w:pPr>
        <w:pStyle w:val="1"/>
        <w:jc w:val="left"/>
      </w:pPr>
      <w:r>
        <w:t>[</w:t>
      </w:r>
    </w:p>
    <w:p w14:paraId="625697DA" w14:textId="77777777" w:rsidR="00883D72" w:rsidRPr="00C32FE3" w:rsidRDefault="00883D72" w:rsidP="00883D72">
      <w:pPr>
        <w:pStyle w:val="SNArticle"/>
      </w:pPr>
      <w:r>
        <w:t>Член 1</w:t>
      </w:r>
    </w:p>
    <w:p w14:paraId="2F0C6A4D" w14:textId="77777777" w:rsidR="00883D72" w:rsidRDefault="00883D72" w:rsidP="00883D72">
      <w:pPr>
        <w:pStyle w:val="a3"/>
      </w:pPr>
      <w:r>
        <w:t>I. — Глава IV от дял I на книга II на първа част от Кодекса за транспорта (Регулаторна част) се изменя, както следва:</w:t>
      </w:r>
    </w:p>
    <w:p w14:paraId="0A56D93A" w14:textId="5E8B9A06" w:rsidR="00883D72" w:rsidRDefault="00883D72" w:rsidP="00883D72">
      <w:pPr>
        <w:pStyle w:val="a3"/>
      </w:pPr>
      <w:r>
        <w:t>1) С настоящото се създава раздел 5, озаглавен: „ Разпоредби относно цифровите услуги за оказване на съдействие при пътуване“, които включват членове D.1214—13 до D.1214—18, формулирани както следва:</w:t>
      </w:r>
    </w:p>
    <w:p w14:paraId="40D843F6" w14:textId="2E970FFB" w:rsidR="00883D72" w:rsidRDefault="00883D72" w:rsidP="00883D72">
      <w:pPr>
        <w:jc w:val="center"/>
      </w:pPr>
      <w:r>
        <w:t>„ </w:t>
      </w:r>
      <w:r>
        <w:rPr>
          <w:i/>
        </w:rPr>
        <w:t>Член 5</w:t>
      </w:r>
    </w:p>
    <w:p w14:paraId="43B40F8E" w14:textId="77777777" w:rsidR="00883D72" w:rsidRDefault="00883D72" w:rsidP="00883D72">
      <w:pPr>
        <w:jc w:val="center"/>
        <w:rPr>
          <w:i/>
        </w:rPr>
      </w:pPr>
      <w:r>
        <w:t>„ </w:t>
      </w:r>
      <w:r>
        <w:rPr>
          <w:i/>
        </w:rPr>
        <w:t>Разпоредби за цифрови услуги оказване на съдействие при пътуване </w:t>
      </w:r>
    </w:p>
    <w:p w14:paraId="6DC59698" w14:textId="77777777" w:rsidR="00883D72" w:rsidRDefault="00883D72" w:rsidP="00883D72">
      <w:pPr>
        <w:jc w:val="center"/>
        <w:rPr>
          <w:i/>
        </w:rPr>
      </w:pPr>
    </w:p>
    <w:p w14:paraId="502F4785" w14:textId="51AEE314" w:rsidR="00883D72" w:rsidRPr="0035097F" w:rsidRDefault="00883D72" w:rsidP="00883D72">
      <w:pPr>
        <w:pStyle w:val="a3"/>
      </w:pPr>
      <w:r>
        <w:t xml:space="preserve">„ </w:t>
      </w:r>
      <w:r>
        <w:rPr>
          <w:i/>
        </w:rPr>
        <w:t>Член D. 1214-13.</w:t>
      </w:r>
      <w:r>
        <w:t xml:space="preserve"> – Съответните данни за пътуване и трафик, притежавани от цифровите услуги за оказване на съдействие при пътуване, посочени в I на член L.1214—8—3, се състоят от следните данни: </w:t>
      </w:r>
    </w:p>
    <w:p w14:paraId="40D78E5C" w14:textId="77777777" w:rsidR="00883D72" w:rsidRPr="0035097F" w:rsidRDefault="00883D72" w:rsidP="00883D72">
      <w:pPr>
        <w:pStyle w:val="a5"/>
        <w:numPr>
          <w:ilvl w:val="0"/>
          <w:numId w:val="1"/>
        </w:numPr>
        <w:rPr>
          <w:sz w:val="24"/>
          <w:szCs w:val="24"/>
        </w:rPr>
      </w:pPr>
      <w:r>
        <w:rPr>
          <w:sz w:val="24"/>
        </w:rPr>
        <w:t>Времеви печат за проследяване;</w:t>
      </w:r>
    </w:p>
    <w:p w14:paraId="287D3F7B" w14:textId="77777777" w:rsidR="00883D72" w:rsidRPr="0035097F" w:rsidRDefault="00883D72" w:rsidP="00883D72">
      <w:pPr>
        <w:pStyle w:val="a5"/>
        <w:numPr>
          <w:ilvl w:val="0"/>
          <w:numId w:val="1"/>
        </w:numPr>
        <w:rPr>
          <w:sz w:val="24"/>
          <w:szCs w:val="24"/>
        </w:rPr>
      </w:pPr>
      <w:r>
        <w:rPr>
          <w:sz w:val="24"/>
        </w:rPr>
        <w:t>Уникален идентификатор на маршрута;</w:t>
      </w:r>
    </w:p>
    <w:p w14:paraId="67F92647" w14:textId="10403F03" w:rsidR="00883D72" w:rsidRPr="0035097F" w:rsidRDefault="00883D72" w:rsidP="00883D72">
      <w:pPr>
        <w:pStyle w:val="a5"/>
        <w:numPr>
          <w:ilvl w:val="0"/>
          <w:numId w:val="1"/>
        </w:numPr>
        <w:rPr>
          <w:sz w:val="24"/>
          <w:szCs w:val="24"/>
        </w:rPr>
      </w:pPr>
      <w:r>
        <w:rPr>
          <w:sz w:val="24"/>
        </w:rPr>
        <w:t>Времеви печат на местоположението;</w:t>
      </w:r>
    </w:p>
    <w:p w14:paraId="5C3E4E67" w14:textId="77777777" w:rsidR="00883D72" w:rsidRPr="0035097F" w:rsidRDefault="00883D72" w:rsidP="00883D72">
      <w:pPr>
        <w:pStyle w:val="a5"/>
        <w:numPr>
          <w:ilvl w:val="0"/>
          <w:numId w:val="1"/>
        </w:numPr>
        <w:rPr>
          <w:sz w:val="24"/>
          <w:szCs w:val="24"/>
        </w:rPr>
      </w:pPr>
      <w:r>
        <w:rPr>
          <w:sz w:val="24"/>
        </w:rPr>
        <w:t>Географска ширина</w:t>
      </w:r>
    </w:p>
    <w:p w14:paraId="5D52B2BD" w14:textId="77777777" w:rsidR="00883D72" w:rsidRPr="0035097F" w:rsidRDefault="00883D72" w:rsidP="00883D72">
      <w:pPr>
        <w:pStyle w:val="a5"/>
        <w:numPr>
          <w:ilvl w:val="0"/>
          <w:numId w:val="1"/>
        </w:numPr>
        <w:rPr>
          <w:sz w:val="24"/>
          <w:szCs w:val="24"/>
        </w:rPr>
      </w:pPr>
      <w:r>
        <w:rPr>
          <w:sz w:val="24"/>
        </w:rPr>
        <w:t>Географска дължина</w:t>
      </w:r>
    </w:p>
    <w:p w14:paraId="489FD706" w14:textId="45B5C8C2" w:rsidR="00883D72" w:rsidRPr="0035097F" w:rsidRDefault="00883D72" w:rsidP="00883D72">
      <w:pPr>
        <w:pStyle w:val="a5"/>
        <w:numPr>
          <w:ilvl w:val="0"/>
          <w:numId w:val="1"/>
        </w:numPr>
        <w:rPr>
          <w:sz w:val="24"/>
          <w:szCs w:val="24"/>
        </w:rPr>
      </w:pPr>
      <w:r>
        <w:rPr>
          <w:sz w:val="24"/>
        </w:rPr>
        <w:t>Посока на движение;</w:t>
      </w:r>
    </w:p>
    <w:p w14:paraId="3708DD44" w14:textId="21AD2965" w:rsidR="00883D72" w:rsidRDefault="00883D72" w:rsidP="00883D72">
      <w:pPr>
        <w:pStyle w:val="a5"/>
        <w:numPr>
          <w:ilvl w:val="0"/>
          <w:numId w:val="1"/>
        </w:numPr>
        <w:rPr>
          <w:sz w:val="24"/>
          <w:szCs w:val="24"/>
        </w:rPr>
      </w:pPr>
      <w:r>
        <w:rPr>
          <w:sz w:val="24"/>
        </w:rPr>
        <w:t>Моментна скорост;</w:t>
      </w:r>
    </w:p>
    <w:p w14:paraId="58569D43" w14:textId="5DE622F0" w:rsidR="00B45048" w:rsidRPr="0035097F" w:rsidRDefault="00B45048" w:rsidP="00883D72">
      <w:pPr>
        <w:pStyle w:val="a5"/>
        <w:numPr>
          <w:ilvl w:val="0"/>
          <w:numId w:val="1"/>
        </w:numPr>
        <w:rPr>
          <w:sz w:val="24"/>
          <w:szCs w:val="24"/>
        </w:rPr>
      </w:pPr>
      <w:r>
        <w:rPr>
          <w:sz w:val="24"/>
        </w:rPr>
        <w:t>Вид транспорт.</w:t>
      </w:r>
    </w:p>
    <w:p w14:paraId="6A1D5C9B" w14:textId="77777777" w:rsidR="00883D72" w:rsidRPr="0020266F" w:rsidRDefault="00883D72" w:rsidP="00883D72">
      <w:pPr>
        <w:pStyle w:val="a5"/>
        <w:ind w:left="405"/>
      </w:pPr>
    </w:p>
    <w:p w14:paraId="03769D86" w14:textId="7359D231" w:rsidR="00883D72" w:rsidRDefault="00883D72" w:rsidP="00883D72">
      <w:pPr>
        <w:pStyle w:val="a3"/>
      </w:pPr>
      <w:r>
        <w:t xml:space="preserve"> „</w:t>
      </w:r>
      <w:r>
        <w:rPr>
          <w:i/>
        </w:rPr>
        <w:t xml:space="preserve"> Член D. 1214-14. - </w:t>
      </w:r>
      <w:r>
        <w:t xml:space="preserve"> Искането за предоставяне на съответните данни по смисъла на I от член L. 1214—8—3, отправено от Органите за мобилност, може да се отнася само до данни, </w:t>
      </w:r>
      <w:r>
        <w:lastRenderedPageBreak/>
        <w:t>получени в резултат на процес на анонимизиране на данните, посочен в член D. 1214—13, чието използване е необходимо за постигане на целите, определени в III от член L. 1214—8—3.</w:t>
      </w:r>
    </w:p>
    <w:p w14:paraId="7885D0C7" w14:textId="073774D2" w:rsidR="00883D72" w:rsidRDefault="00883D72" w:rsidP="00883D72">
      <w:pPr>
        <w:pStyle w:val="a3"/>
      </w:pPr>
      <w:r>
        <w:t xml:space="preserve">„ </w:t>
      </w:r>
      <w:r>
        <w:rPr>
          <w:i/>
        </w:rPr>
        <w:t>Член D. 1214-15.</w:t>
      </w:r>
      <w:r>
        <w:t xml:space="preserve"> – - За целите на I от член L. 1214—8—3, цифровите услуги за оказване на съдействие при пътуване са задължени да анонимизират данните, посочени в член D.1214—13. Избраният метод за анонимизиране трябва да гарантира необратимата анонимизация на данните в съответствие с най-съвременните технологии, като същевременно предоставя подходяща и използваема информация, за да отговори на нуждите на Органите за организиране на мобилността. Информацията, предоставена на Органите за мобилност, трябва да бъде представена в отворен формат, лесно използваема и годна за експлоатация от автоматизирана система за обработка.“</w:t>
      </w:r>
    </w:p>
    <w:p w14:paraId="40A75DDA" w14:textId="302A7F5A" w:rsidR="00883D72" w:rsidRDefault="00883D72" w:rsidP="008B5EF2">
      <w:pPr>
        <w:pStyle w:val="a3"/>
      </w:pPr>
      <w:r>
        <w:t xml:space="preserve">„ </w:t>
      </w:r>
      <w:r>
        <w:rPr>
          <w:i/>
        </w:rPr>
        <w:t>Член D. 1214-16.</w:t>
      </w:r>
      <w:r>
        <w:t xml:space="preserve"> – Службите за оказване на цифрово съдействие при пътуване, които получават искане от орган, организиращ мобилността, за предоставяне на данни, информират съответните ползватели за изпълнението на операция по обработване, насочена към анонимизиране на техните данни за пътуване, при условията, предвидени в членове 12 и 13 от Регламент (ЕС) 2016/679 относно защитата на физическите лица във връзка с обработването на лични данни и относно свободното движение на такива данни.</w:t>
      </w:r>
    </w:p>
    <w:p w14:paraId="25E997EB" w14:textId="77777777" w:rsidR="00B45048" w:rsidRDefault="00B45048" w:rsidP="00B45048">
      <w:pPr>
        <w:pStyle w:val="a3"/>
      </w:pPr>
      <w:r>
        <w:t>„ Член D. 1214-17. – Финансовите компенсации за разходите, свързани с анонимизирането на данните, могат да бъдат получени от цифровите услуги за оказване на съдействие при пътуване, които предоставят на Органа за организиране на мобилността подробна информация за разходите, произтичащи от анонимизирането.</w:t>
      </w:r>
    </w:p>
    <w:p w14:paraId="6FAEE03C" w14:textId="54DF830F" w:rsidR="00883D72" w:rsidRPr="00C32FE3" w:rsidRDefault="00B45048" w:rsidP="003C7294">
      <w:pPr>
        <w:jc w:val="both"/>
      </w:pPr>
      <w:r>
        <w:t>„ Член D. 1214—18. Съгласно разпоредбите на член 32 от Регламент (ЕС) 2016/679 относно защитата на физическите лица във връзка с обработването на лични данни и относно свободното движение на такива данни, цифровите услуги за оказване на съдействие при пътуване прилагат подходящи технически и организационни мерки при изпълнението на процеса на анонимизиране на данните, посочен в член D.1214—13.</w:t>
      </w:r>
    </w:p>
    <w:p w14:paraId="22DD5D67" w14:textId="05023230" w:rsidR="00883D72" w:rsidRPr="00C32FE3" w:rsidRDefault="00883D72" w:rsidP="00883D72">
      <w:pPr>
        <w:pStyle w:val="SNArticle"/>
      </w:pPr>
      <w:r>
        <w:t>Член 2</w:t>
      </w:r>
    </w:p>
    <w:p w14:paraId="2154F8C9" w14:textId="3F5253A1" w:rsidR="00883D72" w:rsidRDefault="00883D72" w:rsidP="00883D72">
      <w:pPr>
        <w:pStyle w:val="a3"/>
      </w:pPr>
      <w:r>
        <w:t xml:space="preserve">Министърът на партньорството с териториите и децентрализацията и министърът към министъра на партньорството с териториите и децентрализацията, отговарящ за транспорта, отговарят, всеки доколкото се отнася до него, за изпълнението на настоящия указ, който се публикува в </w:t>
      </w:r>
      <w:r>
        <w:rPr>
          <w:i/>
        </w:rPr>
        <w:t>Държавен вестник</w:t>
      </w:r>
      <w:r>
        <w:t xml:space="preserve"> на Френската република.</w:t>
      </w:r>
    </w:p>
    <w:p w14:paraId="43D3F9DE" w14:textId="68A1FFE5" w:rsidR="00883D72" w:rsidRPr="00C32FE3" w:rsidRDefault="00883D72" w:rsidP="00883D72">
      <w:pPr>
        <w:pStyle w:val="a3"/>
      </w:pPr>
    </w:p>
    <w:p w14:paraId="3625A1F3" w14:textId="1A349CEF" w:rsidR="00883D72" w:rsidRPr="00E90E1B" w:rsidRDefault="00883D72" w:rsidP="00883D72">
      <w:pPr>
        <w:jc w:val="both"/>
        <w:rPr>
          <w:rFonts w:eastAsia="MS Mincho"/>
          <w:color w:val="00000A"/>
        </w:rPr>
      </w:pPr>
      <w:r>
        <w:rPr>
          <w:color w:val="00000A"/>
        </w:rPr>
        <w:t>Съставено на XXX 2024 г.</w:t>
      </w:r>
    </w:p>
    <w:p w14:paraId="28B23C2D" w14:textId="77777777" w:rsidR="00883D72" w:rsidRPr="00E90E1B" w:rsidRDefault="00883D72" w:rsidP="00883D72">
      <w:pPr>
        <w:rPr>
          <w:color w:val="00000A"/>
        </w:rPr>
      </w:pPr>
    </w:p>
    <w:p w14:paraId="58BB60F7" w14:textId="77777777" w:rsidR="00883D72" w:rsidRPr="00E90E1B" w:rsidRDefault="00883D72" w:rsidP="00883D72">
      <w:pPr>
        <w:rPr>
          <w:color w:val="00000A"/>
        </w:rPr>
      </w:pPr>
    </w:p>
    <w:p w14:paraId="2783BCAC" w14:textId="77777777" w:rsidR="00883D72" w:rsidRPr="00E90E1B" w:rsidRDefault="00883D72" w:rsidP="00883D72">
      <w:pPr>
        <w:rPr>
          <w:color w:val="00000A"/>
        </w:rPr>
      </w:pPr>
    </w:p>
    <w:p w14:paraId="25A9B963" w14:textId="77777777" w:rsidR="00B45048" w:rsidRPr="00B45048" w:rsidRDefault="00B45048" w:rsidP="00B45048">
      <w:pPr>
        <w:rPr>
          <w:color w:val="00000A"/>
        </w:rPr>
      </w:pPr>
      <w:r>
        <w:rPr>
          <w:color w:val="00000A"/>
        </w:rPr>
        <w:t>От министър-председателя:</w:t>
      </w:r>
    </w:p>
    <w:p w14:paraId="7B39E09B" w14:textId="5BFF95BE" w:rsidR="00B45048" w:rsidRPr="00B45048" w:rsidRDefault="00992FA1" w:rsidP="00B45048">
      <w:pPr>
        <w:rPr>
          <w:color w:val="00000A"/>
        </w:rPr>
      </w:pPr>
      <w:r>
        <w:rPr>
          <w:color w:val="00000A"/>
        </w:rPr>
        <w:t>Michel BARNIER</w:t>
      </w:r>
    </w:p>
    <w:p w14:paraId="0D92D110" w14:textId="77777777" w:rsidR="001E0647" w:rsidRDefault="001E0647" w:rsidP="00B45048">
      <w:pPr>
        <w:rPr>
          <w:color w:val="00000A"/>
        </w:rPr>
      </w:pPr>
    </w:p>
    <w:p w14:paraId="766A8BBF" w14:textId="65FBEBE6" w:rsidR="00B45048" w:rsidRPr="00B45048" w:rsidRDefault="00B45048" w:rsidP="00B45048">
      <w:pPr>
        <w:rPr>
          <w:color w:val="00000A"/>
        </w:rPr>
      </w:pPr>
      <w:r>
        <w:rPr>
          <w:color w:val="00000A"/>
        </w:rPr>
        <w:t>Министърът на партньорството с териториите и децентрализацията,</w:t>
      </w:r>
    </w:p>
    <w:p w14:paraId="70801EE3" w14:textId="69E20974" w:rsidR="00B45048" w:rsidRDefault="00853B18" w:rsidP="00B45048">
      <w:pPr>
        <w:rPr>
          <w:color w:val="00000A"/>
        </w:rPr>
      </w:pPr>
      <w:r>
        <w:rPr>
          <w:color w:val="00000A"/>
        </w:rPr>
        <w:t>Catherine VAUTRIN</w:t>
      </w:r>
    </w:p>
    <w:p w14:paraId="1F91A300" w14:textId="77777777" w:rsidR="00482098" w:rsidRDefault="00482098" w:rsidP="00B45048">
      <w:pPr>
        <w:rPr>
          <w:color w:val="00000A"/>
        </w:rPr>
      </w:pPr>
    </w:p>
    <w:p w14:paraId="57B5006A" w14:textId="77777777" w:rsidR="00B45048" w:rsidRPr="00B45048" w:rsidRDefault="00B45048" w:rsidP="00B45048">
      <w:pPr>
        <w:rPr>
          <w:color w:val="00000A"/>
        </w:rPr>
      </w:pPr>
    </w:p>
    <w:p w14:paraId="7E2DD815" w14:textId="65A8FAFC" w:rsidR="00B45048" w:rsidRPr="00B45048" w:rsidRDefault="00B45048" w:rsidP="00AD1053">
      <w:pPr>
        <w:jc w:val="right"/>
        <w:rPr>
          <w:color w:val="00000A"/>
        </w:rPr>
      </w:pPr>
      <w:r>
        <w:rPr>
          <w:color w:val="00000A"/>
        </w:rPr>
        <w:t>Заместник-министърът към министъра на партньорството с териториите и децентрализацията, отговарящ за транспорта,</w:t>
      </w:r>
    </w:p>
    <w:p w14:paraId="3FC793F1" w14:textId="73F8BF45" w:rsidR="00B45048" w:rsidRPr="00B45048" w:rsidRDefault="002835FE" w:rsidP="00AD1053">
      <w:pPr>
        <w:jc w:val="right"/>
        <w:rPr>
          <w:color w:val="00000A"/>
        </w:rPr>
      </w:pPr>
      <w:r>
        <w:rPr>
          <w:color w:val="00000A"/>
        </w:rPr>
        <w:t xml:space="preserve">François DUROVRAY </w:t>
      </w:r>
    </w:p>
    <w:sectPr w:rsidR="00B45048" w:rsidRPr="00B45048">
      <w:headerReference w:type="even" r:id="rId7"/>
      <w:headerReference w:type="default" r:id="rId8"/>
      <w:footerReference w:type="even" r:id="rId9"/>
      <w:footerReference w:type="default" r:id="rId10"/>
      <w:headerReference w:type="first" r:id="rId11"/>
      <w:footerReference w:type="first" r:id="rId12"/>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0DCAF" w14:textId="77777777" w:rsidR="00602055" w:rsidRDefault="00602055">
      <w:r>
        <w:separator/>
      </w:r>
    </w:p>
  </w:endnote>
  <w:endnote w:type="continuationSeparator" w:id="0">
    <w:p w14:paraId="44832136" w14:textId="77777777" w:rsidR="00602055" w:rsidRDefault="0060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CAE7" w14:textId="77777777" w:rsidR="00026AAA" w:rsidRDefault="00026A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1C86" w14:textId="77777777" w:rsidR="00026AAA" w:rsidRDefault="00026A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72B8D" w14:textId="77777777" w:rsidR="00026AAA" w:rsidRDefault="00026A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10109" w14:textId="77777777" w:rsidR="00602055" w:rsidRDefault="00602055">
      <w:r>
        <w:separator/>
      </w:r>
    </w:p>
  </w:footnote>
  <w:footnote w:type="continuationSeparator" w:id="0">
    <w:p w14:paraId="035E9C54" w14:textId="77777777" w:rsidR="00602055" w:rsidRDefault="0060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91BBC" w14:textId="77777777" w:rsidR="00026AAA" w:rsidRDefault="00026AA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992431"/>
      <w:docPartObj>
        <w:docPartGallery w:val="Watermarks"/>
        <w:docPartUnique/>
      </w:docPartObj>
    </w:sdtPr>
    <w:sdtEndPr/>
    <w:sdtContent>
      <w:p w14:paraId="3B328644" w14:textId="77777777" w:rsidR="00026AAA" w:rsidRDefault="00026AAA">
        <w:pPr>
          <w:pStyle w:val="a6"/>
        </w:pPr>
        <w:r>
          <w:pict w14:anchorId="15777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171267" o:spid="_x0000_s2049" type="#_x0000_t136" style="position:absolute;margin-left:0;margin-top:0;width:412.1pt;height:247.25pt;rotation:315;z-index:-251658752;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FB29E" w14:textId="77777777" w:rsidR="00026AAA" w:rsidRDefault="00026AA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E7B37"/>
    <w:multiLevelType w:val="hybridMultilevel"/>
    <w:tmpl w:val="B14AF8C8"/>
    <w:lvl w:ilvl="0" w:tplc="071E6A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EB7D3E"/>
    <w:multiLevelType w:val="hybridMultilevel"/>
    <w:tmpl w:val="7938BC60"/>
    <w:lvl w:ilvl="0" w:tplc="13AE5DA2">
      <w:start w:val="4"/>
      <w:numFmt w:val="bullet"/>
      <w:lvlText w:val="-"/>
      <w:lvlJc w:val="left"/>
      <w:pPr>
        <w:ind w:left="405" w:hanging="360"/>
      </w:pPr>
      <w:rPr>
        <w:rFonts w:ascii="Times New Roman" w:eastAsia="Times New Roman" w:hAnsi="Times New Roman"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16cid:durableId="1190492673">
    <w:abstractNumId w:val="1"/>
  </w:num>
  <w:num w:numId="2" w16cid:durableId="209243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72"/>
    <w:rsid w:val="00026AAA"/>
    <w:rsid w:val="00046F77"/>
    <w:rsid w:val="000721C8"/>
    <w:rsid w:val="00074202"/>
    <w:rsid w:val="00084780"/>
    <w:rsid w:val="0014718D"/>
    <w:rsid w:val="0016410B"/>
    <w:rsid w:val="001E0647"/>
    <w:rsid w:val="001E0F78"/>
    <w:rsid w:val="00227775"/>
    <w:rsid w:val="002835FE"/>
    <w:rsid w:val="002D5702"/>
    <w:rsid w:val="002E7A9D"/>
    <w:rsid w:val="002F549F"/>
    <w:rsid w:val="00304718"/>
    <w:rsid w:val="00304B92"/>
    <w:rsid w:val="00312488"/>
    <w:rsid w:val="00322978"/>
    <w:rsid w:val="0033143C"/>
    <w:rsid w:val="0035097F"/>
    <w:rsid w:val="003539B3"/>
    <w:rsid w:val="00357E91"/>
    <w:rsid w:val="00385C55"/>
    <w:rsid w:val="00396E80"/>
    <w:rsid w:val="003C6A81"/>
    <w:rsid w:val="003C7294"/>
    <w:rsid w:val="003D7FD1"/>
    <w:rsid w:val="00405AF2"/>
    <w:rsid w:val="00410C37"/>
    <w:rsid w:val="00435407"/>
    <w:rsid w:val="00447A15"/>
    <w:rsid w:val="00482098"/>
    <w:rsid w:val="004F7DEC"/>
    <w:rsid w:val="00555C32"/>
    <w:rsid w:val="005B2E5F"/>
    <w:rsid w:val="005F7E3B"/>
    <w:rsid w:val="00602055"/>
    <w:rsid w:val="006321AC"/>
    <w:rsid w:val="006528FE"/>
    <w:rsid w:val="006768CA"/>
    <w:rsid w:val="006A2FAC"/>
    <w:rsid w:val="007321DC"/>
    <w:rsid w:val="0075569E"/>
    <w:rsid w:val="0077209B"/>
    <w:rsid w:val="007B2CF5"/>
    <w:rsid w:val="007F5CBB"/>
    <w:rsid w:val="008024F2"/>
    <w:rsid w:val="00816377"/>
    <w:rsid w:val="008468C8"/>
    <w:rsid w:val="00852A7C"/>
    <w:rsid w:val="00853B18"/>
    <w:rsid w:val="00856B90"/>
    <w:rsid w:val="00883D72"/>
    <w:rsid w:val="008B5EF2"/>
    <w:rsid w:val="00901B35"/>
    <w:rsid w:val="00931E09"/>
    <w:rsid w:val="00992FA1"/>
    <w:rsid w:val="009A0206"/>
    <w:rsid w:val="00A84CB9"/>
    <w:rsid w:val="00A953D2"/>
    <w:rsid w:val="00AA72F8"/>
    <w:rsid w:val="00AD1053"/>
    <w:rsid w:val="00AF1E6B"/>
    <w:rsid w:val="00B45048"/>
    <w:rsid w:val="00BB45D1"/>
    <w:rsid w:val="00C20492"/>
    <w:rsid w:val="00C42B7F"/>
    <w:rsid w:val="00C42D8A"/>
    <w:rsid w:val="00C6783D"/>
    <w:rsid w:val="00C836CD"/>
    <w:rsid w:val="00C83E46"/>
    <w:rsid w:val="00CA06CF"/>
    <w:rsid w:val="00CA3EA9"/>
    <w:rsid w:val="00D646DA"/>
    <w:rsid w:val="00D82C06"/>
    <w:rsid w:val="00D91770"/>
    <w:rsid w:val="00D954FA"/>
    <w:rsid w:val="00DB3224"/>
    <w:rsid w:val="00E45D64"/>
    <w:rsid w:val="00E67613"/>
    <w:rsid w:val="00E80F3D"/>
    <w:rsid w:val="00E92BEE"/>
    <w:rsid w:val="00EA622E"/>
    <w:rsid w:val="00EB04AB"/>
    <w:rsid w:val="00EF738E"/>
    <w:rsid w:val="00F35B0C"/>
    <w:rsid w:val="00F474C9"/>
    <w:rsid w:val="00FA1A71"/>
    <w:rsid w:val="00FD04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36947"/>
  <w15:chartTrackingRefBased/>
  <w15:docId w15:val="{8AE4E83F-8B44-416A-BAAC-7197CB11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D72"/>
    <w:pPr>
      <w:spacing w:after="0" w:line="240" w:lineRule="auto"/>
    </w:pPr>
    <w:rPr>
      <w:rFonts w:ascii="Times New Roman" w:eastAsia="Times New Roman" w:hAnsi="Times New Roman" w:cs="Times New Roman"/>
      <w:sz w:val="24"/>
      <w:szCs w:val="24"/>
      <w:lang w:eastAsia="fr-FR"/>
    </w:rPr>
  </w:style>
  <w:style w:type="paragraph" w:styleId="1">
    <w:name w:val="heading 1"/>
    <w:basedOn w:val="a"/>
    <w:next w:val="a"/>
    <w:link w:val="1Char"/>
    <w:autoRedefine/>
    <w:qFormat/>
    <w:rsid w:val="00883D72"/>
    <w:pPr>
      <w:keepNext/>
      <w:spacing w:before="240"/>
      <w:jc w:val="center"/>
      <w:outlineLvl w:val="0"/>
    </w:pPr>
    <w:rPr>
      <w:rFonts w:cs="Arial"/>
      <w:bCs/>
      <w:caps/>
      <w:color w:val="FFFFFF" w:themeColor="background1"/>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3D72"/>
    <w:rPr>
      <w:rFonts w:ascii="Times New Roman" w:eastAsia="Times New Roman" w:hAnsi="Times New Roman" w:cs="Arial"/>
      <w:bCs/>
      <w:caps/>
      <w:color w:val="FFFFFF" w:themeColor="background1"/>
      <w:kern w:val="32"/>
      <w:sz w:val="24"/>
      <w:szCs w:val="24"/>
      <w:lang w:eastAsia="fr-FR"/>
    </w:rPr>
  </w:style>
  <w:style w:type="paragraph" w:customStyle="1" w:styleId="SNREPUBLIQUE">
    <w:name w:val="SNREPUBLIQUE"/>
    <w:basedOn w:val="a"/>
    <w:rsid w:val="00883D72"/>
    <w:pPr>
      <w:jc w:val="center"/>
    </w:pPr>
    <w:rPr>
      <w:b/>
      <w:bCs/>
      <w:szCs w:val="20"/>
    </w:rPr>
  </w:style>
  <w:style w:type="paragraph" w:styleId="a3">
    <w:name w:val="Body Text"/>
    <w:basedOn w:val="a"/>
    <w:link w:val="Char"/>
    <w:rsid w:val="00883D72"/>
    <w:pPr>
      <w:spacing w:after="120"/>
      <w:jc w:val="both"/>
    </w:pPr>
  </w:style>
  <w:style w:type="character" w:customStyle="1" w:styleId="Char">
    <w:name w:val="Σώμα κειμένου Char"/>
    <w:basedOn w:val="a0"/>
    <w:link w:val="a3"/>
    <w:rsid w:val="00883D72"/>
    <w:rPr>
      <w:rFonts w:ascii="Times New Roman" w:eastAsia="Times New Roman" w:hAnsi="Times New Roman" w:cs="Times New Roman"/>
      <w:sz w:val="24"/>
      <w:szCs w:val="24"/>
      <w:lang w:eastAsia="fr-FR"/>
    </w:rPr>
  </w:style>
  <w:style w:type="paragraph" w:customStyle="1" w:styleId="SNNature">
    <w:name w:val="SNNature"/>
    <w:basedOn w:val="a"/>
    <w:next w:val="SNtitre"/>
    <w:autoRedefine/>
    <w:rsid w:val="00883D72"/>
    <w:pPr>
      <w:widowControl w:val="0"/>
      <w:suppressLineNumbers/>
      <w:suppressAutoHyphens/>
      <w:spacing w:before="720" w:after="120"/>
      <w:jc w:val="center"/>
    </w:pPr>
    <w:rPr>
      <w:rFonts w:eastAsia="Lucida Sans Unicode"/>
      <w:b/>
      <w:bCs/>
    </w:rPr>
  </w:style>
  <w:style w:type="paragraph" w:customStyle="1" w:styleId="SNtitre">
    <w:name w:val="SNtitre"/>
    <w:basedOn w:val="a"/>
    <w:next w:val="SNNORCentr"/>
    <w:autoRedefine/>
    <w:rsid w:val="00883D72"/>
    <w:pPr>
      <w:widowControl w:val="0"/>
      <w:suppressLineNumbers/>
      <w:suppressAutoHyphens/>
      <w:spacing w:after="360"/>
      <w:jc w:val="center"/>
    </w:pPr>
    <w:rPr>
      <w:rFonts w:eastAsia="Lucida Sans Unicode"/>
      <w:b/>
    </w:rPr>
  </w:style>
  <w:style w:type="paragraph" w:customStyle="1" w:styleId="SNNORCentr">
    <w:name w:val="SNNOR+Centré"/>
    <w:next w:val="SNAutorit"/>
    <w:rsid w:val="00883D72"/>
    <w:pPr>
      <w:spacing w:after="0" w:line="240" w:lineRule="auto"/>
      <w:jc w:val="center"/>
    </w:pPr>
    <w:rPr>
      <w:rFonts w:ascii="Times New Roman" w:eastAsia="Times New Roman" w:hAnsi="Times New Roman" w:cs="Times New Roman"/>
      <w:bCs/>
      <w:sz w:val="24"/>
      <w:szCs w:val="20"/>
      <w:lang w:eastAsia="fr-FR"/>
    </w:rPr>
  </w:style>
  <w:style w:type="paragraph" w:customStyle="1" w:styleId="SNAutorit">
    <w:name w:val="SNAutorité"/>
    <w:basedOn w:val="a"/>
    <w:autoRedefine/>
    <w:rsid w:val="00883D72"/>
    <w:pPr>
      <w:spacing w:before="720" w:after="240"/>
      <w:ind w:firstLine="720"/>
    </w:pPr>
    <w:rPr>
      <w:b/>
    </w:rPr>
  </w:style>
  <w:style w:type="paragraph" w:customStyle="1" w:styleId="SNTimbre">
    <w:name w:val="SNTimbre"/>
    <w:basedOn w:val="a"/>
    <w:link w:val="SNTimbreCar"/>
    <w:autoRedefine/>
    <w:rsid w:val="00883D72"/>
    <w:pPr>
      <w:widowControl w:val="0"/>
      <w:suppressAutoHyphens/>
      <w:snapToGrid w:val="0"/>
      <w:spacing w:before="120"/>
      <w:jc w:val="center"/>
    </w:pPr>
    <w:rPr>
      <w:rFonts w:eastAsia="Lucida Sans Unicode"/>
    </w:rPr>
  </w:style>
  <w:style w:type="character" w:customStyle="1" w:styleId="SNTimbreCar">
    <w:name w:val="SNTimbre Car"/>
    <w:link w:val="SNTimbre"/>
    <w:rsid w:val="00883D72"/>
    <w:rPr>
      <w:rFonts w:ascii="Times New Roman" w:eastAsia="Lucida Sans Unicode" w:hAnsi="Times New Roman" w:cs="Times New Roman"/>
      <w:sz w:val="24"/>
      <w:szCs w:val="24"/>
      <w:lang w:eastAsia="fr-FR"/>
    </w:rPr>
  </w:style>
  <w:style w:type="paragraph" w:customStyle="1" w:styleId="SNRapport">
    <w:name w:val="SNRapport"/>
    <w:basedOn w:val="a"/>
    <w:autoRedefine/>
    <w:rsid w:val="00396E80"/>
    <w:pPr>
      <w:spacing w:before="240" w:after="120"/>
      <w:ind w:left="708"/>
      <w:jc w:val="both"/>
    </w:pPr>
  </w:style>
  <w:style w:type="paragraph" w:customStyle="1" w:styleId="SNDate">
    <w:name w:val="SNDate"/>
    <w:basedOn w:val="a"/>
    <w:next w:val="a"/>
    <w:link w:val="SNDateCar"/>
    <w:autoRedefine/>
    <w:rsid w:val="00883D72"/>
    <w:pPr>
      <w:spacing w:before="480" w:after="2760"/>
      <w:ind w:firstLine="720"/>
    </w:pPr>
  </w:style>
  <w:style w:type="character" w:customStyle="1" w:styleId="SNDateCar">
    <w:name w:val="SNDate Car"/>
    <w:link w:val="SNDate"/>
    <w:rsid w:val="00883D72"/>
    <w:rPr>
      <w:rFonts w:ascii="Times New Roman" w:eastAsia="Times New Roman" w:hAnsi="Times New Roman" w:cs="Times New Roman"/>
      <w:sz w:val="24"/>
      <w:szCs w:val="24"/>
      <w:lang w:eastAsia="fr-FR"/>
    </w:rPr>
  </w:style>
  <w:style w:type="paragraph" w:customStyle="1" w:styleId="SNActe">
    <w:name w:val="SNActe"/>
    <w:basedOn w:val="a"/>
    <w:autoRedefine/>
    <w:rsid w:val="00E67613"/>
    <w:pPr>
      <w:spacing w:before="360" w:after="360"/>
      <w:jc w:val="center"/>
    </w:pPr>
    <w:rPr>
      <w:b/>
    </w:rPr>
  </w:style>
  <w:style w:type="paragraph" w:customStyle="1" w:styleId="SNArticle">
    <w:name w:val="SNArticle"/>
    <w:basedOn w:val="a"/>
    <w:next w:val="a3"/>
    <w:link w:val="SNArticleCar"/>
    <w:autoRedefine/>
    <w:rsid w:val="00883D72"/>
    <w:pPr>
      <w:spacing w:before="240" w:after="240"/>
      <w:jc w:val="center"/>
    </w:pPr>
    <w:rPr>
      <w:b/>
    </w:rPr>
  </w:style>
  <w:style w:type="character" w:customStyle="1" w:styleId="SNArticleCar">
    <w:name w:val="SNArticle Car"/>
    <w:link w:val="SNArticle"/>
    <w:rsid w:val="00883D72"/>
    <w:rPr>
      <w:rFonts w:ascii="Times New Roman" w:eastAsia="Times New Roman" w:hAnsi="Times New Roman" w:cs="Times New Roman"/>
      <w:b/>
      <w:sz w:val="24"/>
      <w:szCs w:val="24"/>
      <w:lang w:eastAsia="fr-FR"/>
    </w:rPr>
  </w:style>
  <w:style w:type="character" w:styleId="a4">
    <w:name w:val="annotation reference"/>
    <w:basedOn w:val="a0"/>
    <w:rsid w:val="00883D72"/>
    <w:rPr>
      <w:sz w:val="16"/>
      <w:szCs w:val="16"/>
    </w:rPr>
  </w:style>
  <w:style w:type="paragraph" w:styleId="a5">
    <w:name w:val="annotation text"/>
    <w:basedOn w:val="a"/>
    <w:link w:val="Char0"/>
    <w:rsid w:val="00883D72"/>
    <w:rPr>
      <w:sz w:val="20"/>
      <w:szCs w:val="20"/>
    </w:rPr>
  </w:style>
  <w:style w:type="character" w:customStyle="1" w:styleId="Char0">
    <w:name w:val="Κείμενο σχολίου Char"/>
    <w:basedOn w:val="a0"/>
    <w:link w:val="a5"/>
    <w:rsid w:val="00883D72"/>
    <w:rPr>
      <w:rFonts w:ascii="Times New Roman" w:eastAsia="Times New Roman" w:hAnsi="Times New Roman" w:cs="Times New Roman"/>
      <w:sz w:val="20"/>
      <w:szCs w:val="20"/>
      <w:lang w:eastAsia="fr-FR"/>
    </w:rPr>
  </w:style>
  <w:style w:type="paragraph" w:styleId="a6">
    <w:name w:val="header"/>
    <w:basedOn w:val="a"/>
    <w:link w:val="Char1"/>
    <w:uiPriority w:val="99"/>
    <w:unhideWhenUsed/>
    <w:rsid w:val="00883D72"/>
    <w:pPr>
      <w:tabs>
        <w:tab w:val="center" w:pos="4536"/>
        <w:tab w:val="right" w:pos="9072"/>
      </w:tabs>
    </w:pPr>
  </w:style>
  <w:style w:type="character" w:customStyle="1" w:styleId="Char1">
    <w:name w:val="Κεφαλίδα Char"/>
    <w:basedOn w:val="a0"/>
    <w:link w:val="a6"/>
    <w:uiPriority w:val="99"/>
    <w:rsid w:val="00883D72"/>
    <w:rPr>
      <w:rFonts w:ascii="Times New Roman" w:eastAsia="Times New Roman" w:hAnsi="Times New Roman" w:cs="Times New Roman"/>
      <w:sz w:val="24"/>
      <w:szCs w:val="24"/>
      <w:lang w:eastAsia="fr-FR"/>
    </w:rPr>
  </w:style>
  <w:style w:type="paragraph" w:styleId="a7">
    <w:name w:val="footer"/>
    <w:basedOn w:val="a"/>
    <w:link w:val="Char2"/>
    <w:uiPriority w:val="99"/>
    <w:unhideWhenUsed/>
    <w:rsid w:val="00883D72"/>
    <w:pPr>
      <w:tabs>
        <w:tab w:val="center" w:pos="4536"/>
        <w:tab w:val="right" w:pos="9072"/>
      </w:tabs>
    </w:pPr>
  </w:style>
  <w:style w:type="character" w:customStyle="1" w:styleId="Char2">
    <w:name w:val="Υποσέλιδο Char"/>
    <w:basedOn w:val="a0"/>
    <w:link w:val="a7"/>
    <w:uiPriority w:val="99"/>
    <w:rsid w:val="00883D72"/>
    <w:rPr>
      <w:rFonts w:ascii="Times New Roman" w:eastAsia="Times New Roman" w:hAnsi="Times New Roman" w:cs="Times New Roman"/>
      <w:sz w:val="24"/>
      <w:szCs w:val="24"/>
      <w:lang w:eastAsia="fr-FR"/>
    </w:rPr>
  </w:style>
  <w:style w:type="paragraph" w:styleId="a8">
    <w:name w:val="Balloon Text"/>
    <w:basedOn w:val="a"/>
    <w:link w:val="Char3"/>
    <w:uiPriority w:val="99"/>
    <w:semiHidden/>
    <w:unhideWhenUsed/>
    <w:rsid w:val="00883D72"/>
    <w:rPr>
      <w:rFonts w:ascii="Segoe UI" w:hAnsi="Segoe UI" w:cs="Segoe UI"/>
      <w:sz w:val="18"/>
      <w:szCs w:val="18"/>
    </w:rPr>
  </w:style>
  <w:style w:type="character" w:customStyle="1" w:styleId="Char3">
    <w:name w:val="Κείμενο πλαισίου Char"/>
    <w:basedOn w:val="a0"/>
    <w:link w:val="a8"/>
    <w:uiPriority w:val="99"/>
    <w:semiHidden/>
    <w:rsid w:val="00883D72"/>
    <w:rPr>
      <w:rFonts w:ascii="Segoe UI" w:eastAsia="Times New Roman" w:hAnsi="Segoe UI" w:cs="Segoe UI"/>
      <w:sz w:val="18"/>
      <w:szCs w:val="18"/>
      <w:lang w:eastAsia="fr-FR"/>
    </w:rPr>
  </w:style>
  <w:style w:type="paragraph" w:styleId="a9">
    <w:name w:val="annotation subject"/>
    <w:basedOn w:val="a5"/>
    <w:next w:val="a5"/>
    <w:link w:val="Char4"/>
    <w:uiPriority w:val="99"/>
    <w:semiHidden/>
    <w:unhideWhenUsed/>
    <w:rsid w:val="0035097F"/>
    <w:rPr>
      <w:b/>
      <w:bCs/>
    </w:rPr>
  </w:style>
  <w:style w:type="character" w:customStyle="1" w:styleId="Char4">
    <w:name w:val="Θέμα σχολίου Char"/>
    <w:basedOn w:val="Char0"/>
    <w:link w:val="a9"/>
    <w:uiPriority w:val="99"/>
    <w:semiHidden/>
    <w:rsid w:val="0035097F"/>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33824">
      <w:bodyDiv w:val="1"/>
      <w:marLeft w:val="0"/>
      <w:marRight w:val="0"/>
      <w:marTop w:val="0"/>
      <w:marBottom w:val="0"/>
      <w:divBdr>
        <w:top w:val="none" w:sz="0" w:space="0" w:color="auto"/>
        <w:left w:val="none" w:sz="0" w:space="0" w:color="auto"/>
        <w:bottom w:val="none" w:sz="0" w:space="0" w:color="auto"/>
        <w:right w:val="none" w:sz="0" w:space="0" w:color="auto"/>
      </w:divBdr>
      <w:divsChild>
        <w:div w:id="1372338397">
          <w:marLeft w:val="0"/>
          <w:marRight w:val="0"/>
          <w:marTop w:val="0"/>
          <w:marBottom w:val="0"/>
          <w:divBdr>
            <w:top w:val="none" w:sz="0" w:space="0" w:color="auto"/>
            <w:left w:val="none" w:sz="0" w:space="0" w:color="auto"/>
            <w:bottom w:val="none" w:sz="0" w:space="0" w:color="auto"/>
            <w:right w:val="none" w:sz="0" w:space="0" w:color="auto"/>
          </w:divBdr>
          <w:divsChild>
            <w:div w:id="391079054">
              <w:marLeft w:val="0"/>
              <w:marRight w:val="0"/>
              <w:marTop w:val="0"/>
              <w:marBottom w:val="0"/>
              <w:divBdr>
                <w:top w:val="none" w:sz="0" w:space="0" w:color="auto"/>
                <w:left w:val="none" w:sz="0" w:space="0" w:color="auto"/>
                <w:bottom w:val="none" w:sz="0" w:space="0" w:color="auto"/>
                <w:right w:val="none" w:sz="0" w:space="0" w:color="auto"/>
              </w:divBdr>
              <w:divsChild>
                <w:div w:id="19962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1013</Words>
  <Characters>5472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 Laurine</dc:creator>
  <cp:keywords/>
  <dc:description/>
  <cp:lastModifiedBy>EIRINI TSINTZIRA</cp:lastModifiedBy>
  <cp:revision>36</cp:revision>
  <dcterms:created xsi:type="dcterms:W3CDTF">2024-11-14T09:33:00Z</dcterms:created>
  <dcterms:modified xsi:type="dcterms:W3CDTF">2024-11-25T09:50:00Z</dcterms:modified>
</cp:coreProperties>
</file>