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68E" w14:textId="1491DFB4">
      <w:pPr>
        <w:pStyle w:val="P68B1DB1-P68B1DB1-Title11"/>
        <w:spacing w:before="0"/>
        <w:ind w:left="0"/>
        <w:jc w:val="right"/>
        <w:rPr>
          <w:i/>
          <w:iCs/>
          <w:color w:val="FF0000"/>
          <w:sz w:val="24"/>
          <w:szCs w:val="24"/>
          <w:u w:val="none"/>
        </w:rPr>
      </w:pPr>
      <w:r>
        <w:t xml:space="preserve">Det här är en maskinöversättning</w:t>
      </w:r>
    </w:p>
    <w:p w14:paraId="48A46481" w14:textId="77777777">
      <w:pPr>
        <w:pStyle w:val="P68B1DB1-Title1"/>
        <w:spacing w:before="0"/>
        <w:ind w:left="0"/>
      </w:pPr>
    </w:p>
    <w:p w14:paraId="5DDBFD33" w14:textId="3AD4A40E">
      <w:pPr>
        <w:pStyle w:val="P68B1DB1-Title1"/>
        <w:spacing w:before="0"/>
        <w:ind w:left="0"/>
      </w:pPr>
      <w:r>
        <w:t xml:space="preserve">Rättspraxis avseende direktiv (EU) 2015/1535</w:t>
      </w:r>
    </w:p>
    <w:p w14:paraId="5AFCD03C" w14:textId="77777777">
      <w:pPr>
        <w:pStyle w:val="BodyText"/>
      </w:pPr>
    </w:p>
    <w:p w14:paraId="55805DA1" w14:textId="3A3D4AA9">
      <w:pPr>
        <w:pStyle w:val="BodyText"/>
      </w:pPr>
      <w:r>
        <w:t xml:space="preserve">I detta dokument identifieras de viktigaste domarna och besluten från Europeiska unionens domstol om tillämpningsområdet för och tillämpningen av direktiv (EU) 2015/1535, som fastställer ett informationsförfarande beträffande tekniska föreskrifter och föreskrifter för informationssamhällets tjänster. Syftet är att fungera som vägledning för medlemsstaternas förvaltningar, industrin och medborgarna.</w:t>
      </w:r>
    </w:p>
    <w:p w14:paraId="4F3E66AE" w14:textId="77777777">
      <w:pPr>
        <w:pStyle w:val="BodyText"/>
        <w:rPr>
          <w:sz w:val="22"/>
          <w:szCs w:val="18"/>
        </w:rPr>
      </w:pPr>
    </w:p>
    <w:p w14:paraId="53D6EBA0" w14:textId="77777777">
      <w:pPr>
        <w:pStyle w:val="BodyText"/>
      </w:pPr>
      <w:r>
        <w:t xml:space="preserve">Eftersom detta dokument inte är uttömmande kan vissa relevanta beslut inte tas med.</w:t>
      </w:r>
    </w:p>
    <w:p w14:paraId="771A43E5" w14:textId="77777777">
      <w:pPr>
        <w:pStyle w:val="BodyText"/>
      </w:pPr>
    </w:p>
    <w:p w14:paraId="45186CE0" w14:textId="45ABA22D">
      <w:pPr>
        <w:pStyle w:val="BodyText"/>
      </w:pPr>
      <w:r>
        <w:t xml:space="preserve">Domarna presenteras i kronologisk ordning och dokumentet är uppdelat i fyra delar:</w:t>
      </w:r>
    </w:p>
    <w:p w14:paraId="267A7D41" w14:textId="77777777">
      <w:pPr>
        <w:pStyle w:val="P68B1DB1-Normal4"/>
        <w:spacing w:after="0" w:line="278" w:lineRule="auto"/>
        <w:rPr>
          <w:rFonts w:ascii="Times New Roman" w:hAnsi="Times New Roman" w:cs="Times New Roman"/>
        </w:rPr>
      </w:pPr>
      <w:bookmarkStart w:id="0" w:name="_Hlk194503326"/>
    </w:p>
    <w:p w14:paraId="7D859DD3" w14:textId="68537153">
      <w:pPr>
        <w:pStyle w:val="P68B1DB1-TOC12"/>
        <w:tabs>
          <w:tab w:val="left" w:pos="440"/>
          <w:tab w:val="right" w:leader="dot" w:pos="9016"/>
        </w:tabs>
        <w:rPr>
          <w:rFonts w:eastAsiaTheme="minorEastAsia"/>
          <w:b w:val="0"/>
          <w:bCs w:val="0"/>
          <w:caps w:val="0"/>
          <w:kern w:val="2"/>
          <w:sz w:val="24"/>
          <w:szCs w:val="24"/>
          <w14:ligatures w14:val="standardContextual"/>
        </w:rPr>
      </w:pPr>
      <w:r>
        <w:fldChar w:fldCharType="begin"/>
      </w:r>
      <w:r>
        <w:rPr>
          <w:rFonts w:ascii="Times New Roman" w:hAnsi="Times New Roman" w:cs="Times New Roman"/>
        </w:rPr>
        <w:instrText xml:space="preserve"> TOC \o "2-2" \h \z \t "Heading 1,1" </w:instrText>
      </w:r>
      <w:r>
        <w:rPr>
          <w:rFonts w:ascii="Times New Roman" w:hAnsi="Times New Roman" w:cs="Times New Roman"/>
        </w:rPr>
        <w:fldChar w:fldCharType="separate"/>
      </w:r>
      <w:hyperlink w:anchor="_Toc203035665" w:history="1">
        <w:r>
          <w:rPr>
            <w:rStyle w:val="Hyperlink"/>
          </w:rPr>
          <w:t>I.</w:t>
        </w:r>
        <w:r>
          <w:rPr>
            <w:rFonts w:eastAsiaTheme="minorEastAsia"/>
            <w:b w:val="0"/>
            <w:bCs w:val="0"/>
            <w:caps w:val="0"/>
            <w:kern w:val="2"/>
            <w:sz w:val="24"/>
            <w:szCs w:val="24"/>
            <w14:ligatures w14:val="standardContextual"/>
          </w:rPr>
          <w:tab/>
        </w:r>
        <w:r>
          <w:rPr>
            <w:rStyle w:val="Hyperlink"/>
          </w:rPr>
          <w:t>Classification as Technical Regulation</w:t>
        </w:r>
        <w:r>
          <w:rPr>
            <w:webHidden/>
          </w:rPr>
          <w:tab/>
        </w:r>
        <w:r>
          <w:rPr>
            <w:webHidden/>
          </w:rPr>
          <w:fldChar w:fldCharType="begin"/>
        </w:r>
        <w:r>
          <w:rPr>
            <w:webHidden/>
          </w:rPr>
          <w:instrText xml:space="preserve"> PAGEREF _Toc203035665 \h </w:instrText>
        </w:r>
        <w:r>
          <w:rPr>
            <w:webHidden/>
          </w:rPr>
        </w:r>
        <w:r>
          <w:rPr>
            <w:webHidden/>
          </w:rPr>
          <w:fldChar w:fldCharType="separate"/>
        </w:r>
        <w:r>
          <w:rPr>
            <w:webHidden/>
          </w:rPr>
          <w:t>4</w:t>
        </w:r>
        <w:r>
          <w:rPr>
            <w:webHidden/>
          </w:rPr>
          <w:fldChar w:fldCharType="end"/>
        </w:r>
      </w:hyperlink>
    </w:p>
    <w:p w14:paraId="0A04A47D" w14:textId="2BCBBFA9">
      <w:pPr>
        <w:pStyle w:val="TOC2"/>
        <w:tabs>
          <w:tab w:val="left" w:pos="660"/>
          <w:tab w:val="right" w:leader="dot" w:pos="9016"/>
        </w:tabs>
        <w:rPr>
          <w:rFonts w:eastAsiaTheme="minorEastAsia"/>
          <w:smallCaps w:val="0"/>
          <w:kern w:val="2"/>
          <w:sz w:val="24"/>
          <w:szCs w:val="24"/>
          <w14:ligatures w14:val="standardContextual"/>
        </w:rPr>
      </w:pPr>
      <w:hyperlink w:anchor="_Toc203035666" w:history="1">
        <w:r>
          <w:rPr>
            <w:rStyle w:val="Hyperlink"/>
            <w:bCs/>
          </w:rPr>
          <w:t>a.</w:t>
        </w:r>
        <w:r>
          <w:rPr>
            <w:rFonts w:eastAsiaTheme="minorEastAsia"/>
            <w:smallCaps w:val="0"/>
            <w:kern w:val="2"/>
            <w:sz w:val="24"/>
            <w:szCs w:val="24"/>
            <w14:ligatures w14:val="standardContextual"/>
          </w:rPr>
          <w:tab/>
        </w:r>
        <w:r>
          <w:rPr>
            <w:rStyle w:val="Hyperlink"/>
          </w:rPr>
          <w:t>Common Criteria for Technical Regulations</w:t>
        </w:r>
        <w:r>
          <w:rPr>
            <w:webHidden/>
          </w:rPr>
          <w:tab/>
        </w:r>
        <w:r>
          <w:rPr>
            <w:webHidden/>
          </w:rPr>
          <w:fldChar w:fldCharType="begin"/>
        </w:r>
        <w:r>
          <w:rPr>
            <w:webHidden/>
          </w:rPr>
          <w:instrText xml:space="preserve"> PAGEREF _Toc203035666 \h </w:instrText>
        </w:r>
        <w:r>
          <w:rPr>
            <w:webHidden/>
          </w:rPr>
        </w:r>
        <w:r>
          <w:rPr>
            <w:webHidden/>
          </w:rPr>
          <w:fldChar w:fldCharType="separate"/>
        </w:r>
        <w:r>
          <w:rPr>
            <w:webHidden/>
          </w:rPr>
          <w:t>4</w:t>
        </w:r>
        <w:r>
          <w:rPr>
            <w:webHidden/>
          </w:rPr>
          <w:fldChar w:fldCharType="end"/>
        </w:r>
      </w:hyperlink>
    </w:p>
    <w:p w14:paraId="6F26F433" w14:textId="185E7FA5">
      <w:pPr>
        <w:pStyle w:val="TOC2"/>
        <w:tabs>
          <w:tab w:val="left" w:pos="660"/>
          <w:tab w:val="right" w:leader="dot" w:pos="9016"/>
        </w:tabs>
        <w:rPr>
          <w:rFonts w:eastAsiaTheme="minorEastAsia"/>
          <w:smallCaps w:val="0"/>
          <w:kern w:val="2"/>
          <w:sz w:val="24"/>
          <w:szCs w:val="24"/>
          <w14:ligatures w14:val="standardContextual"/>
        </w:rPr>
      </w:pPr>
      <w:hyperlink w:anchor="_Toc203035667" w:history="1">
        <w:r>
          <w:rPr>
            <w:rStyle w:val="Hyperlink"/>
            <w:bCs/>
          </w:rPr>
          <w:t>b.</w:t>
        </w:r>
        <w:r>
          <w:rPr>
            <w:rFonts w:eastAsiaTheme="minorEastAsia"/>
            <w:smallCaps w:val="0"/>
            <w:kern w:val="2"/>
            <w:sz w:val="24"/>
            <w:szCs w:val="24"/>
            <w14:ligatures w14:val="standardContextual"/>
          </w:rPr>
          <w:tab/>
        </w:r>
        <w:r>
          <w:rPr>
            <w:rStyle w:val="Hyperlink"/>
          </w:rPr>
          <w:t>Technical Specifications</w:t>
        </w:r>
        <w:r>
          <w:rPr>
            <w:webHidden/>
          </w:rPr>
          <w:tab/>
        </w:r>
        <w:r>
          <w:rPr>
            <w:webHidden/>
          </w:rPr>
          <w:fldChar w:fldCharType="begin"/>
        </w:r>
        <w:r>
          <w:rPr>
            <w:webHidden/>
          </w:rPr>
          <w:instrText xml:space="preserve"> PAGEREF _Toc203035667 \h </w:instrText>
        </w:r>
        <w:r>
          <w:rPr>
            <w:webHidden/>
          </w:rPr>
        </w:r>
        <w:r>
          <w:rPr>
            <w:webHidden/>
          </w:rPr>
          <w:fldChar w:fldCharType="separate"/>
        </w:r>
        <w:r>
          <w:rPr>
            <w:webHidden/>
          </w:rPr>
          <w:t>6</w:t>
        </w:r>
        <w:r>
          <w:rPr>
            <w:webHidden/>
          </w:rPr>
          <w:fldChar w:fldCharType="end"/>
        </w:r>
      </w:hyperlink>
    </w:p>
    <w:p w14:paraId="4473297C" w14:textId="5097F959">
      <w:pPr>
        <w:pStyle w:val="TOC2"/>
        <w:tabs>
          <w:tab w:val="left" w:pos="660"/>
          <w:tab w:val="right" w:leader="dot" w:pos="9016"/>
        </w:tabs>
        <w:rPr>
          <w:rFonts w:eastAsiaTheme="minorEastAsia"/>
          <w:smallCaps w:val="0"/>
          <w:kern w:val="2"/>
          <w:sz w:val="24"/>
          <w:szCs w:val="24"/>
          <w14:ligatures w14:val="standardContextual"/>
        </w:rPr>
      </w:pPr>
      <w:hyperlink w:anchor="_Toc203035668" w:history="1">
        <w:r>
          <w:rPr>
            <w:rStyle w:val="Hyperlink"/>
            <w:bCs/>
          </w:rPr>
          <w:t>c.</w:t>
        </w:r>
        <w:r>
          <w:rPr>
            <w:rFonts w:eastAsiaTheme="minorEastAsia"/>
            <w:smallCaps w:val="0"/>
            <w:kern w:val="2"/>
            <w:sz w:val="24"/>
            <w:szCs w:val="24"/>
            <w14:ligatures w14:val="standardContextual"/>
          </w:rPr>
          <w:tab/>
        </w:r>
        <w:r>
          <w:rPr>
            <w:rStyle w:val="Hyperlink"/>
          </w:rPr>
          <w:t>Other Requirements</w:t>
        </w:r>
        <w:r>
          <w:rPr>
            <w:webHidden/>
          </w:rPr>
          <w:tab/>
        </w:r>
        <w:r>
          <w:rPr>
            <w:webHidden/>
          </w:rPr>
          <w:fldChar w:fldCharType="begin"/>
        </w:r>
        <w:r>
          <w:rPr>
            <w:webHidden/>
          </w:rPr>
          <w:instrText xml:space="preserve"> PAGEREF _Toc203035668 \h </w:instrText>
        </w:r>
        <w:r>
          <w:rPr>
            <w:webHidden/>
          </w:rPr>
        </w:r>
        <w:r>
          <w:rPr>
            <w:webHidden/>
          </w:rPr>
          <w:fldChar w:fldCharType="separate"/>
        </w:r>
        <w:r>
          <w:rPr>
            <w:webHidden/>
          </w:rPr>
          <w:t>14</w:t>
        </w:r>
        <w:r>
          <w:rPr>
            <w:webHidden/>
          </w:rPr>
          <w:fldChar w:fldCharType="end"/>
        </w:r>
      </w:hyperlink>
    </w:p>
    <w:p w14:paraId="110B55B0" w14:textId="4A4EB9AB">
      <w:pPr>
        <w:pStyle w:val="TOC2"/>
        <w:tabs>
          <w:tab w:val="left" w:pos="660"/>
          <w:tab w:val="right" w:leader="dot" w:pos="9016"/>
        </w:tabs>
        <w:rPr>
          <w:rFonts w:eastAsiaTheme="minorEastAsia"/>
          <w:smallCaps w:val="0"/>
          <w:kern w:val="2"/>
          <w:sz w:val="24"/>
          <w:szCs w:val="24"/>
          <w14:ligatures w14:val="standardContextual"/>
        </w:rPr>
      </w:pPr>
      <w:hyperlink w:anchor="_Toc203035669" w:history="1">
        <w:r>
          <w:rPr>
            <w:rStyle w:val="Hyperlink"/>
            <w:bCs/>
          </w:rPr>
          <w:t>d.</w:t>
        </w:r>
        <w:r>
          <w:rPr>
            <w:rFonts w:eastAsiaTheme="minorEastAsia"/>
            <w:smallCaps w:val="0"/>
            <w:kern w:val="2"/>
            <w:sz w:val="24"/>
            <w:szCs w:val="24"/>
            <w14:ligatures w14:val="standardContextual"/>
          </w:rPr>
          <w:tab/>
        </w:r>
        <w:r>
          <w:rPr>
            <w:rStyle w:val="Hyperlink"/>
          </w:rPr>
          <w:t>Rules on Services</w:t>
        </w:r>
        <w:r>
          <w:rPr>
            <w:webHidden/>
          </w:rPr>
          <w:tab/>
        </w:r>
        <w:r>
          <w:rPr>
            <w:webHidden/>
          </w:rPr>
          <w:fldChar w:fldCharType="begin"/>
        </w:r>
        <w:r>
          <w:rPr>
            <w:webHidden/>
          </w:rPr>
          <w:instrText xml:space="preserve"> PAGEREF _Toc203035669 \h </w:instrText>
        </w:r>
        <w:r>
          <w:rPr>
            <w:webHidden/>
          </w:rPr>
        </w:r>
        <w:r>
          <w:rPr>
            <w:webHidden/>
          </w:rPr>
          <w:fldChar w:fldCharType="separate"/>
        </w:r>
        <w:r>
          <w:rPr>
            <w:webHidden/>
          </w:rPr>
          <w:t>21</w:t>
        </w:r>
        <w:r>
          <w:rPr>
            <w:webHidden/>
          </w:rPr>
          <w:fldChar w:fldCharType="end"/>
        </w:r>
      </w:hyperlink>
    </w:p>
    <w:p w14:paraId="7AE2FA08" w14:textId="1FC0EAA8">
      <w:pPr>
        <w:pStyle w:val="TOC2"/>
        <w:tabs>
          <w:tab w:val="left" w:pos="660"/>
          <w:tab w:val="right" w:leader="dot" w:pos="9016"/>
        </w:tabs>
        <w:rPr>
          <w:rFonts w:eastAsiaTheme="minorEastAsia"/>
          <w:smallCaps w:val="0"/>
          <w:kern w:val="2"/>
          <w:sz w:val="24"/>
          <w:szCs w:val="24"/>
          <w14:ligatures w14:val="standardContextual"/>
        </w:rPr>
      </w:pPr>
      <w:hyperlink w:anchor="_Toc203035670" w:history="1">
        <w:r>
          <w:rPr>
            <w:rStyle w:val="Hyperlink"/>
            <w:bCs/>
          </w:rPr>
          <w:t>e.</w:t>
        </w:r>
        <w:r>
          <w:rPr>
            <w:rFonts w:eastAsiaTheme="minorEastAsia"/>
            <w:smallCaps w:val="0"/>
            <w:kern w:val="2"/>
            <w:sz w:val="24"/>
            <w:szCs w:val="24"/>
            <w14:ligatures w14:val="standardContextual"/>
          </w:rPr>
          <w:tab/>
        </w:r>
        <w:r>
          <w:rPr>
            <w:rStyle w:val="Hyperlink"/>
          </w:rPr>
          <w:t>Prohibition Provisions</w:t>
        </w:r>
        <w:r>
          <w:rPr>
            <w:webHidden/>
          </w:rPr>
          <w:tab/>
        </w:r>
        <w:r>
          <w:rPr>
            <w:webHidden/>
          </w:rPr>
          <w:fldChar w:fldCharType="begin"/>
        </w:r>
        <w:r>
          <w:rPr>
            <w:webHidden/>
          </w:rPr>
          <w:instrText xml:space="preserve"> PAGEREF _Toc203035670 \h </w:instrText>
        </w:r>
        <w:r>
          <w:rPr>
            <w:webHidden/>
          </w:rPr>
        </w:r>
        <w:r>
          <w:rPr>
            <w:webHidden/>
          </w:rPr>
          <w:fldChar w:fldCharType="separate"/>
        </w:r>
        <w:r>
          <w:rPr>
            <w:webHidden/>
          </w:rPr>
          <w:t>31</w:t>
        </w:r>
        <w:r>
          <w:rPr>
            <w:webHidden/>
          </w:rPr>
          <w:fldChar w:fldCharType="end"/>
        </w:r>
      </w:hyperlink>
    </w:p>
    <w:p w14:paraId="709EEE7A" w14:textId="670F7D1D">
      <w:pPr>
        <w:pStyle w:val="TOC2"/>
        <w:tabs>
          <w:tab w:val="left" w:pos="660"/>
          <w:tab w:val="right" w:leader="dot" w:pos="9016"/>
        </w:tabs>
        <w:rPr>
          <w:rFonts w:eastAsiaTheme="minorEastAsia"/>
          <w:smallCaps w:val="0"/>
          <w:kern w:val="2"/>
          <w:sz w:val="24"/>
          <w:szCs w:val="24"/>
          <w14:ligatures w14:val="standardContextual"/>
        </w:rPr>
      </w:pPr>
      <w:hyperlink w:anchor="_Toc203035671" w:history="1">
        <w:r>
          <w:rPr>
            <w:rStyle w:val="Hyperlink"/>
            <w:bCs/>
          </w:rPr>
          <w:t>f.</w:t>
        </w:r>
        <w:r>
          <w:rPr>
            <w:rFonts w:eastAsiaTheme="minorEastAsia"/>
            <w:smallCaps w:val="0"/>
            <w:kern w:val="2"/>
            <w:sz w:val="24"/>
            <w:szCs w:val="24"/>
            <w14:ligatures w14:val="standardContextual"/>
          </w:rPr>
          <w:tab/>
        </w:r>
        <w:r>
          <w:rPr>
            <w:rStyle w:val="Hyperlink"/>
          </w:rPr>
          <w:t>De Facto Technical Regulations</w:t>
        </w:r>
        <w:r>
          <w:rPr>
            <w:webHidden/>
          </w:rPr>
          <w:tab/>
        </w:r>
        <w:r>
          <w:rPr>
            <w:webHidden/>
          </w:rPr>
          <w:fldChar w:fldCharType="begin"/>
        </w:r>
        <w:r>
          <w:rPr>
            <w:webHidden/>
          </w:rPr>
          <w:instrText xml:space="preserve"> PAGEREF _Toc203035671 \h </w:instrText>
        </w:r>
        <w:r>
          <w:rPr>
            <w:webHidden/>
          </w:rPr>
        </w:r>
        <w:r>
          <w:rPr>
            <w:webHidden/>
          </w:rPr>
          <w:fldChar w:fldCharType="separate"/>
        </w:r>
        <w:r>
          <w:rPr>
            <w:webHidden/>
          </w:rPr>
          <w:t>34</w:t>
        </w:r>
        <w:r>
          <w:rPr>
            <w:webHidden/>
          </w:rPr>
          <w:fldChar w:fldCharType="end"/>
        </w:r>
      </w:hyperlink>
    </w:p>
    <w:p w14:paraId="1C2FBBFA" w14:textId="2ED58CFC">
      <w:pPr>
        <w:pStyle w:val="TOC2"/>
        <w:tabs>
          <w:tab w:val="left" w:pos="660"/>
          <w:tab w:val="right" w:leader="dot" w:pos="9016"/>
        </w:tabs>
        <w:rPr>
          <w:rFonts w:eastAsiaTheme="minorEastAsia"/>
          <w:smallCaps w:val="0"/>
          <w:kern w:val="2"/>
          <w:sz w:val="24"/>
          <w:szCs w:val="24"/>
          <w14:ligatures w14:val="standardContextual"/>
        </w:rPr>
      </w:pPr>
      <w:hyperlink w:anchor="_Toc203035672" w:history="1">
        <w:r>
          <w:rPr>
            <w:rStyle w:val="Hyperlink"/>
            <w:bCs/>
          </w:rPr>
          <w:t>g.</w:t>
        </w:r>
        <w:r>
          <w:rPr>
            <w:rFonts w:eastAsiaTheme="minorEastAsia"/>
            <w:smallCaps w:val="0"/>
            <w:kern w:val="2"/>
            <w:sz w:val="24"/>
            <w:szCs w:val="24"/>
            <w14:ligatures w14:val="standardContextual"/>
          </w:rPr>
          <w:tab/>
        </w:r>
        <w:r>
          <w:rPr>
            <w:rStyle w:val="Hyperlink"/>
          </w:rPr>
          <w:t>Excluded Matters</w:t>
        </w:r>
        <w:r>
          <w:rPr>
            <w:webHidden/>
          </w:rPr>
          <w:tab/>
        </w:r>
        <w:r>
          <w:rPr>
            <w:webHidden/>
          </w:rPr>
          <w:fldChar w:fldCharType="begin"/>
        </w:r>
        <w:r>
          <w:rPr>
            <w:webHidden/>
          </w:rPr>
          <w:instrText xml:space="preserve"> PAGEREF _Toc203035672 \h </w:instrText>
        </w:r>
        <w:r>
          <w:rPr>
            <w:webHidden/>
          </w:rPr>
        </w:r>
        <w:r>
          <w:rPr>
            <w:webHidden/>
          </w:rPr>
          <w:fldChar w:fldCharType="separate"/>
        </w:r>
        <w:r>
          <w:rPr>
            <w:webHidden/>
          </w:rPr>
          <w:t>37</w:t>
        </w:r>
        <w:r>
          <w:rPr>
            <w:webHidden/>
          </w:rPr>
          <w:fldChar w:fldCharType="end"/>
        </w:r>
      </w:hyperlink>
    </w:p>
    <w:p w14:paraId="6E4B30D2" w14:textId="492D7E3B">
      <w:pPr>
        <w:pStyle w:val="TOC1"/>
        <w:tabs>
          <w:tab w:val="left" w:pos="440"/>
          <w:tab w:val="right" w:leader="dot" w:pos="9016"/>
        </w:tabs>
        <w:rPr>
          <w:rFonts w:eastAsiaTheme="minorEastAsia"/>
          <w:b w:val="0"/>
          <w:bCs w:val="0"/>
          <w:caps w:val="0"/>
          <w:kern w:val="2"/>
          <w:sz w:val="24"/>
          <w:szCs w:val="24"/>
          <w14:ligatures w14:val="standardContextual"/>
        </w:rPr>
      </w:pPr>
      <w:hyperlink w:anchor="_Toc203035673" w:history="1">
        <w:r>
          <w:rPr>
            <w:rStyle w:val="Hyperlink"/>
          </w:rPr>
          <w:t>II.</w:t>
        </w:r>
        <w:r>
          <w:rPr>
            <w:rFonts w:eastAsiaTheme="minorEastAsia"/>
            <w:b w:val="0"/>
            <w:bCs w:val="0"/>
            <w:caps w:val="0"/>
            <w:kern w:val="2"/>
            <w:sz w:val="24"/>
            <w:szCs w:val="24"/>
            <w14:ligatures w14:val="standardContextual"/>
          </w:rPr>
          <w:tab/>
        </w:r>
        <w:r>
          <w:rPr>
            <w:rStyle w:val="Hyperlink"/>
          </w:rPr>
          <w:t>Notification Obligation</w:t>
        </w:r>
        <w:r>
          <w:rPr>
            <w:webHidden/>
          </w:rPr>
          <w:tab/>
        </w:r>
        <w:r>
          <w:rPr>
            <w:webHidden/>
          </w:rPr>
          <w:fldChar w:fldCharType="begin"/>
        </w:r>
        <w:r>
          <w:rPr>
            <w:webHidden/>
          </w:rPr>
          <w:instrText xml:space="preserve"> PAGEREF _Toc203035673 \h </w:instrText>
        </w:r>
        <w:r>
          <w:rPr>
            <w:webHidden/>
          </w:rPr>
        </w:r>
        <w:r>
          <w:rPr>
            <w:webHidden/>
          </w:rPr>
          <w:fldChar w:fldCharType="separate"/>
        </w:r>
        <w:r>
          <w:rPr>
            <w:webHidden/>
          </w:rPr>
          <w:t>39</w:t>
        </w:r>
        <w:r>
          <w:rPr>
            <w:webHidden/>
          </w:rPr>
          <w:fldChar w:fldCharType="end"/>
        </w:r>
      </w:hyperlink>
    </w:p>
    <w:p w14:paraId="559CE1AC" w14:textId="73AB7DFD">
      <w:pPr>
        <w:pStyle w:val="TOC2"/>
        <w:tabs>
          <w:tab w:val="left" w:pos="660"/>
          <w:tab w:val="right" w:leader="dot" w:pos="9016"/>
        </w:tabs>
        <w:rPr>
          <w:rFonts w:eastAsiaTheme="minorEastAsia"/>
          <w:smallCaps w:val="0"/>
          <w:kern w:val="2"/>
          <w:sz w:val="24"/>
          <w:szCs w:val="24"/>
          <w14:ligatures w14:val="standardContextual"/>
        </w:rPr>
      </w:pPr>
      <w:hyperlink w:anchor="_Toc203035674" w:history="1">
        <w:r>
          <w:rPr>
            <w:rStyle w:val="Hyperlink"/>
            <w:bCs/>
          </w:rPr>
          <w:t>a.</w:t>
        </w:r>
        <w:r>
          <w:rPr>
            <w:rFonts w:eastAsiaTheme="minorEastAsia"/>
            <w:smallCaps w:val="0"/>
            <w:kern w:val="2"/>
            <w:sz w:val="24"/>
            <w:szCs w:val="24"/>
            <w14:ligatures w14:val="standardContextual"/>
          </w:rPr>
          <w:tab/>
        </w:r>
        <w:r>
          <w:rPr>
            <w:rStyle w:val="Hyperlink"/>
          </w:rPr>
          <w:t>Notification at the Draft Stage</w:t>
        </w:r>
        <w:r>
          <w:rPr>
            <w:webHidden/>
          </w:rPr>
          <w:tab/>
        </w:r>
        <w:r>
          <w:rPr>
            <w:webHidden/>
          </w:rPr>
          <w:fldChar w:fldCharType="begin"/>
        </w:r>
        <w:r>
          <w:rPr>
            <w:webHidden/>
          </w:rPr>
          <w:instrText xml:space="preserve"> PAGEREF _Toc203035674 \h </w:instrText>
        </w:r>
        <w:r>
          <w:rPr>
            <w:webHidden/>
          </w:rPr>
        </w:r>
        <w:r>
          <w:rPr>
            <w:webHidden/>
          </w:rPr>
          <w:fldChar w:fldCharType="separate"/>
        </w:r>
        <w:r>
          <w:rPr>
            <w:webHidden/>
          </w:rPr>
          <w:t>39</w:t>
        </w:r>
        <w:r>
          <w:rPr>
            <w:webHidden/>
          </w:rPr>
          <w:fldChar w:fldCharType="end"/>
        </w:r>
      </w:hyperlink>
    </w:p>
    <w:p w14:paraId="7E8A6736" w14:textId="71519B8A">
      <w:pPr>
        <w:pStyle w:val="TOC2"/>
        <w:tabs>
          <w:tab w:val="left" w:pos="660"/>
          <w:tab w:val="right" w:leader="dot" w:pos="9016"/>
        </w:tabs>
        <w:rPr>
          <w:rFonts w:eastAsiaTheme="minorEastAsia"/>
          <w:smallCaps w:val="0"/>
          <w:kern w:val="2"/>
          <w:sz w:val="24"/>
          <w:szCs w:val="24"/>
          <w14:ligatures w14:val="standardContextual"/>
        </w:rPr>
      </w:pPr>
      <w:hyperlink w:anchor="_Toc203035675" w:history="1">
        <w:r>
          <w:rPr>
            <w:rStyle w:val="Hyperlink"/>
            <w:bCs/>
          </w:rPr>
          <w:t>b.</w:t>
        </w:r>
        <w:r>
          <w:rPr>
            <w:rFonts w:eastAsiaTheme="minorEastAsia"/>
            <w:smallCaps w:val="0"/>
            <w:kern w:val="2"/>
            <w:sz w:val="24"/>
            <w:szCs w:val="24"/>
            <w14:ligatures w14:val="standardContextual"/>
          </w:rPr>
          <w:tab/>
        </w:r>
        <w:r>
          <w:rPr>
            <w:rStyle w:val="Hyperlink"/>
          </w:rPr>
          <w:t>Notifications of New Technical Regulations</w:t>
        </w:r>
        <w:r>
          <w:rPr>
            <w:webHidden/>
          </w:rPr>
          <w:tab/>
        </w:r>
        <w:r>
          <w:rPr>
            <w:webHidden/>
          </w:rPr>
          <w:fldChar w:fldCharType="begin"/>
        </w:r>
        <w:r>
          <w:rPr>
            <w:webHidden/>
          </w:rPr>
          <w:instrText xml:space="preserve"> PAGEREF _Toc203035675 \h </w:instrText>
        </w:r>
        <w:r>
          <w:rPr>
            <w:webHidden/>
          </w:rPr>
        </w:r>
        <w:r>
          <w:rPr>
            <w:webHidden/>
          </w:rPr>
          <w:fldChar w:fldCharType="separate"/>
        </w:r>
        <w:r>
          <w:rPr>
            <w:webHidden/>
          </w:rPr>
          <w:t>41</w:t>
        </w:r>
        <w:r>
          <w:rPr>
            <w:webHidden/>
          </w:rPr>
          <w:fldChar w:fldCharType="end"/>
        </w:r>
      </w:hyperlink>
    </w:p>
    <w:p w14:paraId="1EA679C1" w14:textId="584C8B1D">
      <w:pPr>
        <w:pStyle w:val="TOC2"/>
        <w:tabs>
          <w:tab w:val="left" w:pos="660"/>
          <w:tab w:val="right" w:leader="dot" w:pos="9016"/>
        </w:tabs>
        <w:rPr>
          <w:rFonts w:eastAsiaTheme="minorEastAsia"/>
          <w:smallCaps w:val="0"/>
          <w:kern w:val="2"/>
          <w:sz w:val="24"/>
          <w:szCs w:val="24"/>
          <w14:ligatures w14:val="standardContextual"/>
        </w:rPr>
      </w:pPr>
      <w:hyperlink w:anchor="_Toc203035676" w:history="1">
        <w:r>
          <w:rPr>
            <w:rStyle w:val="Hyperlink"/>
            <w:bCs/>
          </w:rPr>
          <w:t>c.</w:t>
        </w:r>
        <w:r>
          <w:rPr>
            <w:rFonts w:eastAsiaTheme="minorEastAsia"/>
            <w:smallCaps w:val="0"/>
            <w:kern w:val="2"/>
            <w:sz w:val="24"/>
            <w:szCs w:val="24"/>
            <w14:ligatures w14:val="standardContextual"/>
          </w:rPr>
          <w:tab/>
        </w:r>
        <w:r>
          <w:rPr>
            <w:rStyle w:val="Hyperlink"/>
          </w:rPr>
          <w:t>Notification of the Full Text</w:t>
        </w:r>
        <w:r>
          <w:rPr>
            <w:webHidden/>
          </w:rPr>
          <w:tab/>
        </w:r>
        <w:r>
          <w:rPr>
            <w:webHidden/>
          </w:rPr>
          <w:fldChar w:fldCharType="begin"/>
        </w:r>
        <w:r>
          <w:rPr>
            <w:webHidden/>
          </w:rPr>
          <w:instrText xml:space="preserve"> PAGEREF _Toc203035676 \h </w:instrText>
        </w:r>
        <w:r>
          <w:rPr>
            <w:webHidden/>
          </w:rPr>
        </w:r>
        <w:r>
          <w:rPr>
            <w:webHidden/>
          </w:rPr>
          <w:fldChar w:fldCharType="separate"/>
        </w:r>
        <w:r>
          <w:rPr>
            <w:webHidden/>
          </w:rPr>
          <w:t>43</w:t>
        </w:r>
        <w:r>
          <w:rPr>
            <w:webHidden/>
          </w:rPr>
          <w:fldChar w:fldCharType="end"/>
        </w:r>
      </w:hyperlink>
    </w:p>
    <w:p w14:paraId="7399B3C2" w14:textId="37BC6B70">
      <w:pPr>
        <w:pStyle w:val="TOC2"/>
        <w:tabs>
          <w:tab w:val="left" w:pos="660"/>
          <w:tab w:val="right" w:leader="dot" w:pos="9016"/>
        </w:tabs>
        <w:rPr>
          <w:rFonts w:eastAsiaTheme="minorEastAsia"/>
          <w:smallCaps w:val="0"/>
          <w:kern w:val="2"/>
          <w:sz w:val="24"/>
          <w:szCs w:val="24"/>
          <w14:ligatures w14:val="standardContextual"/>
        </w:rPr>
      </w:pPr>
      <w:hyperlink w:anchor="_Toc203035677" w:history="1">
        <w:r>
          <w:rPr>
            <w:rStyle w:val="Hyperlink"/>
            <w:bCs/>
          </w:rPr>
          <w:t>d.</w:t>
        </w:r>
        <w:r>
          <w:rPr>
            <w:rFonts w:eastAsiaTheme="minorEastAsia"/>
            <w:smallCaps w:val="0"/>
            <w:kern w:val="2"/>
            <w:sz w:val="24"/>
            <w:szCs w:val="24"/>
            <w14:ligatures w14:val="standardContextual"/>
          </w:rPr>
          <w:tab/>
        </w:r>
        <w:r>
          <w:rPr>
            <w:rStyle w:val="Hyperlink"/>
          </w:rPr>
          <w:t>Notification of Concerned Basic Provisions</w:t>
        </w:r>
        <w:r>
          <w:rPr>
            <w:webHidden/>
          </w:rPr>
          <w:tab/>
        </w:r>
        <w:r>
          <w:rPr>
            <w:webHidden/>
          </w:rPr>
          <w:fldChar w:fldCharType="begin"/>
        </w:r>
        <w:r>
          <w:rPr>
            <w:webHidden/>
          </w:rPr>
          <w:instrText xml:space="preserve"> PAGEREF _Toc203035677 \h </w:instrText>
        </w:r>
        <w:r>
          <w:rPr>
            <w:webHidden/>
          </w:rPr>
        </w:r>
        <w:r>
          <w:rPr>
            <w:webHidden/>
          </w:rPr>
          <w:fldChar w:fldCharType="separate"/>
        </w:r>
        <w:r>
          <w:rPr>
            <w:webHidden/>
          </w:rPr>
          <w:t>44</w:t>
        </w:r>
        <w:r>
          <w:rPr>
            <w:webHidden/>
          </w:rPr>
          <w:fldChar w:fldCharType="end"/>
        </w:r>
      </w:hyperlink>
    </w:p>
    <w:p w14:paraId="6A9200BA" w14:textId="09F270C1">
      <w:pPr>
        <w:pStyle w:val="TOC2"/>
        <w:tabs>
          <w:tab w:val="left" w:pos="660"/>
          <w:tab w:val="right" w:leader="dot" w:pos="9016"/>
        </w:tabs>
        <w:rPr>
          <w:rFonts w:eastAsiaTheme="minorEastAsia"/>
          <w:smallCaps w:val="0"/>
          <w:kern w:val="2"/>
          <w:sz w:val="24"/>
          <w:szCs w:val="24"/>
          <w14:ligatures w14:val="standardContextual"/>
        </w:rPr>
      </w:pPr>
      <w:hyperlink w:anchor="_Toc203035678" w:history="1">
        <w:r>
          <w:rPr>
            <w:rStyle w:val="Hyperlink"/>
            <w:bCs/>
          </w:rPr>
          <w:t>e.</w:t>
        </w:r>
        <w:r>
          <w:rPr>
            <w:rFonts w:eastAsiaTheme="minorEastAsia"/>
            <w:smallCaps w:val="0"/>
            <w:kern w:val="2"/>
            <w:sz w:val="24"/>
            <w:szCs w:val="24"/>
            <w14:ligatures w14:val="standardContextual"/>
          </w:rPr>
          <w:tab/>
        </w:r>
        <w:r>
          <w:rPr>
            <w:rStyle w:val="Hyperlink"/>
          </w:rPr>
          <w:t>Re-Notification During the Standstill Period</w:t>
        </w:r>
        <w:r>
          <w:rPr>
            <w:webHidden/>
          </w:rPr>
          <w:tab/>
        </w:r>
        <w:r>
          <w:rPr>
            <w:webHidden/>
          </w:rPr>
          <w:fldChar w:fldCharType="begin"/>
        </w:r>
        <w:r>
          <w:rPr>
            <w:webHidden/>
          </w:rPr>
          <w:instrText xml:space="preserve"> PAGEREF _Toc203035678 \h </w:instrText>
        </w:r>
        <w:r>
          <w:rPr>
            <w:webHidden/>
          </w:rPr>
        </w:r>
        <w:r>
          <w:rPr>
            <w:webHidden/>
          </w:rPr>
          <w:fldChar w:fldCharType="separate"/>
        </w:r>
        <w:r>
          <w:rPr>
            <w:webHidden/>
          </w:rPr>
          <w:t>45</w:t>
        </w:r>
        <w:r>
          <w:rPr>
            <w:webHidden/>
          </w:rPr>
          <w:fldChar w:fldCharType="end"/>
        </w:r>
      </w:hyperlink>
    </w:p>
    <w:p w14:paraId="7E32C518" w14:textId="7B625DD7">
      <w:pPr>
        <w:pStyle w:val="TOC1"/>
        <w:tabs>
          <w:tab w:val="left" w:pos="660"/>
          <w:tab w:val="right" w:leader="dot" w:pos="9016"/>
        </w:tabs>
        <w:rPr>
          <w:rFonts w:eastAsiaTheme="minorEastAsia"/>
          <w:b w:val="0"/>
          <w:bCs w:val="0"/>
          <w:caps w:val="0"/>
          <w:kern w:val="2"/>
          <w:sz w:val="24"/>
          <w:szCs w:val="24"/>
          <w14:ligatures w14:val="standardContextual"/>
        </w:rPr>
      </w:pPr>
      <w:hyperlink w:anchor="_Toc203035679" w:history="1">
        <w:r>
          <w:rPr>
            <w:rStyle w:val="Hyperlink"/>
          </w:rPr>
          <w:t>III.</w:t>
        </w:r>
        <w:r>
          <w:rPr>
            <w:rFonts w:eastAsiaTheme="minorEastAsia"/>
            <w:b w:val="0"/>
            <w:bCs w:val="0"/>
            <w:caps w:val="0"/>
            <w:kern w:val="2"/>
            <w:sz w:val="24"/>
            <w:szCs w:val="24"/>
            <w14:ligatures w14:val="standardContextual"/>
          </w:rPr>
          <w:tab/>
        </w:r>
        <w:r>
          <w:rPr>
            <w:rStyle w:val="Hyperlink"/>
          </w:rPr>
          <w:t>Exceptions to the Obligation to Notify</w:t>
        </w:r>
        <w:r>
          <w:rPr>
            <w:webHidden/>
          </w:rPr>
          <w:tab/>
        </w:r>
        <w:r>
          <w:rPr>
            <w:webHidden/>
          </w:rPr>
          <w:fldChar w:fldCharType="begin"/>
        </w:r>
        <w:r>
          <w:rPr>
            <w:webHidden/>
          </w:rPr>
          <w:instrText xml:space="preserve"> PAGEREF _Toc203035679 \h </w:instrText>
        </w:r>
        <w:r>
          <w:rPr>
            <w:webHidden/>
          </w:rPr>
        </w:r>
        <w:r>
          <w:rPr>
            <w:webHidden/>
          </w:rPr>
          <w:fldChar w:fldCharType="separate"/>
        </w:r>
        <w:r>
          <w:rPr>
            <w:webHidden/>
          </w:rPr>
          <w:t>47</w:t>
        </w:r>
        <w:r>
          <w:rPr>
            <w:webHidden/>
          </w:rPr>
          <w:fldChar w:fldCharType="end"/>
        </w:r>
      </w:hyperlink>
    </w:p>
    <w:p w14:paraId="7CC02EA3" w14:textId="01C3FBA0">
      <w:pPr>
        <w:pStyle w:val="TOC2"/>
        <w:tabs>
          <w:tab w:val="left" w:pos="660"/>
          <w:tab w:val="right" w:leader="dot" w:pos="9016"/>
        </w:tabs>
        <w:rPr>
          <w:rFonts w:eastAsiaTheme="minorEastAsia"/>
          <w:smallCaps w:val="0"/>
          <w:kern w:val="2"/>
          <w:sz w:val="24"/>
          <w:szCs w:val="24"/>
          <w14:ligatures w14:val="standardContextual"/>
        </w:rPr>
      </w:pPr>
      <w:hyperlink w:anchor="_Toc203035680" w:history="1">
        <w:r>
          <w:rPr>
            <w:rStyle w:val="Hyperlink"/>
            <w:bCs/>
          </w:rPr>
          <w:t>a.</w:t>
        </w:r>
        <w:r>
          <w:rPr>
            <w:rFonts w:eastAsiaTheme="minorEastAsia"/>
            <w:smallCaps w:val="0"/>
            <w:kern w:val="2"/>
            <w:sz w:val="24"/>
            <w:szCs w:val="24"/>
            <w14:ligatures w14:val="standardContextual"/>
          </w:rPr>
          <w:tab/>
        </w:r>
        <w:r>
          <w:rPr>
            <w:rStyle w:val="Hyperlink"/>
          </w:rPr>
          <w:t>Transposition of a European Act</w:t>
        </w:r>
        <w:r>
          <w:rPr>
            <w:webHidden/>
          </w:rPr>
          <w:tab/>
        </w:r>
        <w:r>
          <w:rPr>
            <w:webHidden/>
          </w:rPr>
          <w:fldChar w:fldCharType="begin"/>
        </w:r>
        <w:r>
          <w:rPr>
            <w:webHidden/>
          </w:rPr>
          <w:instrText xml:space="preserve"> PAGEREF _Toc203035680 \h </w:instrText>
        </w:r>
        <w:r>
          <w:rPr>
            <w:webHidden/>
          </w:rPr>
        </w:r>
        <w:r>
          <w:rPr>
            <w:webHidden/>
          </w:rPr>
          <w:fldChar w:fldCharType="separate"/>
        </w:r>
        <w:r>
          <w:rPr>
            <w:webHidden/>
          </w:rPr>
          <w:t>47</w:t>
        </w:r>
        <w:r>
          <w:rPr>
            <w:webHidden/>
          </w:rPr>
          <w:fldChar w:fldCharType="end"/>
        </w:r>
      </w:hyperlink>
    </w:p>
    <w:p w14:paraId="73CA2C68" w14:textId="27F826B4">
      <w:pPr>
        <w:pStyle w:val="TOC2"/>
        <w:tabs>
          <w:tab w:val="left" w:pos="660"/>
          <w:tab w:val="right" w:leader="dot" w:pos="9016"/>
        </w:tabs>
        <w:rPr>
          <w:rFonts w:eastAsiaTheme="minorEastAsia"/>
          <w:smallCaps w:val="0"/>
          <w:kern w:val="2"/>
          <w:sz w:val="24"/>
          <w:szCs w:val="24"/>
          <w14:ligatures w14:val="standardContextual"/>
        </w:rPr>
      </w:pPr>
      <w:hyperlink w:anchor="_Toc203035681" w:history="1">
        <w:r>
          <w:rPr>
            <w:rStyle w:val="Hyperlink"/>
            <w:bCs/>
          </w:rPr>
          <w:t>b.</w:t>
        </w:r>
        <w:r>
          <w:rPr>
            <w:rFonts w:eastAsiaTheme="minorEastAsia"/>
            <w:smallCaps w:val="0"/>
            <w:kern w:val="2"/>
            <w:sz w:val="24"/>
            <w:szCs w:val="24"/>
            <w14:ligatures w14:val="standardContextual"/>
          </w:rPr>
          <w:tab/>
        </w:r>
        <w:r>
          <w:rPr>
            <w:rStyle w:val="Hyperlink"/>
          </w:rPr>
          <w:t>Use of a Safeguard Clause</w:t>
        </w:r>
        <w:r>
          <w:rPr>
            <w:webHidden/>
          </w:rPr>
          <w:tab/>
        </w:r>
        <w:r>
          <w:rPr>
            <w:webHidden/>
          </w:rPr>
          <w:fldChar w:fldCharType="begin"/>
        </w:r>
        <w:r>
          <w:rPr>
            <w:webHidden/>
          </w:rPr>
          <w:instrText xml:space="preserve"> PAGEREF _Toc203035681 \h </w:instrText>
        </w:r>
        <w:r>
          <w:rPr>
            <w:webHidden/>
          </w:rPr>
        </w:r>
        <w:r>
          <w:rPr>
            <w:webHidden/>
          </w:rPr>
          <w:fldChar w:fldCharType="separate"/>
        </w:r>
        <w:r>
          <w:rPr>
            <w:webHidden/>
          </w:rPr>
          <w:t>49</w:t>
        </w:r>
        <w:r>
          <w:rPr>
            <w:webHidden/>
          </w:rPr>
          <w:fldChar w:fldCharType="end"/>
        </w:r>
      </w:hyperlink>
    </w:p>
    <w:p w14:paraId="2E16821A" w14:textId="37A0CCE7">
      <w:pPr>
        <w:pStyle w:val="TOC2"/>
        <w:tabs>
          <w:tab w:val="left" w:pos="660"/>
          <w:tab w:val="right" w:leader="dot" w:pos="9016"/>
        </w:tabs>
        <w:rPr>
          <w:rFonts w:eastAsiaTheme="minorEastAsia"/>
          <w:smallCaps w:val="0"/>
          <w:kern w:val="2"/>
          <w:sz w:val="24"/>
          <w:szCs w:val="24"/>
          <w14:ligatures w14:val="standardContextual"/>
        </w:rPr>
      </w:pPr>
      <w:hyperlink w:anchor="_Toc203035682" w:history="1">
        <w:r>
          <w:rPr>
            <w:rStyle w:val="Hyperlink"/>
            <w:bCs/>
          </w:rPr>
          <w:t>c.</w:t>
        </w:r>
        <w:r>
          <w:rPr>
            <w:rFonts w:eastAsiaTheme="minorEastAsia"/>
            <w:smallCaps w:val="0"/>
            <w:kern w:val="2"/>
            <w:sz w:val="24"/>
            <w:szCs w:val="24"/>
            <w14:ligatures w14:val="standardContextual"/>
          </w:rPr>
          <w:tab/>
        </w:r>
        <w:r>
          <w:rPr>
            <w:rStyle w:val="Hyperlink"/>
          </w:rPr>
          <w:t>Amendment in Accordance with a Commission Request</w:t>
        </w:r>
        <w:r>
          <w:rPr>
            <w:webHidden/>
          </w:rPr>
          <w:tab/>
        </w:r>
        <w:r>
          <w:rPr>
            <w:webHidden/>
          </w:rPr>
          <w:fldChar w:fldCharType="begin"/>
        </w:r>
        <w:r>
          <w:rPr>
            <w:webHidden/>
          </w:rPr>
          <w:instrText xml:space="preserve"> PAGEREF _Toc203035682 \h </w:instrText>
        </w:r>
        <w:r>
          <w:rPr>
            <w:webHidden/>
          </w:rPr>
        </w:r>
        <w:r>
          <w:rPr>
            <w:webHidden/>
          </w:rPr>
          <w:fldChar w:fldCharType="separate"/>
        </w:r>
        <w:r>
          <w:rPr>
            <w:webHidden/>
          </w:rPr>
          <w:t>51</w:t>
        </w:r>
        <w:r>
          <w:rPr>
            <w:webHidden/>
          </w:rPr>
          <w:fldChar w:fldCharType="end"/>
        </w:r>
      </w:hyperlink>
    </w:p>
    <w:p w14:paraId="3089DDB6" w14:textId="5A964DBB">
      <w:pPr>
        <w:pStyle w:val="TOC2"/>
        <w:tabs>
          <w:tab w:val="left" w:pos="660"/>
          <w:tab w:val="right" w:leader="dot" w:pos="9016"/>
        </w:tabs>
        <w:rPr>
          <w:rFonts w:eastAsiaTheme="minorEastAsia"/>
          <w:smallCaps w:val="0"/>
          <w:kern w:val="2"/>
          <w:sz w:val="24"/>
          <w:szCs w:val="24"/>
          <w14:ligatures w14:val="standardContextual"/>
        </w:rPr>
      </w:pPr>
      <w:hyperlink w:anchor="_Toc203035683" w:history="1">
        <w:r>
          <w:rPr>
            <w:rStyle w:val="Hyperlink"/>
          </w:rPr>
          <w:t>a.</w:t>
        </w:r>
        <w:r>
          <w:rPr>
            <w:rFonts w:eastAsiaTheme="minorEastAsia"/>
            <w:smallCaps w:val="0"/>
            <w:kern w:val="2"/>
            <w:sz w:val="24"/>
            <w:szCs w:val="24"/>
            <w14:ligatures w14:val="standardContextual"/>
          </w:rPr>
          <w:tab/>
        </w:r>
        <w:r>
          <w:rPr>
            <w:rStyle w:val="Hyperlink"/>
          </w:rPr>
          <w:t>Circumstances That Do Not Constitute Exceptions</w:t>
        </w:r>
        <w:r>
          <w:rPr>
            <w:webHidden/>
          </w:rPr>
          <w:tab/>
        </w:r>
        <w:r>
          <w:rPr>
            <w:webHidden/>
          </w:rPr>
          <w:fldChar w:fldCharType="begin"/>
        </w:r>
        <w:r>
          <w:rPr>
            <w:webHidden/>
          </w:rPr>
          <w:instrText xml:space="preserve"> PAGEREF _Toc203035683 \h </w:instrText>
        </w:r>
        <w:r>
          <w:rPr>
            <w:webHidden/>
          </w:rPr>
        </w:r>
        <w:r>
          <w:rPr>
            <w:webHidden/>
          </w:rPr>
          <w:fldChar w:fldCharType="separate"/>
        </w:r>
        <w:r>
          <w:rPr>
            <w:webHidden/>
          </w:rPr>
          <w:t>52</w:t>
        </w:r>
        <w:r>
          <w:rPr>
            <w:webHidden/>
          </w:rPr>
          <w:fldChar w:fldCharType="end"/>
        </w:r>
      </w:hyperlink>
    </w:p>
    <w:p w14:paraId="340B66C9" w14:textId="65DEBB09">
      <w:pPr>
        <w:pStyle w:val="TOC1"/>
        <w:tabs>
          <w:tab w:val="left" w:pos="660"/>
          <w:tab w:val="right" w:leader="dot" w:pos="9016"/>
        </w:tabs>
        <w:rPr>
          <w:rFonts w:eastAsiaTheme="minorEastAsia"/>
          <w:b w:val="0"/>
          <w:bCs w:val="0"/>
          <w:caps w:val="0"/>
          <w:kern w:val="2"/>
          <w:sz w:val="24"/>
          <w:szCs w:val="24"/>
          <w14:ligatures w14:val="standardContextual"/>
        </w:rPr>
      </w:pPr>
      <w:hyperlink w:anchor="_Toc203035684" w:history="1">
        <w:r>
          <w:rPr>
            <w:rStyle w:val="Hyperlink"/>
          </w:rPr>
          <w:t>IV.</w:t>
        </w:r>
        <w:r>
          <w:rPr>
            <w:rFonts w:eastAsiaTheme="minorEastAsia"/>
            <w:b w:val="0"/>
            <w:bCs w:val="0"/>
            <w:caps w:val="0"/>
            <w:kern w:val="2"/>
            <w:sz w:val="24"/>
            <w:szCs w:val="24"/>
            <w14:ligatures w14:val="standardContextual"/>
          </w:rPr>
          <w:tab/>
        </w:r>
        <w:r>
          <w:rPr>
            <w:rStyle w:val="Hyperlink"/>
          </w:rPr>
          <w:t>Inapplicability</w:t>
        </w:r>
        <w:r>
          <w:rPr>
            <w:webHidden/>
          </w:rPr>
          <w:tab/>
        </w:r>
        <w:r>
          <w:rPr>
            <w:webHidden/>
          </w:rPr>
          <w:fldChar w:fldCharType="begin"/>
        </w:r>
        <w:r>
          <w:rPr>
            <w:webHidden/>
          </w:rPr>
          <w:instrText xml:space="preserve"> PAGEREF _Toc203035684 \h </w:instrText>
        </w:r>
        <w:r>
          <w:rPr>
            <w:webHidden/>
          </w:rPr>
        </w:r>
        <w:r>
          <w:rPr>
            <w:webHidden/>
          </w:rPr>
          <w:fldChar w:fldCharType="separate"/>
        </w:r>
        <w:r>
          <w:rPr>
            <w:webHidden/>
          </w:rPr>
          <w:t>54</w:t>
        </w:r>
        <w:r>
          <w:rPr>
            <w:webHidden/>
          </w:rPr>
          <w:fldChar w:fldCharType="end"/>
        </w:r>
      </w:hyperlink>
    </w:p>
    <w:p w14:paraId="3472F46D" w14:textId="5B898B42">
      <w:pPr>
        <w:pStyle w:val="TOC2"/>
        <w:tabs>
          <w:tab w:val="left" w:pos="660"/>
          <w:tab w:val="right" w:leader="dot" w:pos="9016"/>
        </w:tabs>
        <w:rPr>
          <w:rFonts w:eastAsiaTheme="minorEastAsia"/>
          <w:smallCaps w:val="0"/>
          <w:kern w:val="2"/>
          <w:sz w:val="24"/>
          <w:szCs w:val="24"/>
          <w14:ligatures w14:val="standardContextual"/>
        </w:rPr>
      </w:pPr>
      <w:hyperlink w:anchor="_Toc203035685" w:history="1">
        <w:r>
          <w:rPr>
            <w:rStyle w:val="Hyperlink"/>
            <w:bCs/>
          </w:rPr>
          <w:t>a.</w:t>
        </w:r>
        <w:r>
          <w:rPr>
            <w:rFonts w:eastAsiaTheme="minorEastAsia"/>
            <w:smallCaps w:val="0"/>
            <w:kern w:val="2"/>
            <w:sz w:val="24"/>
            <w:szCs w:val="24"/>
            <w14:ligatures w14:val="standardContextual"/>
          </w:rPr>
          <w:tab/>
        </w:r>
        <w:r>
          <w:rPr>
            <w:rStyle w:val="Hyperlink"/>
          </w:rPr>
          <w:t>Inapplicability in the Event of Non-Notification</w:t>
        </w:r>
        <w:r>
          <w:rPr>
            <w:webHidden/>
          </w:rPr>
          <w:tab/>
        </w:r>
        <w:r>
          <w:rPr>
            <w:webHidden/>
          </w:rPr>
          <w:fldChar w:fldCharType="begin"/>
        </w:r>
        <w:r>
          <w:rPr>
            <w:webHidden/>
          </w:rPr>
          <w:instrText xml:space="preserve"> PAGEREF _Toc203035685 \h </w:instrText>
        </w:r>
        <w:r>
          <w:rPr>
            <w:webHidden/>
          </w:rPr>
        </w:r>
        <w:r>
          <w:rPr>
            <w:webHidden/>
          </w:rPr>
          <w:fldChar w:fldCharType="separate"/>
        </w:r>
        <w:r>
          <w:rPr>
            <w:webHidden/>
          </w:rPr>
          <w:t>54</w:t>
        </w:r>
        <w:r>
          <w:rPr>
            <w:webHidden/>
          </w:rPr>
          <w:fldChar w:fldCharType="end"/>
        </w:r>
      </w:hyperlink>
    </w:p>
    <w:p w14:paraId="3917D769" w14:textId="59C074AB">
      <w:pPr>
        <w:pStyle w:val="TOC2"/>
        <w:tabs>
          <w:tab w:val="left" w:pos="660"/>
          <w:tab w:val="right" w:leader="dot" w:pos="9016"/>
        </w:tabs>
        <w:rPr>
          <w:rFonts w:eastAsiaTheme="minorEastAsia"/>
          <w:smallCaps w:val="0"/>
          <w:kern w:val="2"/>
          <w:sz w:val="24"/>
          <w:szCs w:val="24"/>
          <w14:ligatures w14:val="standardContextual"/>
        </w:rPr>
      </w:pPr>
      <w:hyperlink w:anchor="_Toc203035686" w:history="1">
        <w:r>
          <w:rPr>
            <w:rStyle w:val="Hyperlink"/>
            <w:bCs/>
          </w:rPr>
          <w:t>b.</w:t>
        </w:r>
        <w:r>
          <w:rPr>
            <w:rFonts w:eastAsiaTheme="minorEastAsia"/>
            <w:smallCaps w:val="0"/>
            <w:kern w:val="2"/>
            <w:sz w:val="24"/>
            <w:szCs w:val="24"/>
            <w14:ligatures w14:val="standardContextual"/>
          </w:rPr>
          <w:tab/>
        </w:r>
        <w:r>
          <w:rPr>
            <w:rStyle w:val="Hyperlink"/>
          </w:rPr>
          <w:t>Inapplicability in the Event of Adoption During the Standstill Period</w:t>
        </w:r>
        <w:r>
          <w:rPr>
            <w:webHidden/>
          </w:rPr>
          <w:tab/>
        </w:r>
        <w:r>
          <w:rPr>
            <w:webHidden/>
          </w:rPr>
          <w:fldChar w:fldCharType="begin"/>
        </w:r>
        <w:r>
          <w:rPr>
            <w:webHidden/>
          </w:rPr>
          <w:instrText xml:space="preserve"> PAGEREF _Toc203035686 \h </w:instrText>
        </w:r>
        <w:r>
          <w:rPr>
            <w:webHidden/>
          </w:rPr>
        </w:r>
        <w:r>
          <w:rPr>
            <w:webHidden/>
          </w:rPr>
          <w:fldChar w:fldCharType="separate"/>
        </w:r>
        <w:r>
          <w:rPr>
            <w:webHidden/>
          </w:rPr>
          <w:t>58</w:t>
        </w:r>
        <w:r>
          <w:rPr>
            <w:webHidden/>
          </w:rPr>
          <w:fldChar w:fldCharType="end"/>
        </w:r>
      </w:hyperlink>
    </w:p>
    <w:p w14:paraId="62AF9A81" w14:textId="5B90334F">
      <w:pPr>
        <w:pStyle w:val="TOC2"/>
        <w:tabs>
          <w:tab w:val="left" w:pos="660"/>
          <w:tab w:val="right" w:leader="dot" w:pos="9016"/>
        </w:tabs>
        <w:rPr>
          <w:rFonts w:eastAsiaTheme="minorEastAsia"/>
          <w:smallCaps w:val="0"/>
          <w:kern w:val="2"/>
          <w:sz w:val="24"/>
          <w:szCs w:val="24"/>
          <w14:ligatures w14:val="standardContextual"/>
        </w:rPr>
      </w:pPr>
      <w:hyperlink w:anchor="_Toc203035687" w:history="1">
        <w:r>
          <w:rPr>
            <w:rStyle w:val="Hyperlink"/>
            <w:bCs/>
          </w:rPr>
          <w:t>c.</w:t>
        </w:r>
        <w:r>
          <w:rPr>
            <w:rFonts w:eastAsiaTheme="minorEastAsia"/>
            <w:smallCaps w:val="0"/>
            <w:kern w:val="2"/>
            <w:sz w:val="24"/>
            <w:szCs w:val="24"/>
            <w14:ligatures w14:val="standardContextual"/>
          </w:rPr>
          <w:tab/>
        </w:r>
        <w:r>
          <w:rPr>
            <w:rStyle w:val="Hyperlink"/>
          </w:rPr>
          <w:t>Clarification as to the Effect of Inapplicability</w:t>
        </w:r>
        <w:r>
          <w:rPr>
            <w:webHidden/>
          </w:rPr>
          <w:tab/>
        </w:r>
        <w:r>
          <w:rPr>
            <w:webHidden/>
          </w:rPr>
          <w:fldChar w:fldCharType="begin"/>
        </w:r>
        <w:r>
          <w:rPr>
            <w:webHidden/>
          </w:rPr>
          <w:instrText xml:space="preserve"> PAGEREF _Toc203035687 \h </w:instrText>
        </w:r>
        <w:r>
          <w:rPr>
            <w:webHidden/>
          </w:rPr>
        </w:r>
        <w:r>
          <w:rPr>
            <w:webHidden/>
          </w:rPr>
          <w:fldChar w:fldCharType="separate"/>
        </w:r>
        <w:r>
          <w:rPr>
            <w:webHidden/>
          </w:rPr>
          <w:t>60</w:t>
        </w:r>
        <w:r>
          <w:rPr>
            <w:webHidden/>
          </w:rPr>
          <w:fldChar w:fldCharType="end"/>
        </w:r>
      </w:hyperlink>
    </w:p>
    <w:p w14:paraId="05C72C05" w14:textId="53813097">
      <w:pPr>
        <w:pStyle w:val="TOC2"/>
        <w:tabs>
          <w:tab w:val="left" w:pos="660"/>
          <w:tab w:val="right" w:leader="dot" w:pos="9016"/>
        </w:tabs>
        <w:rPr>
          <w:rFonts w:eastAsiaTheme="minorEastAsia"/>
          <w:smallCaps w:val="0"/>
          <w:kern w:val="2"/>
          <w:sz w:val="24"/>
          <w:szCs w:val="24"/>
          <w14:ligatures w14:val="standardContextual"/>
        </w:rPr>
      </w:pPr>
      <w:hyperlink w:anchor="_Toc203035688" w:history="1">
        <w:r>
          <w:rPr>
            <w:rStyle w:val="Hyperlink"/>
            <w:bCs/>
          </w:rPr>
          <w:t>d.</w:t>
        </w:r>
        <w:r>
          <w:rPr>
            <w:rFonts w:eastAsiaTheme="minorEastAsia"/>
            <w:smallCaps w:val="0"/>
            <w:kern w:val="2"/>
            <w:sz w:val="24"/>
            <w:szCs w:val="24"/>
            <w14:ligatures w14:val="standardContextual"/>
          </w:rPr>
          <w:tab/>
        </w:r>
        <w:r>
          <w:rPr>
            <w:rStyle w:val="Hyperlink"/>
          </w:rPr>
          <w:t>Infringement Procedure</w:t>
        </w:r>
        <w:r>
          <w:rPr>
            <w:webHidden/>
          </w:rPr>
          <w:tab/>
        </w:r>
        <w:r>
          <w:rPr>
            <w:webHidden/>
          </w:rPr>
          <w:fldChar w:fldCharType="begin"/>
        </w:r>
        <w:r>
          <w:rPr>
            <w:webHidden/>
          </w:rPr>
          <w:instrText xml:space="preserve"> PAGEREF _Toc203035688 \h </w:instrText>
        </w:r>
        <w:r>
          <w:rPr>
            <w:webHidden/>
          </w:rPr>
        </w:r>
        <w:r>
          <w:rPr>
            <w:webHidden/>
          </w:rPr>
          <w:fldChar w:fldCharType="separate"/>
        </w:r>
        <w:r>
          <w:rPr>
            <w:webHidden/>
          </w:rPr>
          <w:t>61</w:t>
        </w:r>
        <w:r>
          <w:rPr>
            <w:webHidden/>
          </w:rPr>
          <w:fldChar w:fldCharType="end"/>
        </w:r>
      </w:hyperlink>
    </w:p>
    <w:p w14:paraId="58AB357B" w14:textId="44F07789">
      <w:pPr>
        <w:pStyle w:val="P68B1DB1-Normal4"/>
        <w:spacing w:line="278" w:lineRule="auto"/>
        <w:rPr>
          <w:rFonts w:ascii="Times New Roman" w:hAnsi="Times New Roman" w:cs="Times New Roman"/>
        </w:rPr>
      </w:pPr>
      <w:r>
        <w:rPr>
          <w:rFonts w:ascii="Times New Roman" w:hAnsi="Times New Roman" w:cs="Times New Roman"/>
        </w:rPr>
        <w:fldChar w:fldCharType="end"/>
      </w:r>
    </w:p>
    <w:p w14:paraId="0EC5AF49" w14:textId="77777777">
      <w:pPr>
        <w:spacing w:line="278" w:lineRule="auto"/>
        <w:rPr>
          <w:sz w:val="20"/>
        </w:rPr>
      </w:pPr>
      <w:r>
        <w:br w:type="page"/>
      </w:r>
    </w:p>
    <w:p w14:paraId="6635D92A" w14:textId="484720D6">
      <w:pPr>
        <w:pStyle w:val="P68B1DB1-Normal4"/>
        <w:spacing w:line="278" w:lineRule="auto"/>
        <w:jc w:val="both"/>
      </w:pPr>
      <w:r>
        <w:rPr>
          <w:rFonts w:ascii="Times New Roman" w:hAnsi="Times New Roman" w:cs="Times New Roman"/>
          <w:sz w:val="24"/>
          <w:szCs w:val="24"/>
        </w:rPr>
        <w:t xml:space="preserve">De beslut från vilka utdrag har sammanställts i detta dokument avser på varandra följande direktiv som fastställer ett informationsförfarande beträffande tekniska föreskrifter. Följande jämförelsetabell visar kontinuiteten i de viktigaste bestämmelserna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EF257CD" w14:textId="77777777">
      <w:pPr>
        <w:spacing w:after="0" w:line="240" w:lineRule="auto"/>
        <w:jc w:val="both"/>
        <w:rPr>
          <w:rFonts w:ascii="Times New Roman" w:hAnsi="Times New Roman" w:cs="Times New Roman"/>
          <w:sz w:val="24"/>
          <w:szCs w:val="24"/>
        </w:rPr>
      </w:pPr>
    </w:p>
    <w:p w14:paraId="31BFF92A" w14:textId="3BC8AB17">
      <w:pPr>
        <w:pStyle w:val="P68B1DB1-Normal5"/>
        <w:spacing w:after="0" w:line="240" w:lineRule="auto"/>
        <w:jc w:val="center"/>
        <w:rPr>
          <w:bCs/>
        </w:rPr>
      </w:pPr>
      <w:r>
        <w:t xml:space="preserve">Jämförelsetabell för de viktigaste bestämmelserna </w:t>
      </w:r>
    </w:p>
    <w:p w14:paraId="74F41B86" w14:textId="7258661E">
      <w:pPr>
        <w:pStyle w:val="P68B1DB1-Normal5"/>
        <w:spacing w:after="0" w:line="240" w:lineRule="auto"/>
        <w:jc w:val="center"/>
        <w:rPr>
          <w:bCs/>
        </w:rPr>
      </w:pPr>
      <w:r>
        <w:t xml:space="preserve">Direktiven (EU) 2015/1535, 98/34/EG och 83/189/EEG</w:t>
      </w:r>
    </w:p>
    <w:p w14:paraId="3AD91D64" w14:textId="77777777">
      <w:pPr>
        <w:spacing w:after="0" w:line="240" w:lineRule="auto"/>
      </w:pPr>
    </w:p>
    <w:tbl>
      <w:tblPr>
        <w:tblStyle w:val="TableGrid"/>
        <w:tblW w:w="10206" w:type="dxa"/>
        <w:tblInd w:w="-572" w:type="dxa"/>
        <w:tblLook w:val="04A0" w:firstRow="1" w:lastRow="0" w:firstColumn="1" w:lastColumn="0" w:noHBand="0" w:noVBand="1"/>
      </w:tblPr>
      <w:tblGrid>
        <w:gridCol w:w="3119"/>
        <w:gridCol w:w="2457"/>
        <w:gridCol w:w="2315"/>
        <w:gridCol w:w="2315"/>
      </w:tblGrid>
      <w:tr w14:paraId="3A08F315" w14:textId="77777777">
        <w:trPr>
          <w:trHeight w:val="599"/>
        </w:trPr>
        <w:tc>
          <w:tcPr>
            <w:tcW w:w="3119" w:type="dxa"/>
            <w:shd w:val="clear" w:color="auto" w:fill="auto"/>
          </w:tcPr>
          <w:p w14:paraId="364945D8" w14:textId="2E5772D6">
            <w:pPr>
              <w:pStyle w:val="P68B1DB1-Normal6"/>
              <w:spacing w:line="240" w:lineRule="auto"/>
              <w:rPr>
                <w:bCs/>
              </w:rPr>
            </w:pPr>
            <w:r>
              <w:t xml:space="preserve">Föreskrifternas innehåll</w:t>
            </w:r>
          </w:p>
        </w:tc>
        <w:tc>
          <w:tcPr>
            <w:tcW w:w="2457" w:type="dxa"/>
            <w:shd w:val="clear" w:color="auto" w:fill="auto"/>
          </w:tcPr>
          <w:p w14:paraId="34093202" w14:textId="25E58692">
            <w:pPr>
              <w:spacing w:line="240" w:lineRule="auto"/>
              <w:rPr>
                <w:rFonts w:ascii="Times New Roman" w:hAnsi="Times New Roman" w:cs="Times New Roman"/>
                <w:b/>
                <w:bCs/>
                <w:sz w:val="24"/>
                <w:szCs w:val="24"/>
              </w:rPr>
            </w:pPr>
            <w:hyperlink r:id="rId8" w:history="1">
              <w:r>
                <w:rPr>
                  <w:rStyle w:val="Hyperlink"/>
                  <w:rFonts w:ascii="Times New Roman" w:hAnsi="Times New Roman" w:cs="Times New Roman"/>
                  <w:b/>
                  <w:color w:val="0000FF"/>
                  <w:sz w:val="24"/>
                  <w:szCs w:val="24"/>
                </w:rPr>
                <w:t xml:space="preserve">Direktiv (EU) 2015/1535</w:t>
              </w:r>
            </w:hyperlink>
            <w:r>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pPr>
              <w:spacing w:line="240" w:lineRule="auto"/>
              <w:rPr>
                <w:rFonts w:ascii="Times New Roman" w:hAnsi="Times New Roman" w:cs="Times New Roman"/>
                <w:b/>
                <w:bCs/>
                <w:sz w:val="24"/>
                <w:szCs w:val="24"/>
              </w:rPr>
            </w:pPr>
            <w:hyperlink r:id="rId9" w:history="1">
              <w:r>
                <w:rPr>
                  <w:rStyle w:val="Hyperlink"/>
                  <w:rFonts w:ascii="Times New Roman" w:hAnsi="Times New Roman" w:cs="Times New Roman"/>
                  <w:b/>
                  <w:color w:val="0000FF"/>
                  <w:sz w:val="24"/>
                  <w:szCs w:val="24"/>
                </w:rPr>
                <w:t xml:space="preserve">Direktiv 98/34/EG</w:t>
              </w:r>
            </w:hyperlink>
            <w:r>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pPr>
              <w:spacing w:line="240" w:lineRule="auto"/>
              <w:rPr>
                <w:rFonts w:ascii="Times New Roman" w:hAnsi="Times New Roman" w:cs="Times New Roman"/>
                <w:b/>
                <w:bCs/>
                <w:sz w:val="24"/>
                <w:szCs w:val="24"/>
              </w:rPr>
            </w:pPr>
            <w:hyperlink r:id="rId10" w:history="1">
              <w:r>
                <w:rPr>
                  <w:rStyle w:val="Hyperlink"/>
                  <w:rFonts w:ascii="Times New Roman" w:hAnsi="Times New Roman" w:cs="Times New Roman"/>
                  <w:b/>
                  <w:color w:val="0000FF"/>
                  <w:sz w:val="24"/>
                  <w:szCs w:val="24"/>
                </w:rPr>
                <w:t xml:space="preserve">Direktiv 83/189/EEG</w:t>
              </w:r>
            </w:hyperlink>
            <w:r>
              <w:rPr>
                <w:rStyle w:val="FootnoteReference"/>
                <w:rFonts w:ascii="Times New Roman" w:hAnsi="Times New Roman" w:cs="Times New Roman"/>
                <w:sz w:val="24"/>
                <w:szCs w:val="24"/>
              </w:rPr>
              <w:footnoteReference w:id="4"/>
            </w:r>
          </w:p>
        </w:tc>
      </w:tr>
      <w:tr w14:paraId="72585BFB" w14:textId="77777777">
        <w:trPr>
          <w:trHeight w:val="599"/>
        </w:trPr>
        <w:tc>
          <w:tcPr>
            <w:tcW w:w="3119" w:type="dxa"/>
          </w:tcPr>
          <w:p w14:paraId="04624D71" w14:textId="77777777">
            <w:pPr>
              <w:pStyle w:val="P68B1DB1-Normal7"/>
              <w:spacing w:line="240" w:lineRule="auto"/>
            </w:pPr>
            <w:r>
              <w:t xml:space="preserve">Definition av ”produkter”</w:t>
            </w:r>
          </w:p>
        </w:tc>
        <w:tc>
          <w:tcPr>
            <w:tcW w:w="2457" w:type="dxa"/>
          </w:tcPr>
          <w:p w14:paraId="4A418F3D" w14:textId="11CADE6C">
            <w:pPr>
              <w:pStyle w:val="P68B1DB1-Normal7"/>
              <w:spacing w:line="240" w:lineRule="auto"/>
            </w:pPr>
            <w:r>
              <w:t xml:space="preserve">Artikel 1.1 a</w:t>
            </w:r>
          </w:p>
        </w:tc>
        <w:tc>
          <w:tcPr>
            <w:tcW w:w="2315" w:type="dxa"/>
          </w:tcPr>
          <w:p w14:paraId="5020F0EC" w14:textId="29FBC8B8">
            <w:pPr>
              <w:pStyle w:val="P68B1DB1-Normal7"/>
              <w:spacing w:line="240" w:lineRule="auto"/>
            </w:pPr>
            <w:r>
              <w:t xml:space="preserve">Artikel 1.1</w:t>
            </w:r>
          </w:p>
        </w:tc>
        <w:tc>
          <w:tcPr>
            <w:tcW w:w="2315" w:type="dxa"/>
          </w:tcPr>
          <w:p w14:paraId="1AC77ECE" w14:textId="6BC392C6">
            <w:pPr>
              <w:pStyle w:val="P68B1DB1-Normal7"/>
              <w:spacing w:line="240" w:lineRule="auto"/>
            </w:pPr>
            <w:r>
              <w:t xml:space="preserve">Artikel 1.7</w:t>
            </w:r>
          </w:p>
        </w:tc>
      </w:tr>
      <w:tr w14:paraId="4F3F95AF" w14:textId="77777777">
        <w:trPr>
          <w:trHeight w:val="599"/>
        </w:trPr>
        <w:tc>
          <w:tcPr>
            <w:tcW w:w="3119" w:type="dxa"/>
          </w:tcPr>
          <w:p w14:paraId="42CDA066" w14:textId="77777777">
            <w:pPr>
              <w:pStyle w:val="P68B1DB1-Normal7"/>
              <w:spacing w:line="240" w:lineRule="auto"/>
            </w:pPr>
            <w:r>
              <w:t xml:space="preserve">Definition av ”tjänster”</w:t>
            </w:r>
          </w:p>
        </w:tc>
        <w:tc>
          <w:tcPr>
            <w:tcW w:w="2457" w:type="dxa"/>
          </w:tcPr>
          <w:p w14:paraId="658F3867" w14:textId="6E2F4A98">
            <w:pPr>
              <w:pStyle w:val="P68B1DB1-Normal7"/>
              <w:spacing w:line="240" w:lineRule="auto"/>
            </w:pPr>
            <w:r>
              <w:t xml:space="preserve">Artikel 1.1 b</w:t>
            </w:r>
          </w:p>
        </w:tc>
        <w:tc>
          <w:tcPr>
            <w:tcW w:w="2315" w:type="dxa"/>
          </w:tcPr>
          <w:p w14:paraId="4273AEF8" w14:textId="51C8B937">
            <w:pPr>
              <w:pStyle w:val="P68B1DB1-Normal7"/>
              <w:spacing w:line="240" w:lineRule="auto"/>
            </w:pPr>
            <w:r>
              <w:t xml:space="preserve">Artikel 1.2</w:t>
            </w:r>
          </w:p>
        </w:tc>
        <w:tc>
          <w:tcPr>
            <w:tcW w:w="2315" w:type="dxa"/>
          </w:tcPr>
          <w:p w14:paraId="6B0C3AFB" w14:textId="2BD4E0BD">
            <w:pPr>
              <w:pStyle w:val="P68B1DB1-Normal7"/>
              <w:spacing w:line="240" w:lineRule="auto"/>
              <w:jc w:val="center"/>
            </w:pPr>
            <w:r>
              <w:t>___</w:t>
            </w:r>
          </w:p>
        </w:tc>
      </w:tr>
      <w:tr w14:paraId="576462BF" w14:textId="77777777">
        <w:trPr>
          <w:trHeight w:val="599"/>
        </w:trPr>
        <w:tc>
          <w:tcPr>
            <w:tcW w:w="3119" w:type="dxa"/>
          </w:tcPr>
          <w:p w14:paraId="555E46FF" w14:textId="77777777">
            <w:pPr>
              <w:pStyle w:val="P68B1DB1-Normal7"/>
              <w:spacing w:line="240" w:lineRule="auto"/>
            </w:pPr>
            <w:r>
              <w:t xml:space="preserve">Definition av ”teknisk specifikation”</w:t>
            </w:r>
          </w:p>
        </w:tc>
        <w:tc>
          <w:tcPr>
            <w:tcW w:w="2457" w:type="dxa"/>
          </w:tcPr>
          <w:p w14:paraId="1CD6781C" w14:textId="4816FB95">
            <w:pPr>
              <w:pStyle w:val="P68B1DB1-Normal7"/>
              <w:spacing w:line="240" w:lineRule="auto"/>
            </w:pPr>
            <w:r>
              <w:t xml:space="preserve">Artikel 1.1 c</w:t>
            </w:r>
          </w:p>
        </w:tc>
        <w:tc>
          <w:tcPr>
            <w:tcW w:w="2315" w:type="dxa"/>
          </w:tcPr>
          <w:p w14:paraId="6ACA8AFC" w14:textId="5CBBFC47">
            <w:pPr>
              <w:pStyle w:val="P68B1DB1-Normal7"/>
              <w:spacing w:line="240" w:lineRule="auto"/>
            </w:pPr>
            <w:r>
              <w:t xml:space="preserve">Artikel 1.3</w:t>
            </w:r>
          </w:p>
        </w:tc>
        <w:tc>
          <w:tcPr>
            <w:tcW w:w="2315" w:type="dxa"/>
          </w:tcPr>
          <w:p w14:paraId="7742C3F4" w14:textId="668574B6">
            <w:pPr>
              <w:pStyle w:val="P68B1DB1-Normal7"/>
              <w:spacing w:line="240" w:lineRule="auto"/>
            </w:pPr>
            <w:r>
              <w:t xml:space="preserve">Artikel 1.1</w:t>
            </w:r>
          </w:p>
        </w:tc>
      </w:tr>
      <w:tr w14:paraId="39DCA993" w14:textId="77777777">
        <w:trPr>
          <w:trHeight w:val="599"/>
        </w:trPr>
        <w:tc>
          <w:tcPr>
            <w:tcW w:w="3119" w:type="dxa"/>
          </w:tcPr>
          <w:p w14:paraId="412D2403" w14:textId="77777777">
            <w:pPr>
              <w:pStyle w:val="P68B1DB1-Normal7"/>
              <w:spacing w:line="240" w:lineRule="auto"/>
            </w:pPr>
            <w:r>
              <w:t xml:space="preserve">Definition av ”andra krav”</w:t>
            </w:r>
          </w:p>
        </w:tc>
        <w:tc>
          <w:tcPr>
            <w:tcW w:w="2457" w:type="dxa"/>
          </w:tcPr>
          <w:p w14:paraId="7BCB4CC5" w14:textId="4C804DFA">
            <w:pPr>
              <w:pStyle w:val="P68B1DB1-Normal7"/>
              <w:spacing w:line="240" w:lineRule="auto"/>
            </w:pPr>
            <w:r>
              <w:t xml:space="preserve">Artikel 1.1 d</w:t>
            </w:r>
          </w:p>
        </w:tc>
        <w:tc>
          <w:tcPr>
            <w:tcW w:w="2315" w:type="dxa"/>
          </w:tcPr>
          <w:p w14:paraId="414D1EEC" w14:textId="18CAA0FE">
            <w:pPr>
              <w:pStyle w:val="P68B1DB1-Normal7"/>
              <w:spacing w:line="240" w:lineRule="auto"/>
            </w:pPr>
            <w:r>
              <w:t xml:space="preserve">Artikel 1.4</w:t>
            </w:r>
          </w:p>
        </w:tc>
        <w:tc>
          <w:tcPr>
            <w:tcW w:w="2315" w:type="dxa"/>
          </w:tcPr>
          <w:p w14:paraId="46A8193A" w14:textId="477D2F0E">
            <w:pPr>
              <w:pStyle w:val="P68B1DB1-Normal7"/>
              <w:spacing w:line="240" w:lineRule="auto"/>
              <w:jc w:val="center"/>
            </w:pPr>
            <w:r>
              <w:t>___</w:t>
            </w:r>
          </w:p>
        </w:tc>
      </w:tr>
      <w:tr w14:paraId="48F0D2A4" w14:textId="77777777">
        <w:trPr>
          <w:trHeight w:val="599"/>
        </w:trPr>
        <w:tc>
          <w:tcPr>
            <w:tcW w:w="3119" w:type="dxa"/>
          </w:tcPr>
          <w:p w14:paraId="61624EA2" w14:textId="77777777">
            <w:pPr>
              <w:pStyle w:val="P68B1DB1-Normal7"/>
              <w:spacing w:line="240" w:lineRule="auto"/>
            </w:pPr>
            <w:r>
              <w:t xml:space="preserve">Definition av ”föreskrift för tjänster”</w:t>
            </w:r>
          </w:p>
        </w:tc>
        <w:tc>
          <w:tcPr>
            <w:tcW w:w="2457" w:type="dxa"/>
          </w:tcPr>
          <w:p w14:paraId="136F7BB7" w14:textId="4AA67A90">
            <w:pPr>
              <w:pStyle w:val="P68B1DB1-Normal7"/>
              <w:spacing w:line="240" w:lineRule="auto"/>
            </w:pPr>
            <w:r>
              <w:t xml:space="preserve">Artikel 1.1 e</w:t>
            </w:r>
          </w:p>
        </w:tc>
        <w:tc>
          <w:tcPr>
            <w:tcW w:w="2315" w:type="dxa"/>
          </w:tcPr>
          <w:p w14:paraId="36E9CD4F" w14:textId="1B75247A">
            <w:pPr>
              <w:pStyle w:val="P68B1DB1-Normal7"/>
              <w:spacing w:line="240" w:lineRule="auto"/>
            </w:pPr>
            <w:r>
              <w:t xml:space="preserve">Artikel 1.5</w:t>
            </w:r>
          </w:p>
        </w:tc>
        <w:tc>
          <w:tcPr>
            <w:tcW w:w="2315" w:type="dxa"/>
          </w:tcPr>
          <w:p w14:paraId="42762185" w14:textId="37A509CA">
            <w:pPr>
              <w:pStyle w:val="P68B1DB1-Normal7"/>
              <w:spacing w:line="240" w:lineRule="auto"/>
              <w:jc w:val="center"/>
            </w:pPr>
            <w:r>
              <w:t>___</w:t>
            </w:r>
          </w:p>
        </w:tc>
      </w:tr>
      <w:tr w14:paraId="4622E632" w14:textId="77777777">
        <w:trPr>
          <w:trHeight w:val="599"/>
        </w:trPr>
        <w:tc>
          <w:tcPr>
            <w:tcW w:w="3119" w:type="dxa"/>
          </w:tcPr>
          <w:p w14:paraId="59CDC9EC" w14:textId="77777777">
            <w:pPr>
              <w:pStyle w:val="P68B1DB1-Normal7"/>
              <w:spacing w:line="240" w:lineRule="auto"/>
            </w:pPr>
            <w:r>
              <w:t xml:space="preserve">Definition av teknisk föreskrift</w:t>
            </w:r>
          </w:p>
        </w:tc>
        <w:tc>
          <w:tcPr>
            <w:tcW w:w="2457" w:type="dxa"/>
          </w:tcPr>
          <w:p w14:paraId="46C85599" w14:textId="1342B29E">
            <w:pPr>
              <w:pStyle w:val="P68B1DB1-Normal7"/>
              <w:spacing w:line="240" w:lineRule="auto"/>
            </w:pPr>
            <w:r>
              <w:t xml:space="preserve">Artikel 1.1 f</w:t>
            </w:r>
          </w:p>
        </w:tc>
        <w:tc>
          <w:tcPr>
            <w:tcW w:w="2315" w:type="dxa"/>
          </w:tcPr>
          <w:p w14:paraId="0E88B9E2" w14:textId="31F951B8">
            <w:pPr>
              <w:pStyle w:val="P68B1DB1-Normal7"/>
              <w:spacing w:line="240" w:lineRule="auto"/>
            </w:pPr>
            <w:r>
              <w:t xml:space="preserve">Artikel 1.11</w:t>
            </w:r>
          </w:p>
        </w:tc>
        <w:tc>
          <w:tcPr>
            <w:tcW w:w="2315" w:type="dxa"/>
          </w:tcPr>
          <w:p w14:paraId="2E4FCAC6" w14:textId="1930FF48">
            <w:pPr>
              <w:pStyle w:val="P68B1DB1-Normal7"/>
              <w:spacing w:line="240" w:lineRule="auto"/>
            </w:pPr>
            <w:r>
              <w:t xml:space="preserve">Artikel 1.5</w:t>
            </w:r>
          </w:p>
        </w:tc>
      </w:tr>
      <w:tr w14:paraId="0C829266" w14:textId="77777777">
        <w:trPr>
          <w:trHeight w:val="599"/>
        </w:trPr>
        <w:tc>
          <w:tcPr>
            <w:tcW w:w="3119" w:type="dxa"/>
          </w:tcPr>
          <w:p w14:paraId="2E36B6FC" w14:textId="77777777">
            <w:pPr>
              <w:pStyle w:val="P68B1DB1-Normal7"/>
              <w:spacing w:line="240" w:lineRule="auto"/>
            </w:pPr>
            <w:r>
              <w:t>Anmälningsskyldighet</w:t>
            </w:r>
          </w:p>
        </w:tc>
        <w:tc>
          <w:tcPr>
            <w:tcW w:w="2457" w:type="dxa"/>
          </w:tcPr>
          <w:p w14:paraId="04169FF7" w14:textId="77777777">
            <w:pPr>
              <w:pStyle w:val="P68B1DB1-Normal7"/>
              <w:spacing w:line="240" w:lineRule="auto"/>
            </w:pPr>
            <w:r>
              <w:t xml:space="preserve">Artikel 5.1 första meningen</w:t>
            </w:r>
          </w:p>
        </w:tc>
        <w:tc>
          <w:tcPr>
            <w:tcW w:w="2315" w:type="dxa"/>
          </w:tcPr>
          <w:p w14:paraId="730385F8" w14:textId="77777777">
            <w:pPr>
              <w:pStyle w:val="P68B1DB1-Normal7"/>
              <w:spacing w:line="240" w:lineRule="auto"/>
            </w:pPr>
            <w:r>
              <w:t xml:space="preserve">Artikel 8.1 första meningen</w:t>
            </w:r>
          </w:p>
        </w:tc>
        <w:tc>
          <w:tcPr>
            <w:tcW w:w="2315" w:type="dxa"/>
          </w:tcPr>
          <w:p w14:paraId="6937609F" w14:textId="5A2377E0">
            <w:pPr>
              <w:pStyle w:val="P68B1DB1-Normal8"/>
              <w:spacing w:line="240" w:lineRule="auto"/>
            </w:pPr>
            <w:r>
              <w:t xml:space="preserve">Artikel 8.1</w:t>
            </w:r>
          </w:p>
        </w:tc>
      </w:tr>
      <w:tr w14:paraId="4472DE96" w14:textId="77777777">
        <w:trPr>
          <w:trHeight w:val="599"/>
        </w:trPr>
        <w:tc>
          <w:tcPr>
            <w:tcW w:w="3119" w:type="dxa"/>
          </w:tcPr>
          <w:p w14:paraId="08371658" w14:textId="2AE2569B">
            <w:pPr>
              <w:pStyle w:val="P68B1DB1-Normal7"/>
              <w:spacing w:line="240" w:lineRule="auto"/>
            </w:pPr>
            <w:r>
              <w:t xml:space="preserve">Anmälan av grundläggande eller berörda bestämmelser</w:t>
            </w:r>
          </w:p>
        </w:tc>
        <w:tc>
          <w:tcPr>
            <w:tcW w:w="2457" w:type="dxa"/>
          </w:tcPr>
          <w:p w14:paraId="4460E5CA" w14:textId="77777777">
            <w:pPr>
              <w:pStyle w:val="P68B1DB1-Normal7"/>
              <w:spacing w:line="240" w:lineRule="auto"/>
            </w:pPr>
            <w:r>
              <w:t xml:space="preserve">Artikel 5.1 andra meningen</w:t>
            </w:r>
          </w:p>
        </w:tc>
        <w:tc>
          <w:tcPr>
            <w:tcW w:w="2315" w:type="dxa"/>
          </w:tcPr>
          <w:p w14:paraId="545C5C96" w14:textId="77777777">
            <w:pPr>
              <w:pStyle w:val="P68B1DB1-Normal7"/>
              <w:spacing w:line="240" w:lineRule="auto"/>
            </w:pPr>
            <w:r>
              <w:t xml:space="preserve">Artikel 8.1 andra meningen</w:t>
            </w:r>
          </w:p>
        </w:tc>
        <w:tc>
          <w:tcPr>
            <w:tcW w:w="2315" w:type="dxa"/>
          </w:tcPr>
          <w:p w14:paraId="7658B70A" w14:textId="43A43C7F">
            <w:pPr>
              <w:pStyle w:val="P68B1DB1-Normal7"/>
              <w:spacing w:line="240" w:lineRule="auto"/>
              <w:jc w:val="center"/>
              <w:rPr>
                <w:rFonts w:eastAsia="Times New Roman"/>
              </w:rPr>
            </w:pPr>
            <w:r>
              <w:t>___</w:t>
            </w:r>
          </w:p>
        </w:tc>
      </w:tr>
      <w:tr w14:paraId="6E207C21" w14:textId="77777777">
        <w:trPr>
          <w:trHeight w:val="599"/>
        </w:trPr>
        <w:tc>
          <w:tcPr>
            <w:tcW w:w="3119" w:type="dxa"/>
          </w:tcPr>
          <w:p w14:paraId="05D20653" w14:textId="1C493645">
            <w:pPr>
              <w:pStyle w:val="P68B1DB1-Normal7"/>
              <w:spacing w:line="240" w:lineRule="auto"/>
            </w:pPr>
            <w:r>
              <w:t xml:space="preserve">Ny anmälan under frysningsperioden</w:t>
            </w:r>
          </w:p>
        </w:tc>
        <w:tc>
          <w:tcPr>
            <w:tcW w:w="2457" w:type="dxa"/>
          </w:tcPr>
          <w:p w14:paraId="65494BDB" w14:textId="77777777">
            <w:pPr>
              <w:pStyle w:val="P68B1DB1-Normal7"/>
              <w:spacing w:line="240" w:lineRule="auto"/>
            </w:pPr>
            <w:r>
              <w:t xml:space="preserve">Artikel 5.1 tredje meningen</w:t>
            </w:r>
          </w:p>
        </w:tc>
        <w:tc>
          <w:tcPr>
            <w:tcW w:w="2315" w:type="dxa"/>
          </w:tcPr>
          <w:p w14:paraId="47F0091E" w14:textId="77777777">
            <w:pPr>
              <w:pStyle w:val="P68B1DB1-Normal7"/>
              <w:spacing w:line="240" w:lineRule="auto"/>
            </w:pPr>
            <w:r>
              <w:t xml:space="preserve">Artikel 8.1 tredje meningen</w:t>
            </w:r>
          </w:p>
        </w:tc>
        <w:tc>
          <w:tcPr>
            <w:tcW w:w="2315" w:type="dxa"/>
          </w:tcPr>
          <w:p w14:paraId="5E9AA7B4" w14:textId="7B61CCCA">
            <w:pPr>
              <w:pStyle w:val="P68B1DB1-Normal7"/>
              <w:spacing w:line="240" w:lineRule="auto"/>
              <w:jc w:val="center"/>
              <w:rPr>
                <w:rFonts w:eastAsia="Times New Roman"/>
              </w:rPr>
            </w:pPr>
            <w:r>
              <w:t>___</w:t>
            </w:r>
          </w:p>
        </w:tc>
      </w:tr>
      <w:tr w14:paraId="7EEDDE8A" w14:textId="77777777">
        <w:trPr>
          <w:trHeight w:val="599"/>
        </w:trPr>
        <w:tc>
          <w:tcPr>
            <w:tcW w:w="3119" w:type="dxa"/>
          </w:tcPr>
          <w:p w14:paraId="6F46F2B9" w14:textId="77777777">
            <w:pPr>
              <w:pStyle w:val="P68B1DB1-Normal7"/>
              <w:spacing w:line="240" w:lineRule="auto"/>
            </w:pPr>
            <w:r>
              <w:t>Frysningsperiod</w:t>
            </w:r>
          </w:p>
        </w:tc>
        <w:tc>
          <w:tcPr>
            <w:tcW w:w="2457" w:type="dxa"/>
          </w:tcPr>
          <w:p w14:paraId="0FDAA36A" w14:textId="77777777">
            <w:pPr>
              <w:pStyle w:val="P68B1DB1-Normal7"/>
              <w:spacing w:line="240" w:lineRule="auto"/>
            </w:pPr>
            <w:r>
              <w:t xml:space="preserve">Artikel 6</w:t>
            </w:r>
          </w:p>
        </w:tc>
        <w:tc>
          <w:tcPr>
            <w:tcW w:w="2315" w:type="dxa"/>
          </w:tcPr>
          <w:p w14:paraId="51BBC4E4" w14:textId="77777777">
            <w:pPr>
              <w:pStyle w:val="P68B1DB1-Normal7"/>
              <w:spacing w:line="240" w:lineRule="auto"/>
            </w:pPr>
            <w:r>
              <w:t xml:space="preserve">Artikel 9</w:t>
            </w:r>
          </w:p>
        </w:tc>
        <w:tc>
          <w:tcPr>
            <w:tcW w:w="2315" w:type="dxa"/>
          </w:tcPr>
          <w:p w14:paraId="2B7D3F30" w14:textId="77777777">
            <w:pPr>
              <w:pStyle w:val="P68B1DB1-Normal8"/>
              <w:spacing w:line="240" w:lineRule="auto"/>
            </w:pPr>
            <w:r>
              <w:t xml:space="preserve">Artikel 9</w:t>
            </w:r>
          </w:p>
        </w:tc>
      </w:tr>
      <w:tr w14:paraId="31FCCE62" w14:textId="77777777">
        <w:trPr>
          <w:trHeight w:val="599"/>
        </w:trPr>
        <w:tc>
          <w:tcPr>
            <w:tcW w:w="3119" w:type="dxa"/>
          </w:tcPr>
          <w:p w14:paraId="067F46A1" w14:textId="77777777">
            <w:pPr>
              <w:pStyle w:val="P68B1DB1-Normal7"/>
              <w:spacing w:line="240" w:lineRule="auto"/>
            </w:pPr>
            <w:r>
              <w:t xml:space="preserve">Undantag från anmälnings- och genomförandeskyldigheter</w:t>
            </w:r>
          </w:p>
        </w:tc>
        <w:tc>
          <w:tcPr>
            <w:tcW w:w="2457" w:type="dxa"/>
          </w:tcPr>
          <w:p w14:paraId="5BC53094" w14:textId="77777777">
            <w:pPr>
              <w:pStyle w:val="P68B1DB1-Normal7"/>
              <w:spacing w:line="240" w:lineRule="auto"/>
            </w:pPr>
            <w:r>
              <w:t xml:space="preserve">Artikel 7</w:t>
            </w:r>
          </w:p>
        </w:tc>
        <w:tc>
          <w:tcPr>
            <w:tcW w:w="2315" w:type="dxa"/>
          </w:tcPr>
          <w:p w14:paraId="36E59068" w14:textId="77777777">
            <w:pPr>
              <w:pStyle w:val="P68B1DB1-Normal7"/>
              <w:spacing w:line="240" w:lineRule="auto"/>
            </w:pPr>
            <w:r>
              <w:t xml:space="preserve">Artikel 10</w:t>
            </w:r>
          </w:p>
        </w:tc>
        <w:tc>
          <w:tcPr>
            <w:tcW w:w="2315" w:type="dxa"/>
          </w:tcPr>
          <w:p w14:paraId="1FE1BC2D" w14:textId="77777777">
            <w:pPr>
              <w:pStyle w:val="P68B1DB1-Normal8"/>
              <w:spacing w:line="240" w:lineRule="auto"/>
            </w:pPr>
            <w:r>
              <w:t xml:space="preserve">Artikel 10</w:t>
            </w:r>
          </w:p>
        </w:tc>
      </w:tr>
    </w:tbl>
    <w:p w14:paraId="4A865CBE" w14:textId="77777777">
      <w:pPr>
        <w:spacing w:after="0" w:line="240" w:lineRule="auto"/>
      </w:pPr>
    </w:p>
    <w:p w14:paraId="08C84FAC" w14:textId="77777777">
      <w:pPr>
        <w:spacing w:line="278" w:lineRule="auto"/>
      </w:pPr>
      <w:r>
        <w:br w:type="page"/>
      </w:r>
    </w:p>
    <w:p w14:paraId="0059B666" w14:textId="32BA8B95">
      <w:pPr>
        <w:jc w:val="both"/>
        <w:rPr>
          <w:rFonts w:ascii="Times New Roman" w:hAnsi="Times New Roman" w:cs="Times New Roman"/>
          <w:b/>
          <w:bCs/>
          <w:sz w:val="24"/>
          <w:szCs w:val="24"/>
          <w:u w:val="single"/>
        </w:rPr>
        <w:pStyle w:val="P68B1DB1-Normal5"/>
      </w:pPr>
      <w:r>
        <w:t>Ansvarsfriskrivning</w:t>
      </w:r>
    </w:p>
    <w:p w14:paraId="0CB71D4E" w14:textId="7BF1CD8D">
      <w:pPr>
        <w:jc w:val="both"/>
        <w:rPr>
          <w:rFonts w:ascii="Times New Roman" w:hAnsi="Times New Roman" w:cs="Times New Roman"/>
          <w:sz w:val="24"/>
          <w:szCs w:val="24"/>
        </w:rPr>
        <w:pStyle w:val="P68B1DB1-Normal7"/>
      </w:pPr>
      <w:r>
        <w:t xml:space="preserve">Informationen och vägledningen i detta dokument är avsedda att bidra till en bättre förståelse av anmälningsreglerna i direktiv (EU) 2015/1535.</w:t>
      </w:r>
    </w:p>
    <w:p w14:paraId="67EC004B" w14:textId="434F8650">
      <w:pPr>
        <w:jc w:val="both"/>
        <w:rPr>
          <w:rFonts w:ascii="Times New Roman" w:hAnsi="Times New Roman" w:cs="Times New Roman"/>
          <w:sz w:val="24"/>
          <w:szCs w:val="24"/>
        </w:rPr>
        <w:pStyle w:val="P68B1DB1-Normal7"/>
      </w:pPr>
      <w:r>
        <w:t xml:space="preserve">Detta är endast avsett som ett vägledande verktyg. Endast texten i direktivet har rättslig verkan och kan ge upphov till rättigheter och skyldigheter för enskilda och medlemsstater. Detta dokument ger inte upphov till några verkställbara rättigheter eller förväntningar.</w:t>
      </w:r>
    </w:p>
    <w:p w14:paraId="63D425FC" w14:textId="2836B58B">
      <w:pPr>
        <w:jc w:val="both"/>
        <w:rPr>
          <w:rFonts w:ascii="Times New Roman" w:hAnsi="Times New Roman" w:cs="Times New Roman"/>
          <w:sz w:val="24"/>
          <w:szCs w:val="24"/>
        </w:rPr>
        <w:pStyle w:val="P68B1DB1-Normal7"/>
      </w:pPr>
      <w:r>
        <w:t xml:space="preserve">Det är Europeiska unionens domstol som har exklusiv behörighet att tolka EU-lagstiftningen. De synpunkter som framförs i detta dokument påverkar inte den ståndpunkt som kommissionen kan komma att inta vid domstolen.</w:t>
      </w:r>
    </w:p>
    <w:p w14:paraId="5CC222EA" w14:textId="4A13BEE2">
      <w:pPr>
        <w:jc w:val="both"/>
        <w:rPr>
          <w:rFonts w:ascii="Times New Roman" w:hAnsi="Times New Roman" w:cs="Times New Roman"/>
          <w:sz w:val="24"/>
          <w:szCs w:val="24"/>
        </w:rPr>
        <w:pStyle w:val="P68B1DB1-Normal7"/>
      </w:pPr>
      <w:r>
        <w:t xml:space="preserve">Eftersom detta dokument återspeglar rättsläget när det utarbetades bör det betraktas som ett ”levande verktyg” som kan förbättras och dess innehåll kan komma att ändras utan förvarning.</w:t>
      </w:r>
    </w:p>
    <w:p w14:paraId="00285176" w14:textId="09C940D1">
      <w:pPr>
        <w:spacing w:after="0" w:line="240" w:lineRule="auto"/>
      </w:pPr>
      <w:r>
        <w:br w:type="page"/>
      </w:r>
    </w:p>
    <w:p w14:paraId="16528720" w14:textId="3D5EAE69">
      <w:pPr>
        <w:pStyle w:val="P68B1DB1-Heading13"/>
        <w:numPr>
          <w:ilvl w:val="0"/>
          <w:numId w:val="34"/>
        </w:numPr>
        <w:spacing w:before="0" w:after="0"/>
        <w:jc w:val="center"/>
        <w:rPr>
          <w:color w:val="auto"/>
        </w:rPr>
      </w:pPr>
      <w:bookmarkStart w:id="1" w:name="_Ref194485731"/>
      <w:bookmarkStart w:id="2" w:name="_Toc198043782"/>
      <w:bookmarkStart w:id="3" w:name="_Toc198044080"/>
      <w:bookmarkStart w:id="4" w:name="_Toc203035665"/>
      <w:bookmarkStart w:id="5" w:name="_Ref194484508"/>
      <w:bookmarkEnd w:id="0"/>
      <w:r>
        <w:t xml:space="preserve">Klassificering som teknisk föreskrift</w:t>
      </w:r>
      <w:bookmarkEnd w:id="1"/>
      <w:bookmarkEnd w:id="2"/>
      <w:bookmarkEnd w:id="3"/>
      <w:bookmarkEnd w:id="4"/>
    </w:p>
    <w:p w14:paraId="771697CF" w14:textId="77777777">
      <w:pPr>
        <w:pStyle w:val="BodyText"/>
        <w:jc w:val="left"/>
      </w:pPr>
    </w:p>
    <w:p w14:paraId="0A4D39B5" w14:textId="5B89CEFC">
      <w:pPr>
        <w:pStyle w:val="P68B1DB1-Normal12"/>
        <w:spacing w:after="0" w:line="240" w:lineRule="auto"/>
        <w:ind w:left="567"/>
        <w:jc w:val="both"/>
        <w:rPr>
          <w:iCs/>
        </w:rPr>
      </w:pPr>
      <w:r>
        <w:t xml:space="preserve">”[...] begreppet teknisk föreskrift omfattar fyra kategorier av åtgärder, nämligen i) ’tekniska specifikationer’ i den mening som avses i artikel 1.3 i direktiv 98/34, ii) ’andra krav’ enligt definitionen i artikel 1.4 i direktivet, iii) ’föreskrifter för tjänster’ i den mening som avses i artikel 1.5 i direktivet och iv) ’medlemsstaternas lagar och andra författningar som förbjuder tillverkning, import, saluföring eller användning av en produkt eller som förbjuder tillhandahållande eller användning av en tjänst eller etablering som tjänsteleverantör’.”</w:t>
      </w:r>
    </w:p>
    <w:p w14:paraId="4FAB98F0" w14:textId="77777777">
      <w:pPr>
        <w:spacing w:after="0" w:line="240" w:lineRule="auto"/>
        <w:ind w:left="567"/>
        <w:jc w:val="both"/>
        <w:rPr>
          <w:rFonts w:ascii="Times New Roman" w:hAnsi="Times New Roman" w:cs="Times New Roman"/>
          <w:i/>
          <w:iCs/>
          <w:sz w:val="24"/>
          <w:szCs w:val="24"/>
        </w:rPr>
      </w:pPr>
    </w:p>
    <w:p w14:paraId="52EA0CC8" w14:textId="61714FD0">
      <w:pPr>
        <w:pStyle w:val="P68B1DB1-Normal7"/>
        <w:spacing w:after="0" w:line="240" w:lineRule="auto"/>
        <w:ind w:left="567"/>
        <w:jc w:val="right"/>
      </w:pPr>
      <w:r>
        <w:t>(</w:t>
      </w:r>
      <w:hyperlink r:id="rId11" w:history="1">
        <w:r>
          <w:rPr>
            <w:rStyle w:val="Hyperlink"/>
            <w:color w:val="0000FF"/>
          </w:rPr>
          <w:t xml:space="preserve">Dom av den 2 februari 2016</w:t>
        </w:r>
      </w:hyperlink>
      <w:r>
        <w:t xml:space="preserve"> i mål C-336/14, </w:t>
      </w:r>
      <w:r>
        <w:rPr>
          <w:i/>
        </w:rPr>
        <w:t>Ince</w:t>
      </w:r>
      <w:r>
        <w:t xml:space="preserve">, punkt 70)</w:t>
      </w:r>
    </w:p>
    <w:p w14:paraId="39D1F0E4" w14:textId="77777777">
      <w:pPr>
        <w:pStyle w:val="BodyText"/>
        <w:jc w:val="left"/>
      </w:pPr>
    </w:p>
    <w:p w14:paraId="38CAE174" w14:textId="44091B45">
      <w:pPr>
        <w:pStyle w:val="P68B1DB1-Heading24"/>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t xml:space="preserve">Gemensamma kriterier för tekniska </w:t>
      </w:r>
      <w:bookmarkEnd w:id="6"/>
      <w:r>
        <w:t>föreskrifter</w:t>
      </w:r>
      <w:bookmarkEnd w:id="7"/>
      <w:bookmarkEnd w:id="8"/>
      <w:bookmarkEnd w:id="9"/>
      <w:bookmarkEnd w:id="10"/>
    </w:p>
    <w:p w14:paraId="5A37DF5A" w14:textId="77777777">
      <w:pPr>
        <w:pStyle w:val="BodyText"/>
      </w:pPr>
    </w:p>
    <w:p w14:paraId="2C807316" w14:textId="77777777">
      <w:pPr>
        <w:pStyle w:val="P68B1DB1-BodyText11"/>
        <w:ind w:left="567"/>
        <w:rPr>
          <w:iCs/>
        </w:rPr>
      </w:pPr>
      <w:r>
        <w:t xml:space="preserve">”Teknisk föreskrift: tekniska specifikationer och andra krav eller föreskrifter för tjänster, inbegripet tillämpliga administrativa bestämmelser, som är rättsligt eller faktiskt tvingande vid saluföring, tillhandahållande av en tjänst, etablering av en tjänsteleverantör eller användning i en medlemsstat eller en större del därav, samt medlemsstaternas lagar och andra författningar, med undantag av dem som anges i artikel 7, som förbjuder tillverkning, import, saluföring eller användning av en produkt eller som förbjuder tillhandahållande eller användning av en tjänst eller etablering som tillhandahållare av tjänster.”</w:t>
      </w:r>
    </w:p>
    <w:p w14:paraId="56CBE257" w14:textId="77777777">
      <w:pPr>
        <w:pStyle w:val="BodyText"/>
      </w:pPr>
    </w:p>
    <w:p w14:paraId="66B70B28" w14:textId="1278CE54">
      <w:pPr>
        <w:pStyle w:val="P68B1DB1-Normal7"/>
        <w:spacing w:after="0" w:line="240" w:lineRule="auto"/>
        <w:jc w:val="right"/>
      </w:pPr>
      <w:r>
        <w:t xml:space="preserve">(artikel 1.1 f första meningen i direktiv (EU) 2015/1535)</w:t>
      </w:r>
    </w:p>
    <w:p w14:paraId="4D7A236C" w14:textId="77777777">
      <w:pPr>
        <w:spacing w:after="0" w:line="240" w:lineRule="auto"/>
        <w:rPr>
          <w:sz w:val="24"/>
          <w:szCs w:val="24"/>
        </w:rPr>
      </w:pPr>
    </w:p>
    <w:p w14:paraId="61ADC4B8" w14:textId="2F4C951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2" w:history="1">
        <w:r>
          <w:rPr>
            <w:rStyle w:val="Hyperlink"/>
            <w:rFonts w:ascii="Times New Roman" w:hAnsi="Times New Roman" w:cs="Times New Roman" w:eastAsia="Times New Roman"/>
            <w:b/>
            <w:i/>
            <w:color w:val="0000FF"/>
            <w:szCs w:val="20"/>
          </w:rPr>
          <w:t xml:space="preserve">Domstolens dom av den 30 april 1996</w:t>
        </w:r>
      </w:hyperlink>
      <w:r>
        <w:rPr>
          <w:rFonts w:ascii="Times New Roman" w:hAnsi="Times New Roman" w:cs="Times New Roman" w:eastAsia="Times New Roman"/>
          <w:b/>
          <w:i/>
          <w:szCs w:val="20"/>
        </w:rPr>
        <w:t xml:space="preserve"> i mål C-194/94, CIA Security International SA, punkt 29.</w:t>
      </w:r>
      <w:bookmarkEnd w:id="11"/>
    </w:p>
    <w:p w14:paraId="6260A28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490804" w14:textId="77777777">
      <w:pPr>
        <w:pStyle w:val="P68B1DB1-P68B1DB1-Normal135"/>
        <w:widowControl w:val="0"/>
        <w:tabs>
          <w:tab w:val="left" w:pos="393"/>
        </w:tabs>
        <w:autoSpaceDE w:val="0"/>
        <w:autoSpaceDN w:val="0"/>
        <w:spacing w:after="0" w:line="240" w:lineRule="auto"/>
        <w:jc w:val="both"/>
        <w:rPr>
          <w:b w:val="0"/>
          <w:bCs/>
          <w:i w:val="0"/>
          <w:iCs/>
        </w:rPr>
      </w:pPr>
      <w:r>
        <w:t xml:space="preserve">En regel kan endast klassificeras som en ”teknisk föreskrift” om den har egen rättsverkan. Så är inte fallet med en ramlag som saknar rättslig verkan för enskilda.</w:t>
      </w:r>
    </w:p>
    <w:p w14:paraId="7CC5408A" w14:textId="77777777">
      <w:pPr>
        <w:widowControl w:val="0"/>
        <w:tabs>
          <w:tab w:val="left" w:pos="393"/>
        </w:tabs>
        <w:autoSpaceDE w:val="0"/>
        <w:autoSpaceDN w:val="0"/>
        <w:spacing w:after="0" w:line="240" w:lineRule="auto"/>
        <w:jc w:val="both"/>
        <w:rPr>
          <w:rFonts w:ascii="Times New Roman" w:hAnsi="Times New Roman" w:cs="Times New Roman" w:eastAsia="Times New Roman"/>
          <w:sz w:val="20"/>
          <w:szCs w:val="20"/>
        </w:rPr>
      </w:pPr>
    </w:p>
    <w:p w14:paraId="3649EC17" w14:textId="62FD7542">
      <w:pPr>
        <w:pStyle w:val="P68B1DB1-P68B1DB1-Normal146"/>
        <w:widowControl w:val="0"/>
        <w:tabs>
          <w:tab w:val="left" w:pos="393"/>
        </w:tabs>
        <w:autoSpaceDE w:val="0"/>
        <w:autoSpaceDN w:val="0"/>
        <w:spacing w:after="0" w:line="240" w:lineRule="auto"/>
        <w:ind w:left="567"/>
        <w:jc w:val="both"/>
        <w:rPr>
          <w:i/>
          <w:iCs/>
          <w:sz w:val="20"/>
        </w:rPr>
      </w:pPr>
      <w:r>
        <w:t xml:space="preserve">”29. I detta avseende är det viktigt att konstatera att en föreskrift kvalificeras som en teknisk föreskrift i den mening som avses i direktiv 83/189 när den i sig har rättsverkningar. Om regeln enligt nationell rätt endast tjänar som grund för att anta administrativa föreskrifter som innehåller bestämmelser som är bindande för berörda parter, vilket innebär att den i sig saknar rättsverkan för enskilda, utgör den inte en teknisk föreskrift i den mening som avses i direktivet (se dom av den 1994 juni 1 i mål C-317/92, kommissionen mot Tyskland, REG 2039, s. 26 –, punkt). Det ska i detta sammanhang erinras om att enligt artikel 8.1 första stycket i direktiv 83/189 ska medlemsstaterna, samtidigt med förslaget till teknisk föreskrift, överlämna det bemyndigande som ligger till grund för dess antagande, om kännedom om denna text är nödvändig för att bedöma konsekvenserna av förslaget till teknisk föreskrift. ”</w:t>
      </w:r>
    </w:p>
    <w:p w14:paraId="4CF2EEDE" w14:textId="77777777">
      <w:pPr>
        <w:spacing w:after="0" w:line="240" w:lineRule="auto"/>
      </w:pPr>
    </w:p>
    <w:p w14:paraId="1EC2A38D" w14:textId="4709776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3" w:history="1">
        <w:r>
          <w:rPr>
            <w:rStyle w:val="Hyperlink"/>
            <w:rFonts w:ascii="Times New Roman" w:hAnsi="Times New Roman" w:cs="Times New Roman" w:eastAsia="Times New Roman"/>
            <w:b/>
            <w:i/>
            <w:color w:val="0000FF"/>
            <w:szCs w:val="20"/>
          </w:rPr>
          <w:t xml:space="preserve">Domstolens dom av den 20 mars 1997</w:t>
        </w:r>
      </w:hyperlink>
      <w:r>
        <w:rPr>
          <w:rFonts w:ascii="Times New Roman" w:hAnsi="Times New Roman" w:cs="Times New Roman" w:eastAsia="Times New Roman"/>
          <w:b/>
          <w:i/>
          <w:szCs w:val="20"/>
        </w:rPr>
        <w:t xml:space="preserve"> i mål C-13/96, Bic Benelux, punkterna 19 och 20.</w:t>
      </w:r>
      <w:bookmarkEnd w:id="12"/>
    </w:p>
    <w:p w14:paraId="2C091717"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73C7900A" w14:textId="3F5D68F7">
      <w:pPr>
        <w:pStyle w:val="P68B1DB1-P68B1DB1-Normal135"/>
        <w:widowControl w:val="0"/>
        <w:tabs>
          <w:tab w:val="left" w:pos="396"/>
          <w:tab w:val="left" w:pos="400"/>
        </w:tabs>
        <w:autoSpaceDE w:val="0"/>
        <w:autoSpaceDN w:val="0"/>
        <w:spacing w:after="0" w:line="240" w:lineRule="auto"/>
        <w:jc w:val="both"/>
        <w:rPr>
          <w:b w:val="0"/>
          <w:bCs/>
          <w:i w:val="0"/>
          <w:iCs/>
        </w:rPr>
      </w:pPr>
      <w:r>
        <w:t xml:space="preserve">Skälen för att anta en nationell åtgärd saknar betydelse för kvalificeringen av denna åtgärd som en ”teknisk föreskrift”. Syftet med direktivet är att genom förebyggande kontroll skydda den fria rörligheten för varor, som är en av gemenskapens grundvalar.</w:t>
      </w:r>
    </w:p>
    <w:p w14:paraId="49EDC2CC" w14:textId="77777777">
      <w:pPr>
        <w:widowControl w:val="0"/>
        <w:autoSpaceDE w:val="0"/>
        <w:autoSpaceDN w:val="0"/>
        <w:spacing w:after="0" w:line="240" w:lineRule="auto"/>
        <w:jc w:val="both"/>
        <w:rPr>
          <w:rFonts w:ascii="Times New Roman" w:hAnsi="Times New Roman" w:cs="Times New Roman" w:eastAsia="Times New Roman"/>
          <w:szCs w:val="20"/>
        </w:rPr>
      </w:pPr>
    </w:p>
    <w:p w14:paraId="4156ECFE" w14:textId="7DEAF419">
      <w:pPr>
        <w:pStyle w:val="P68B1DB1-P68B1DB1-Normal146"/>
        <w:widowControl w:val="0"/>
        <w:autoSpaceDE w:val="0"/>
        <w:autoSpaceDN w:val="0"/>
        <w:spacing w:after="0" w:line="240" w:lineRule="auto"/>
        <w:ind w:left="510"/>
        <w:jc w:val="both"/>
        <w:rPr>
          <w:i/>
          <w:iCs/>
          <w:sz w:val="20"/>
        </w:rPr>
      </w:pPr>
      <w:r>
        <w:t xml:space="preserve">”19. [...] Det finns ingen grund i direktiv 83/189 för en tolkning som begränsar dess tillämpning till nationella åtgärder som kan harmoniseras endast på grundval av artikel 100a i fördraget. Syftet med detta direktiv är nämligen att genom en förebyggande kontroll skydda den fria rörligheten för varor, som utgör en av gemenskapens grundvalar. Denna kontroll är nödvändig i den utsträckning som tekniska föreskrifter, som omfattas av direktivet direkt eller indirekt, faktiskt eller potentiellt kan hindra varuutbytet inom gemenskapen. Sådana hinder kan följa av att nationella tekniska föreskrifter antas, även om dessa inte krävs utöver märkning som har anbringats i ursprungsmedlemsstaten och oberoende av de skäl som har berättigat att föreskrifterna har antagits. </w:t>
      </w:r>
    </w:p>
    <w:p w14:paraId="3ECEA0CB" w14:textId="77777777">
      <w:pPr>
        <w:pStyle w:val="P68B1DB1-Normal14"/>
        <w:widowControl w:val="0"/>
        <w:autoSpaceDE w:val="0"/>
        <w:autoSpaceDN w:val="0"/>
        <w:spacing w:after="0" w:line="240" w:lineRule="auto"/>
        <w:ind w:left="510"/>
        <w:jc w:val="both"/>
        <w:rPr>
          <w:i/>
          <w:iCs/>
          <w:sz w:val="20"/>
        </w:rPr>
      </w:pPr>
    </w:p>
    <w:p w14:paraId="17FB6164" w14:textId="39A34C5B">
      <w:pPr>
        <w:pStyle w:val="P68B1DB1-P68B1DB1-Normal146"/>
        <w:widowControl w:val="0"/>
        <w:autoSpaceDE w:val="0"/>
        <w:autoSpaceDN w:val="0"/>
        <w:spacing w:after="0" w:line="240" w:lineRule="auto"/>
        <w:ind w:left="510"/>
        <w:jc w:val="both"/>
        <w:rPr>
          <w:i/>
          <w:iCs/>
          <w:sz w:val="20"/>
        </w:rPr>
      </w:pPr>
      <w:r>
        <w:t xml:space="preserve">20. Den omständigheten att en nationell åtgärd har vidtagits för att skydda miljön eller att den inte genomför en teknisk standard som i sig kan utgöra ett hinder för den fria rörligheten innebär följaktligen inte att åtgärden i fråga inte kan utgöra en teknisk föreskrift i den mening som avses i direktiv 83/189. ”</w:t>
      </w:r>
    </w:p>
    <w:p w14:paraId="21D40469" w14:textId="77777777">
      <w:pPr>
        <w:spacing w:after="0" w:line="240" w:lineRule="auto"/>
      </w:pPr>
    </w:p>
    <w:p w14:paraId="5DB9E3C5" w14:textId="38D65933">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4" w:history="1">
        <w:r>
          <w:rPr>
            <w:rStyle w:val="Hyperlink"/>
            <w:rFonts w:ascii="Times New Roman" w:hAnsi="Times New Roman" w:cs="Times New Roman" w:eastAsia="Times New Roman"/>
            <w:b/>
            <w:i/>
            <w:color w:val="0000FF"/>
            <w:szCs w:val="20"/>
          </w:rPr>
          <w:t xml:space="preserve">Domstolens dom av den 16 november 2000</w:t>
        </w:r>
      </w:hyperlink>
      <w:r>
        <w:rPr>
          <w:rFonts w:ascii="Times New Roman" w:hAnsi="Times New Roman" w:cs="Times New Roman" w:eastAsia="Times New Roman"/>
          <w:b/>
          <w:i/>
          <w:szCs w:val="20"/>
        </w:rPr>
        <w:t xml:space="preserve"> i mål C-37/99, Donkersteeg, punkterna 30–34.</w:t>
      </w:r>
      <w:bookmarkEnd w:id="13"/>
    </w:p>
    <w:p w14:paraId="3F63DC2D" w14:textId="77777777">
      <w:pPr>
        <w:widowControl w:val="0"/>
        <w:autoSpaceDE w:val="0"/>
        <w:autoSpaceDN w:val="0"/>
        <w:spacing w:after="0" w:line="240" w:lineRule="auto"/>
        <w:jc w:val="both"/>
        <w:rPr>
          <w:rFonts w:ascii="Times New Roman" w:hAnsi="Times New Roman" w:cs="Times New Roman" w:eastAsia="Times New Roman"/>
          <w:szCs w:val="20"/>
        </w:rPr>
      </w:pPr>
    </w:p>
    <w:p w14:paraId="75027B7E" w14:textId="22C0CBFC">
      <w:pPr>
        <w:pStyle w:val="P68B1DB1-P68B1DB1-Normal135"/>
        <w:widowControl w:val="0"/>
        <w:autoSpaceDE w:val="0"/>
        <w:autoSpaceDN w:val="0"/>
        <w:spacing w:after="0" w:line="240" w:lineRule="auto"/>
        <w:jc w:val="both"/>
        <w:rPr>
          <w:b w:val="0"/>
          <w:bCs/>
          <w:i w:val="0"/>
          <w:iCs/>
        </w:rPr>
      </w:pPr>
      <w:r>
        <w:t xml:space="preserve">Detaljerade bestämmelser om vaccinering av djur är en ”teknisk specifikation”. Den kommer dock endast att vara en ”teknisk föreskrift” som måste anmälas om det är rättsligt eller faktiskt obligatoriskt att följa den. Så är inte fallet när det vid åsidosättande av regeln inte föreskrivs några begränsningar för saluföringen eller användningen av de berörda produkterna.</w:t>
      </w:r>
    </w:p>
    <w:p w14:paraId="7B48861C" w14:textId="77777777">
      <w:pPr>
        <w:widowControl w:val="0"/>
        <w:autoSpaceDE w:val="0"/>
        <w:autoSpaceDN w:val="0"/>
        <w:spacing w:after="0" w:line="240" w:lineRule="auto"/>
        <w:jc w:val="both"/>
        <w:rPr>
          <w:rFonts w:ascii="Times New Roman" w:hAnsi="Times New Roman" w:cs="Times New Roman" w:eastAsia="Times New Roman"/>
          <w:szCs w:val="20"/>
        </w:rPr>
      </w:pPr>
    </w:p>
    <w:p w14:paraId="284DCB65" w14:textId="72CEBC4F">
      <w:pPr>
        <w:pStyle w:val="P68B1DB1-P68B1DB1-Normal146"/>
        <w:widowControl w:val="0"/>
        <w:autoSpaceDE w:val="0"/>
        <w:autoSpaceDN w:val="0"/>
        <w:spacing w:after="0"/>
        <w:ind w:left="567"/>
        <w:jc w:val="both"/>
        <w:rPr>
          <w:i/>
          <w:iCs/>
          <w:sz w:val="20"/>
        </w:rPr>
      </w:pPr>
      <w:r>
        <w:t xml:space="preserve">”30. [...] i enlighet med artikel 1.1 i direktivet avses med ”teknisk specifikation” en ”teknisk specifikation” som ingår i ett dokument som anger de egenskaper som krävs av en produkt eller dess framställningsmetoder och -förfaranden.</w:t>
      </w:r>
    </w:p>
    <w:p w14:paraId="4B80B8D5" w14:textId="77777777">
      <w:pPr>
        <w:pStyle w:val="P68B1DB1-Normal14"/>
        <w:widowControl w:val="0"/>
        <w:autoSpaceDE w:val="0"/>
        <w:autoSpaceDN w:val="0"/>
        <w:spacing w:after="0"/>
        <w:ind w:left="567"/>
        <w:jc w:val="both"/>
        <w:rPr>
          <w:i/>
          <w:iCs/>
          <w:sz w:val="20"/>
        </w:rPr>
      </w:pPr>
    </w:p>
    <w:p w14:paraId="243FA6BC" w14:textId="77777777">
      <w:pPr>
        <w:pStyle w:val="P68B1DB1-P68B1DB1-Normal146"/>
        <w:widowControl w:val="0"/>
        <w:autoSpaceDE w:val="0"/>
        <w:autoSpaceDN w:val="0"/>
        <w:spacing w:after="0"/>
        <w:ind w:left="567"/>
        <w:jc w:val="both"/>
        <w:rPr>
          <w:i/>
          <w:iCs/>
          <w:sz w:val="20"/>
        </w:rPr>
      </w:pPr>
      <w:r>
        <w:t xml:space="preserve">31. En sådan bestämmelse som den i artikel 2.1 VBZA utgör en teknisk specifikation i den mening som avses i artikel 1.1 i direktivet. Eftersom de exakta och detaljerade reglerna för vaccinering mot Aujeszkys sjukdom är kopplade till produktionen av den berörda jordbruksprodukten i egentlig mening och ska iakttas under hela produktionscykeln, definierar denna regel således, såsom kommissionen med rätta har gjort gällande, ett ”förfarande” vid tillverkningen av denna produkt.</w:t>
      </w:r>
    </w:p>
    <w:p w14:paraId="38EC4E98" w14:textId="77777777">
      <w:pPr>
        <w:pStyle w:val="P68B1DB1-Normal14"/>
        <w:widowControl w:val="0"/>
        <w:autoSpaceDE w:val="0"/>
        <w:autoSpaceDN w:val="0"/>
        <w:spacing w:after="0"/>
        <w:ind w:left="567"/>
        <w:jc w:val="both"/>
        <w:rPr>
          <w:i/>
          <w:iCs/>
          <w:sz w:val="20"/>
        </w:rPr>
      </w:pPr>
    </w:p>
    <w:p w14:paraId="5C8FDDF5" w14:textId="77777777">
      <w:pPr>
        <w:pStyle w:val="P68B1DB1-P68B1DB1-Normal146"/>
        <w:widowControl w:val="0"/>
        <w:autoSpaceDE w:val="0"/>
        <w:autoSpaceDN w:val="0"/>
        <w:spacing w:after="0"/>
        <w:ind w:left="567"/>
        <w:jc w:val="both"/>
        <w:rPr>
          <w:i/>
          <w:iCs/>
          <w:sz w:val="20"/>
        </w:rPr>
      </w:pPr>
      <w:r>
        <w:t xml:space="preserve">32. För att kunna kvalificeras som en teknisk föreskrift i den mening som avses i direktivet måste den bestämmelse som är i fråga i målet vid den nationella domstolen emellertid, enligt artikel 1.5 i direktivet, innehålla tekniska specifikationer ”som rättsligt eller faktiskt är tvingande vid saluföring eller användning i en medlemsstat eller en större del därav, med undantag för sådana som fastställts av lokala myndigheter.</w:t>
      </w:r>
    </w:p>
    <w:p w14:paraId="1642D773" w14:textId="77777777">
      <w:pPr>
        <w:pStyle w:val="P68B1DB1-Normal14"/>
        <w:widowControl w:val="0"/>
        <w:autoSpaceDE w:val="0"/>
        <w:autoSpaceDN w:val="0"/>
        <w:spacing w:after="0"/>
        <w:ind w:left="567"/>
        <w:jc w:val="both"/>
        <w:rPr>
          <w:i/>
          <w:iCs/>
          <w:sz w:val="20"/>
        </w:rPr>
      </w:pPr>
    </w:p>
    <w:p w14:paraId="1D500948" w14:textId="77777777">
      <w:pPr>
        <w:pStyle w:val="P68B1DB1-P68B1DB1-Normal146"/>
        <w:widowControl w:val="0"/>
        <w:autoSpaceDE w:val="0"/>
        <w:autoSpaceDN w:val="0"/>
        <w:spacing w:after="0"/>
        <w:ind w:left="567"/>
        <w:jc w:val="both"/>
        <w:rPr>
          <w:i/>
          <w:iCs/>
          <w:sz w:val="20"/>
        </w:rPr>
      </w:pPr>
      <w:r>
        <w:t xml:space="preserve">33. Det ska i det avseendet konstateras, såsom den nederländska regeringen har gjort, att regeln i artikel 2.1 i Aujeszkyförordningen inte innebär restriktioner för vare sig marknadsföringen eller användningen av produkterna i fråga för det fall svinen i strid med denna regel inte har vaccinerats mot Aujeszkys sjukdom.</w:t>
      </w:r>
    </w:p>
    <w:p w14:paraId="2280D2F8" w14:textId="77777777">
      <w:pPr>
        <w:pStyle w:val="P68B1DB1-Normal14"/>
        <w:widowControl w:val="0"/>
        <w:autoSpaceDE w:val="0"/>
        <w:autoSpaceDN w:val="0"/>
        <w:spacing w:after="0"/>
        <w:ind w:left="567"/>
        <w:jc w:val="both"/>
        <w:rPr>
          <w:i/>
          <w:iCs/>
          <w:sz w:val="20"/>
        </w:rPr>
      </w:pPr>
    </w:p>
    <w:p w14:paraId="432A3655" w14:textId="77777777">
      <w:pPr>
        <w:pStyle w:val="P68B1DB1-P68B1DB1-Normal146"/>
        <w:widowControl w:val="0"/>
        <w:autoSpaceDE w:val="0"/>
        <w:autoSpaceDN w:val="0"/>
        <w:spacing w:after="0"/>
        <w:ind w:left="567"/>
        <w:jc w:val="both"/>
        <w:rPr>
          <w:i/>
          <w:iCs/>
          <w:sz w:val="20"/>
        </w:rPr>
      </w:pPr>
      <w:r>
        <w:t xml:space="preserve">34. Den andra frågan ska således besvaras så, att en sådan bestämmelse som den som är i fråga i målet vid den nationella domstolen, enligt vilken varje jordbrukare är skyldig att vaccinera svinen på sin anläggning mot Aujeszkys sjukdom, inte utgör en teknisk föreskrift som borde ha anmälts till kommissionen innan den antogs. ”</w:t>
      </w:r>
    </w:p>
    <w:p w14:paraId="4573243C" w14:textId="77777777">
      <w:pPr>
        <w:spacing w:after="0" w:line="240" w:lineRule="auto"/>
      </w:pPr>
    </w:p>
    <w:p w14:paraId="6D41E4F7" w14:textId="2DFA6AAE">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5" w:history="1">
        <w:r>
          <w:rPr>
            <w:rStyle w:val="Hyperlink"/>
            <w:rFonts w:ascii="Times New Roman" w:hAnsi="Times New Roman" w:cs="Times New Roman" w:eastAsia="Times New Roman"/>
            <w:b/>
            <w:i/>
            <w:color w:val="0000FF"/>
            <w:szCs w:val="20"/>
          </w:rPr>
          <w:t xml:space="preserve">Dom av den 3 december 2020</w:t>
        </w:r>
      </w:hyperlink>
      <w:r>
        <w:rPr>
          <w:rFonts w:ascii="Times New Roman" w:hAnsi="Times New Roman" w:cs="Times New Roman" w:eastAsia="Times New Roman"/>
          <w:b/>
          <w:i/>
          <w:szCs w:val="20"/>
        </w:rPr>
        <w:t xml:space="preserve"> i mål C-62/19, Star Taxi App, punkterna 60 och 61.</w:t>
      </w:r>
      <w:bookmarkEnd w:id="14"/>
    </w:p>
    <w:p w14:paraId="13F9C96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B016A8" w14:textId="595E56D7">
      <w:pPr>
        <w:pStyle w:val="P68B1DB1-P68B1DB1-Normal135"/>
        <w:widowControl w:val="0"/>
        <w:autoSpaceDE w:val="0"/>
        <w:autoSpaceDN w:val="0"/>
        <w:spacing w:after="0" w:line="240" w:lineRule="auto"/>
        <w:jc w:val="both"/>
        <w:rPr>
          <w:b w:val="0"/>
          <w:bCs/>
          <w:i w:val="0"/>
          <w:iCs/>
        </w:rPr>
      </w:pPr>
      <w:r>
        <w:t xml:space="preserve">För att en nationell åtgärd ska klassificeras som en ”teknisk föreskrift” måste den rättsligt eller faktiskt vara bindande för tillhandahållandet eller användningen av den berörda tjänsten i en medlemsstat eller en större del därav.</w:t>
      </w:r>
    </w:p>
    <w:p w14:paraId="2E622B9C" w14:textId="77777777">
      <w:pPr>
        <w:widowControl w:val="0"/>
        <w:autoSpaceDE w:val="0"/>
        <w:autoSpaceDN w:val="0"/>
        <w:spacing w:after="0" w:line="240" w:lineRule="auto"/>
        <w:jc w:val="both"/>
        <w:rPr>
          <w:rFonts w:ascii="Times New Roman" w:hAnsi="Times New Roman" w:cs="Times New Roman" w:eastAsia="Times New Roman"/>
          <w:szCs w:val="20"/>
        </w:rPr>
      </w:pPr>
    </w:p>
    <w:p w14:paraId="072FCDD3" w14:textId="5A28BFDE">
      <w:pPr>
        <w:pStyle w:val="P68B1DB1-Normal15"/>
        <w:widowControl w:val="0"/>
        <w:autoSpaceDE w:val="0"/>
        <w:autoSpaceDN w:val="0"/>
        <w:spacing w:after="0" w:line="240" w:lineRule="auto"/>
        <w:ind w:left="567"/>
        <w:jc w:val="both"/>
        <w:rPr>
          <w:i w:val="0"/>
          <w:iCs/>
        </w:rPr>
      </w:pPr>
      <w:r>
        <w:t xml:space="preserve">”60. [...] det framgår av artikel 1.1 f första stycket i direktiv 2015/1535 att med teknisk föreskrift avses ”tekniska specifikationer och andra krav eller föreskrifter för tjänster, inbegripet tillämpliga administrativa bestämmelser, som rättsligt eller faktiskt är tvingande vid saluföring, tillhandahållande av en tjänst, etablering av en tjänsteleverantör eller användning i en medlemsstat eller en större del därav, samt medlemsstaternas lagar och andra författningar, med undantag för dem som anges i artikel 7, som förbjuder tillverkning, import, saluföring eller användning av en produkt eller som förbjuder tillhandahållande eller användning av en tjänst eller etablering som tillhandahållare av tjänster”.</w:t>
      </w:r>
    </w:p>
    <w:p w14:paraId="4FF7DC70" w14:textId="77777777">
      <w:pPr>
        <w:pStyle w:val="P68B1DB1-Normal15"/>
        <w:widowControl w:val="0"/>
        <w:autoSpaceDE w:val="0"/>
        <w:autoSpaceDN w:val="0"/>
        <w:spacing w:after="0" w:line="240" w:lineRule="auto"/>
        <w:ind w:left="567"/>
        <w:jc w:val="both"/>
        <w:rPr>
          <w:i w:val="0"/>
          <w:iCs/>
        </w:rPr>
      </w:pPr>
    </w:p>
    <w:p w14:paraId="4482F387" w14:textId="50B8F03F">
      <w:pPr>
        <w:pStyle w:val="P68B1DB1-Normal15"/>
        <w:widowControl w:val="0"/>
        <w:autoSpaceDE w:val="0"/>
        <w:autoSpaceDN w:val="0"/>
        <w:spacing w:after="0" w:line="240" w:lineRule="auto"/>
        <w:ind w:left="567"/>
        <w:jc w:val="both"/>
        <w:rPr>
          <w:i w:val="0"/>
          <w:iCs/>
        </w:rPr>
      </w:pPr>
      <w:r>
        <w:t xml:space="preserve">61. Av detta följer att en nationell lagstiftning som rör en av informationssamhällets tjänster inte bara ska kvalificeras som en ’föreskrift för tjänster’ i den mening som avses i artikel 1.1 e i direktiv 2015/1535 för att den ska kunna kvalificeras som en ’föreskrift för tjänster’ i den mening som avses i i direktiv, utan även vara rättsligt eller faktiskt obligatorisk, bland annat vid tillhandahållandet av tjänsten i fråga eller dess användning i en medlemsstat eller en större del av denna stat. ”</w:t>
      </w:r>
    </w:p>
    <w:p w14:paraId="6EC55A15" w14:textId="67024D34">
      <w:pPr>
        <w:pStyle w:val="P68B1DB1-Heading24"/>
        <w:numPr>
          <w:ilvl w:val="0"/>
          <w:numId w:val="35"/>
        </w:numPr>
        <w:spacing w:before="0" w:after="0"/>
        <w:jc w:val="center"/>
        <w:rPr>
          <w:bCs/>
          <w:color w:val="auto"/>
        </w:rPr>
      </w:pPr>
      <w:bookmarkStart w:id="15" w:name="_Ref194481248"/>
      <w:bookmarkStart w:id="16" w:name="_Ref196314204"/>
      <w:bookmarkStart w:id="17" w:name="_Toc203035667"/>
      <w:r>
        <w:t>Tekniska</w:t>
      </w:r>
      <w:bookmarkEnd w:id="15"/>
      <w:r>
        <w:t xml:space="preserve"> specifikationer</w:t>
      </w:r>
      <w:bookmarkEnd w:id="16"/>
      <w:bookmarkEnd w:id="17"/>
    </w:p>
    <w:p w14:paraId="241DC1E1" w14:textId="77777777">
      <w:pPr>
        <w:pStyle w:val="BodyText"/>
      </w:pPr>
    </w:p>
    <w:p w14:paraId="24A39E18" w14:textId="77777777">
      <w:pPr>
        <w:pStyle w:val="P68B1DB1-BodyText11"/>
        <w:ind w:left="567"/>
      </w:pPr>
      <w:r>
        <w:t xml:space="preserve">teknisk specifikation: en specifikation som ingår i ett dokument och som fastställer de egenskaper som krävs av en produkt, såsom kvalitetsnivåer, prestanda, säkerhet eller dimensioner, inbegripet de krav som gäller för produkten i fråga i fråga om varubeteckning, terminologi, symboler, provning och provningsmetoder, förpackning, märkning eller etikettering samt förfaranden för bedömning av överensstämmelse.</w:t>
      </w:r>
    </w:p>
    <w:p w14:paraId="33F4D1E4" w14:textId="77777777">
      <w:pPr>
        <w:pStyle w:val="P68B1DB1-BodyText11"/>
        <w:ind w:left="567"/>
      </w:pPr>
    </w:p>
    <w:p w14:paraId="5224E321" w14:textId="77777777">
      <w:pPr>
        <w:pStyle w:val="P68B1DB1-BodyText11"/>
        <w:ind w:left="567"/>
        <w:rPr>
          <w:iCs/>
        </w:rPr>
      </w:pPr>
      <w:r>
        <w:t xml:space="preserve">Begreppet teknisk specifikation omfattar även produktionsmetoder och processer som används för jordbruksprodukter enligt artikel 38.1 andra stycket i fördraget om Europeiska unionens funktionssätt (EUF-fördraget), produkter avsedda att konsumeras av människor och djur, läkemedel enligt definitionen i artikel 1 i Europaparlamentets och rådets direktiv 2001/83/EG (1) samt produktionsmetoder och processer som avser andra produkter, om dessa påverkar deras egenskaper. ”</w:t>
      </w:r>
    </w:p>
    <w:p w14:paraId="6C2A57E1" w14:textId="77777777">
      <w:pPr>
        <w:pStyle w:val="BodyText"/>
        <w:ind w:left="567"/>
        <w:rPr>
          <w:i/>
          <w:iCs/>
        </w:rPr>
      </w:pPr>
    </w:p>
    <w:p w14:paraId="2F7A4C59" w14:textId="62E0EC95">
      <w:pPr>
        <w:pStyle w:val="BodyText"/>
        <w:ind w:left="1440"/>
        <w:jc w:val="right"/>
      </w:pPr>
      <w:r>
        <w:t xml:space="preserve">(Artikel 1.1 c i direktiv (EU) 2015/1535).</w:t>
      </w:r>
    </w:p>
    <w:p w14:paraId="01CFC4AF" w14:textId="77777777">
      <w:pPr>
        <w:spacing w:after="0" w:line="240" w:lineRule="auto"/>
      </w:pPr>
    </w:p>
    <w:p w14:paraId="1AB91297" w14:textId="219B80DD">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6" w:history="1">
        <w:r>
          <w:rPr>
            <w:rStyle w:val="Hyperlink"/>
            <w:rFonts w:ascii="Times New Roman" w:hAnsi="Times New Roman" w:cs="Times New Roman" w:eastAsia="Times New Roman"/>
            <w:b/>
            <w:i/>
            <w:color w:val="0000FF"/>
            <w:szCs w:val="20"/>
          </w:rPr>
          <w:t xml:space="preserve">Domstolens dom av den 11 januari 1996</w:t>
        </w:r>
      </w:hyperlink>
      <w:r>
        <w:rPr>
          <w:rFonts w:ascii="Times New Roman" w:hAnsi="Times New Roman" w:cs="Times New Roman" w:eastAsia="Times New Roman"/>
          <w:b/>
          <w:i/>
          <w:szCs w:val="20"/>
        </w:rPr>
        <w:t xml:space="preserve"> i mål C-273/94, kommissionen mot Nederländerna, punkt 13.</w:t>
      </w:r>
      <w:bookmarkEnd w:id="18"/>
    </w:p>
    <w:p w14:paraId="490AFA5B"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45335B30" w14:textId="77777777">
      <w:pPr>
        <w:pStyle w:val="P68B1DB1-P68B1DB1-Normal135"/>
        <w:widowControl w:val="0"/>
        <w:tabs>
          <w:tab w:val="left" w:pos="396"/>
          <w:tab w:val="left" w:pos="405"/>
        </w:tabs>
        <w:autoSpaceDE w:val="0"/>
        <w:autoSpaceDN w:val="0"/>
        <w:spacing w:after="0" w:line="240" w:lineRule="auto"/>
        <w:jc w:val="both"/>
        <w:rPr>
          <w:b w:val="0"/>
          <w:bCs/>
          <w:i w:val="0"/>
          <w:iCs/>
        </w:rPr>
      </w:pPr>
      <w:r>
        <w:t xml:space="preserve">En nationell bestämmelse som inför ett undantag från en befintlig teknisk föreskrift för en viss produkt utgör en ”teknisk föreskrift” om den föreskriver alternativa ”tekniska specifikationer” som varje person som vill utnyttja undantaget måste uppfylla. </w:t>
      </w:r>
    </w:p>
    <w:p w14:paraId="5E3E0A04"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0D132388" w14:textId="17D2E715">
      <w:pPr>
        <w:pStyle w:val="P68B1DB1-P68B1DB1-Normal147"/>
        <w:widowControl w:val="0"/>
        <w:tabs>
          <w:tab w:val="left" w:pos="405"/>
        </w:tabs>
        <w:autoSpaceDE w:val="0"/>
        <w:autoSpaceDN w:val="0"/>
        <w:spacing w:after="0" w:line="240" w:lineRule="auto"/>
        <w:ind w:left="567"/>
        <w:jc w:val="both"/>
        <w:rPr>
          <w:i/>
          <w:iCs/>
          <w:sz w:val="20"/>
          <w:szCs w:val="18"/>
        </w:rPr>
      </w:pPr>
      <w:r>
        <w:t xml:space="preserve">”13. Tillämpningen på en viss produkt, såsom margarin, av en förordning som avviker från en redan befintlig teknisk föreskrift avseende samma produkt utgör en teknisk föreskrift i den mening som avses i artikel 1.5 i direktivet, eftersom den fastställer tekniska specifikationer i den mening som avses i artikel 1.1, vilka är rättsligt eller faktiskt tvingande när produkten saluförs eller används. Om margarinet inte tillverkas i enlighet med bestämmelserna i förordningen om margarin, kan det endast tillverkas med hjälp av de ersättningsämnen som har godkänts i den omtvistade förordningen. Användningen av nämnda ersättningsämnen är inte endast begränsad genom anvisningarna i den omtvistade förordningen, utan dessa ämnen utgör de enda alternativen till de ämnen som kan användas enligt förordningen om margarin. Det omtvistade beslutet borde därför ha anmälts i enlighet med direktivet. ”</w:t>
      </w:r>
    </w:p>
    <w:p w14:paraId="3246D759" w14:textId="77777777">
      <w:pPr>
        <w:spacing w:after="0" w:line="240" w:lineRule="auto"/>
      </w:pPr>
    </w:p>
    <w:bookmarkStart w:id="19" w:name="_Hlk193381440"/>
    <w:p w14:paraId="62C03AFC" w14:textId="2795F956">
      <w:pPr>
        <w:pStyle w:val="P68B1DB1-P68B1DB1-Normal168"/>
        <w:widowControl w:val="0"/>
        <w:autoSpaceDE w:val="0"/>
        <w:autoSpaceDN w:val="0"/>
        <w:spacing w:after="0" w:line="240" w:lineRule="auto"/>
        <w:jc w:val="both"/>
        <w:outlineLvl w:val="1"/>
        <w:rPr>
          <w:b/>
          <w:bCs/>
          <w:i/>
          <w:iCs/>
          <w:sz w:val="22"/>
          <w:szCs w:val="18"/>
          <w:u w:val="single"/>
        </w:rPr>
      </w:pPr>
      <w:r>
        <w:rPr>
          <w:u w:val="single"/>
        </w:rPr>
        <w:fldChar w:fldCharType="begin"/>
      </w:r>
      <w:r>
        <w:rPr>
          <w:b/>
          <w:bCs/>
          <w:i/>
          <w:iCs/>
          <w:sz w:val="22"/>
          <w:szCs w:val="18"/>
          <w:u w:val="single"/>
        </w:rPr>
        <w:instrText>HYPERLINK "https://eur-lex.europa.eu/legal-content/EN/TXT/PDF/?uri=CELEX:61994CJ0194"</w:instrText>
      </w:r>
      <w:r>
        <w:rPr>
          <w:b/>
          <w:bCs/>
          <w:i/>
          <w:iCs/>
          <w:sz w:val="22"/>
          <w:szCs w:val="18"/>
          <w:u w:val="single"/>
        </w:rPr>
      </w:r>
      <w:r>
        <w:rPr>
          <w:b/>
          <w:bCs/>
          <w:i/>
          <w:iCs/>
          <w:sz w:val="22"/>
          <w:szCs w:val="18"/>
          <w:u w:val="single"/>
        </w:rPr>
        <w:fldChar w:fldCharType="separate"/>
      </w:r>
      <w:bookmarkStart w:id="20" w:name="_Toc198043789"/>
      <w:r>
        <w:rPr>
          <w:b/>
          <w:bCs/>
          <w:i/>
          <w:iCs/>
          <w:color w:val="0000FF"/>
          <w:sz w:val="22"/>
          <w:szCs w:val="18"/>
          <w:u w:val="single"/>
        </w:rPr>
        <w:t xml:space="preserve">Domstolens dom av den 30 april 1996</w:t>
      </w:r>
      <w:r>
        <w:t xml:space="preserve"> i mål C-194/94</w:t>
      </w:r>
      <w:r>
        <w:rPr>
          <w:b/>
          <w:bCs/>
          <w:i/>
          <w:iCs/>
          <w:color w:val="0000FF"/>
          <w:sz w:val="22"/>
          <w:szCs w:val="18"/>
          <w:u w:val="single"/>
        </w:rPr>
        <w:fldChar w:fldCharType="end"/>
        <w:t xml:space="preserve">, CIA Security International SA, punkt 30.</w:t>
      </w:r>
      <w:bookmarkEnd w:id="20"/>
    </w:p>
    <w:p w14:paraId="03A3C49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B9B60A" w14:textId="77777777">
      <w:pPr>
        <w:pStyle w:val="P68B1DB1-P68B1DB1-Normal135"/>
        <w:widowControl w:val="0"/>
        <w:tabs>
          <w:tab w:val="left" w:pos="393"/>
        </w:tabs>
        <w:autoSpaceDE w:val="0"/>
        <w:autoSpaceDN w:val="0"/>
        <w:spacing w:after="0" w:line="240" w:lineRule="auto"/>
        <w:jc w:val="both"/>
        <w:rPr>
          <w:b w:val="0"/>
          <w:bCs/>
          <w:i w:val="0"/>
          <w:iCs/>
        </w:rPr>
      </w:pPr>
      <w:r>
        <w:t xml:space="preserve">En regel ska klassificeras som en ”teknisk föreskrift” om den ålägger de berörda företagen att ansöka om förhandsgodkännande av sin utrustning, även om de planerade administrativa föreskrifterna inte har antagits.</w:t>
      </w:r>
    </w:p>
    <w:p w14:paraId="3B8967AA"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215AA9EB" w14:textId="10F7CC33">
      <w:pPr>
        <w:pStyle w:val="P68B1DB1-P68B1DB1-Normal147"/>
        <w:widowControl w:val="0"/>
        <w:tabs>
          <w:tab w:val="left" w:pos="396"/>
        </w:tabs>
        <w:autoSpaceDE w:val="0"/>
        <w:autoSpaceDN w:val="0"/>
        <w:spacing w:after="0" w:line="240" w:lineRule="auto"/>
        <w:ind w:left="567"/>
        <w:jc w:val="both"/>
        <w:rPr>
          <w:i/>
          <w:iCs/>
          <w:sz w:val="20"/>
          <w:szCs w:val="18"/>
        </w:rPr>
      </w:pPr>
      <w:r>
        <w:t>”30</w:t>
      </w:r>
      <w:bookmarkEnd w:id="19"/>
      <w:r>
        <w:t xml:space="preserve">. [...] en bestämmelse ska kvalificeras som en teknisk föreskrift i den mening som avses i direktiv 83/189 om den, såsom den belgiska regeringen har gjort gällande vid förhandlingen, ålägger de berörda företagen att ansöka om förhandsgodkännande av deras utrustning, även om de planerade administrativa föreskrifterna inte har antagits. ”</w:t>
      </w:r>
    </w:p>
    <w:p w14:paraId="2E3568F3" w14:textId="77777777">
      <w:pPr>
        <w:spacing w:after="0" w:line="240" w:lineRule="auto"/>
      </w:pPr>
    </w:p>
    <w:bookmarkStart w:id="21" w:name="_Hlk193380849"/>
    <w:p w14:paraId="5207FE2E" w14:textId="5E0891EF">
      <w:pPr>
        <w:pStyle w:val="P68B1DB1-P68B1DB1-Normal169"/>
        <w:widowControl w:val="0"/>
        <w:autoSpaceDE w:val="0"/>
        <w:autoSpaceDN w:val="0"/>
        <w:spacing w:after="0" w:line="240" w:lineRule="auto"/>
        <w:jc w:val="both"/>
        <w:outlineLvl w:val="1"/>
        <w:rPr>
          <w:b/>
          <w:bCs/>
          <w:i/>
          <w:iCs/>
          <w:sz w:val="24"/>
          <w:szCs w:val="20"/>
        </w:rPr>
      </w:pPr>
      <w:r>
        <w:fldChar w:fldCharType="begin"/>
      </w:r>
      <w:r>
        <w:rPr>
          <w:b/>
          <w:bCs/>
          <w:i/>
          <w:iCs/>
          <w:sz w:val="24"/>
          <w:szCs w:val="20"/>
        </w:rPr>
        <w:instrText>HYPERLINK "https://curia.europa.eu/juris/showPdf.jsf?text=&amp;docid=43725&amp;pageIndex=0&amp;doclang=EN&amp;mode=lst&amp;dir=&amp;occ=first&amp;part=1&amp;cid=10811412"</w:instrText>
      </w:r>
      <w:r>
        <w:rPr>
          <w:b/>
          <w:bCs/>
          <w:i/>
          <w:iCs/>
          <w:sz w:val="24"/>
          <w:szCs w:val="20"/>
        </w:rPr>
      </w:r>
      <w:r>
        <w:rPr>
          <w:b/>
          <w:bCs/>
          <w:i/>
          <w:iCs/>
          <w:sz w:val="24"/>
          <w:szCs w:val="20"/>
        </w:rPr>
        <w:fldChar w:fldCharType="separate"/>
      </w:r>
      <w:bookmarkStart w:id="22" w:name="_Toc198043790"/>
      <w:r>
        <w:rPr>
          <w:b/>
          <w:bCs/>
          <w:i/>
          <w:iCs/>
          <w:color w:val="0000FF"/>
          <w:sz w:val="24"/>
          <w:szCs w:val="20"/>
          <w:u w:val="single"/>
        </w:rPr>
        <w:t xml:space="preserve">Domstolens dom av den 16 september 1996 i mål C-279/94</w:t>
      </w:r>
      <w:r>
        <w:rPr>
          <w:b/>
          <w:bCs/>
          <w:i/>
          <w:iCs/>
          <w:color w:val="0000FF"/>
          <w:sz w:val="24"/>
          <w:szCs w:val="20"/>
          <w:u w:val="single"/>
        </w:rPr>
        <w:fldChar w:fldCharType="end"/>
        <w:t xml:space="preserve">, kommissionen mot Italien, punkt 34.</w:t>
      </w:r>
      <w:bookmarkEnd w:id="22"/>
    </w:p>
    <w:p w14:paraId="17AF04A1"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305146C4" w14:textId="48041DD6">
      <w:pPr>
        <w:pStyle w:val="P68B1DB1-P68B1DB1-Normal135"/>
        <w:widowControl w:val="0"/>
        <w:tabs>
          <w:tab w:val="left" w:pos="396"/>
          <w:tab w:val="left" w:pos="461"/>
        </w:tabs>
        <w:autoSpaceDE w:val="0"/>
        <w:autoSpaceDN w:val="0"/>
        <w:spacing w:after="0" w:line="240" w:lineRule="auto"/>
        <w:jc w:val="both"/>
        <w:rPr>
          <w:b w:val="0"/>
          <w:bCs/>
          <w:i w:val="0"/>
          <w:iCs/>
        </w:rPr>
      </w:pPr>
      <w:r>
        <w:t xml:space="preserve">En bestämmelse som fastställer gränsvärden för koncentrationen av respirabla asbestfibrer på arbetsplatser är inte en ”teknisk specifikation” eftersom den inte definierar de egenskaper som krävs av en produkt.</w:t>
      </w:r>
    </w:p>
    <w:bookmarkEnd w:id="21"/>
    <w:p w14:paraId="3914A279"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i/>
          <w:iCs/>
          <w:sz w:val="20"/>
          <w:szCs w:val="16"/>
        </w:rPr>
      </w:pPr>
    </w:p>
    <w:p w14:paraId="67A9CA8E" w14:textId="0D618384">
      <w:pPr>
        <w:pStyle w:val="P68B1DB1-P68B1DB1-Normal147"/>
        <w:widowControl w:val="0"/>
        <w:tabs>
          <w:tab w:val="left" w:pos="396"/>
          <w:tab w:val="left" w:pos="461"/>
        </w:tabs>
        <w:autoSpaceDE w:val="0"/>
        <w:autoSpaceDN w:val="0"/>
        <w:spacing w:after="0" w:line="240" w:lineRule="auto"/>
        <w:ind w:left="567"/>
        <w:jc w:val="both"/>
        <w:rPr>
          <w:i/>
          <w:iCs/>
          <w:sz w:val="20"/>
          <w:szCs w:val="18"/>
        </w:rPr>
      </w:pPr>
      <w:r>
        <w:t xml:space="preserve">”34. Enligt artikel 1.5 i direktivet ska emellertid med termen teknisk föreskrift förstås ”tekniska specifikationer, inbegripet tillämpliga administrativa bestämmelser, som är rättsligt eller faktiskt tvingande vid marknadsföring eller användning i en medlemsstat...”. Enligt artikel 1.1 i direktivet är en ”teknisk specifikation” en i ett dokument intagen specifikation som fastställer de egenskaper som krävs av en produkt, exempelvis kvalitetsnivåer, prestanda och säkerhet. I artikel 3.1 i lag 257/92 fastställs den högsta tillåtna koncentrationen av asbestfibrer i luften på arbetsplatser. Eftersom det i denna bestämmelse inte anges någon egenskap som krävs av en produkt, omfattas denna bestämmelse a priori inte av definitionen på en teknisk specifikati on och kan därför inte anses utgöra en sådan teknisk föreskrift som ska anmälas till kommissionen i enlighet med artikel 8.1 första stycket i direktivet. Även om iakttagandet av de gränsvärden för koncentrationerna av inhalerbara asbestfibrer som föreskrivs i artikel 3 i lag nr 257/92 kan få konsekvenser för produktens egenskaper, såsom föreskrivs i artikel 1.1 i direktivet, har kommissionen inte visat hur detta skulle kunna vara fallet. ”</w:t>
      </w:r>
    </w:p>
    <w:p w14:paraId="77CC982D" w14:textId="77777777">
      <w:pPr>
        <w:spacing w:after="0" w:line="240" w:lineRule="auto"/>
      </w:pPr>
    </w:p>
    <w:p w14:paraId="7EF6FA71" w14:textId="696433A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7" w:history="1">
        <w:r>
          <w:rPr>
            <w:color w:val="0000FF"/>
            <w:u w:val="single"/>
          </w:rPr>
          <w:t xml:space="preserve">Domstolens dom av den 17 september 1996</w:t>
        </w:r>
      </w:hyperlink>
      <w:r>
        <w:t xml:space="preserve"> i mål C-289/94, kommissionen mot Italien, punkt 32.</w:t>
      </w:r>
      <w:bookmarkEnd w:id="23"/>
    </w:p>
    <w:p w14:paraId="63F2CA3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4459CD7" w14:textId="60F96DFC">
      <w:pPr>
        <w:pStyle w:val="P68B1DB1-P68B1DB1-Normal135"/>
        <w:widowControl w:val="0"/>
        <w:tabs>
          <w:tab w:val="left" w:pos="393"/>
          <w:tab w:val="left" w:pos="396"/>
        </w:tabs>
        <w:autoSpaceDE w:val="0"/>
        <w:autoSpaceDN w:val="0"/>
        <w:spacing w:after="0" w:line="240" w:lineRule="auto"/>
        <w:jc w:val="both"/>
        <w:rPr>
          <w:b w:val="0"/>
          <w:bCs/>
          <w:i w:val="0"/>
          <w:iCs/>
        </w:rPr>
      </w:pPr>
      <w:r>
        <w:t xml:space="preserve">En förordning som reglerar kvaliteten på vatten avsett för blötdjursodling utgör en ”teknisk föreskrift” som ska anmälas på grund av dess direkta inverkan på saluföringen av de berörda produkterna. </w:t>
      </w:r>
    </w:p>
    <w:p w14:paraId="2D9EC8A9"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3F84CC3E" w14:textId="06ABFE08">
      <w:pPr>
        <w:pStyle w:val="P68B1DB1-P68B1DB1-Normal147"/>
        <w:widowControl w:val="0"/>
        <w:tabs>
          <w:tab w:val="left" w:pos="393"/>
          <w:tab w:val="left" w:pos="396"/>
        </w:tabs>
        <w:autoSpaceDE w:val="0"/>
        <w:autoSpaceDN w:val="0"/>
        <w:spacing w:after="0" w:line="240" w:lineRule="auto"/>
        <w:ind w:left="567"/>
        <w:jc w:val="both"/>
        <w:rPr>
          <w:i/>
          <w:iCs/>
          <w:sz w:val="20"/>
          <w:szCs w:val="18"/>
        </w:rPr>
      </w:pPr>
      <w:r>
        <w:t xml:space="preserve">”32.  Även om dekret nr 256 avser vissa aspekter vad beträffar kvaliteten av vatten avsedda för blötdjur med lamellförgrenade gälar avsedda för konsumtion, fastställs där inte desto mindre vilket kommissionen på goda grunder har betonat ett mycket direkt samband mellan kvalitet av skaldjursvatten och marknadsföring av blötdjur med lamellförgrenade gälar avsedda att konsumeras av människor. Följaktligen kan endast sådana blötdjur marknadsföras som har odlats i vatten som motsvarar de tekniska specifikationer som införts genom dekret nr 256. Iakttagandet av dessa bindande specifikationer har således en direkt inverkan på saluföringen av blötdjuren, vilket innebär att dekret nr 256 ska betraktas som en teknisk föreskrift som omfattas av anmälningsskyldigheten enligt artikel 8 i direktiv 83/189. ”</w:t>
      </w:r>
    </w:p>
    <w:p w14:paraId="649C3FFC" w14:textId="77777777">
      <w:pPr>
        <w:spacing w:after="0" w:line="240" w:lineRule="auto"/>
      </w:pPr>
    </w:p>
    <w:p w14:paraId="594FA21A" w14:textId="5BFD552E">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8" w:history="1">
        <w:r>
          <w:rPr>
            <w:color w:val="0000FF"/>
            <w:u w:val="single"/>
          </w:rPr>
          <w:t xml:space="preserve">Dom av den 11 maj 1999</w:t>
        </w:r>
      </w:hyperlink>
      <w:r>
        <w:t xml:space="preserve"> i de förenade målen C-425/97–427/97, Albers m.fl., punkterna 16 och 17</w:t>
      </w:r>
      <w:bookmarkEnd w:id="24"/>
    </w:p>
    <w:p w14:paraId="5F0AAD7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7AC9467" w14:textId="6F183D52">
      <w:pPr>
        <w:pStyle w:val="P68B1DB1-P68B1DB1-Normal135"/>
        <w:widowControl w:val="0"/>
        <w:tabs>
          <w:tab w:val="left" w:pos="403"/>
        </w:tabs>
        <w:autoSpaceDE w:val="0"/>
        <w:autoSpaceDN w:val="0"/>
        <w:spacing w:after="0" w:line="240" w:lineRule="auto"/>
        <w:jc w:val="both"/>
        <w:rPr>
          <w:b w:val="0"/>
          <w:bCs/>
          <w:i w:val="0"/>
          <w:iCs/>
        </w:rPr>
      </w:pPr>
      <w:r>
        <w:t xml:space="preserve">Bestämmelserna om förbud mot att administrera vissa läkemedel till nötkreatur utgör ”tekniska specifikationer”, eftersom de definierar produktionsmetoder för jordbruksprodukter.</w:t>
      </w:r>
    </w:p>
    <w:p w14:paraId="72C610C7"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337E8892" w14:textId="77777777">
      <w:pPr>
        <w:pStyle w:val="P68B1DB1-P68B1DB1-Normal147"/>
        <w:widowControl w:val="0"/>
        <w:tabs>
          <w:tab w:val="left" w:pos="403"/>
        </w:tabs>
        <w:autoSpaceDE w:val="0"/>
        <w:autoSpaceDN w:val="0"/>
        <w:spacing w:after="0"/>
        <w:ind w:left="567"/>
        <w:jc w:val="both"/>
        <w:rPr>
          <w:i/>
          <w:iCs/>
          <w:sz w:val="20"/>
          <w:szCs w:val="18"/>
        </w:rPr>
      </w:pPr>
      <w:r>
        <w:t xml:space="preserve">”16. [...] bestämmelser som, såsom i förevarande fall, syftar till att förhindra att sympatikomimetiska ämnen tillförs slaktboskap som är äldre än 14 veckor utgör tekniska specifikationer i den mening som avses i artikel 1.1 i direktiv 83/189.</w:t>
      </w:r>
    </w:p>
    <w:p w14:paraId="184A20A2" w14:textId="77777777">
      <w:pPr>
        <w:pStyle w:val="P68B1DB1-Normal14"/>
        <w:widowControl w:val="0"/>
        <w:tabs>
          <w:tab w:val="left" w:pos="403"/>
        </w:tabs>
        <w:autoSpaceDE w:val="0"/>
        <w:autoSpaceDN w:val="0"/>
        <w:spacing w:after="0"/>
        <w:ind w:left="567"/>
        <w:jc w:val="both"/>
        <w:rPr>
          <w:i/>
          <w:iCs/>
          <w:sz w:val="20"/>
          <w:szCs w:val="18"/>
        </w:rPr>
      </w:pPr>
    </w:p>
    <w:p w14:paraId="6ED2A74A" w14:textId="77777777">
      <w:pPr>
        <w:pStyle w:val="P68B1DB1-P68B1DB1-Normal147"/>
        <w:widowControl w:val="0"/>
        <w:tabs>
          <w:tab w:val="left" w:pos="403"/>
        </w:tabs>
        <w:autoSpaceDE w:val="0"/>
        <w:autoSpaceDN w:val="0"/>
        <w:spacing w:after="0"/>
        <w:ind w:left="567"/>
        <w:jc w:val="both"/>
        <w:rPr>
          <w:i/>
          <w:iCs/>
          <w:sz w:val="20"/>
          <w:szCs w:val="18"/>
        </w:rPr>
      </w:pPr>
      <w:r>
        <w:t xml:space="preserve">17. I dessa regler definieras de produktionsmetoder och produktionsförfaranden för jordbruksprodukter som avses i artikel 38.1 i EG-fördraget (nu artikel 32.1 EG i ändrad lydelse) och som är avsedda att användas som livsmedel. ”</w:t>
      </w:r>
    </w:p>
    <w:p w14:paraId="2268A3D1" w14:textId="77777777">
      <w:pPr>
        <w:pStyle w:val="P68B1DB1-Normal14"/>
        <w:widowControl w:val="0"/>
        <w:tabs>
          <w:tab w:val="left" w:pos="403"/>
        </w:tabs>
        <w:autoSpaceDE w:val="0"/>
        <w:autoSpaceDN w:val="0"/>
        <w:spacing w:after="0" w:line="240" w:lineRule="auto"/>
        <w:ind w:left="567"/>
        <w:jc w:val="both"/>
      </w:pPr>
    </w:p>
    <w:p w14:paraId="23614BFD" w14:textId="3A1567C1">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9" w:history="1">
        <w:r>
          <w:rPr>
            <w:color w:val="0000FF"/>
            <w:u w:val="single"/>
          </w:rPr>
          <w:t xml:space="preserve">Domstolens dom av den 22 januari 2000</w:t>
        </w:r>
      </w:hyperlink>
      <w:r>
        <w:t xml:space="preserve"> i mål C-390/99, Canal Satélite Digital, punkterna 45–47.</w:t>
      </w:r>
      <w:bookmarkEnd w:id="25"/>
    </w:p>
    <w:p w14:paraId="66ACF23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3D40E02" w14:textId="3EBC10F3">
      <w:pPr>
        <w:pStyle w:val="P68B1DB1-P68B1DB1-Normal135"/>
        <w:widowControl w:val="0"/>
        <w:tabs>
          <w:tab w:val="left" w:pos="396"/>
          <w:tab w:val="left" w:pos="405"/>
        </w:tabs>
        <w:autoSpaceDE w:val="0"/>
        <w:autoSpaceDN w:val="0"/>
        <w:spacing w:after="0" w:line="240" w:lineRule="auto"/>
        <w:jc w:val="both"/>
        <w:rPr>
          <w:b w:val="0"/>
          <w:bCs/>
          <w:i w:val="0"/>
          <w:iCs/>
        </w:rPr>
      </w:pPr>
      <w:r>
        <w:t xml:space="preserve">En nationell bestämmelse som kräver registrering och certifiering i förväg av utrustning för digital sändning och mottagning av satellittelevisionssignaler innan den marknadsförs utgör en ”teknisk föreskrift”, eftersom den definierar de berörda produkternas egenskaper. </w:t>
      </w:r>
    </w:p>
    <w:p w14:paraId="492A0BC9"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6D130C89" w14:textId="373E8FE6">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”45. [...] domstolen har redan slagit fast att nationella bestämmelser som endast fastställer villkor för etablering av företag, såsom bestämmelser om krav på förhandstillstånd för att utöva en verksamhet, inte utgör tekniska föreskrifter i den mening som avses i artikel 1.9 i direktiv 83/189. Tekniska föreskrifter i den mening som avses i denna bestämmelse är specifikationer som definierar produkternas egenskaper och inte specifikationer som rör ekonomiska aktörer (mål C-194/94, CIA Security, REG 1996, s. I-2201, punkt 25; Mål C-278/99, Van der Burg, REG 2001, s. I-2015, punkt 20).</w:t>
      </w:r>
    </w:p>
    <w:p w14:paraId="0ED4E0E7"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46. Däremot ska en nationell bestämmelse anses vara en teknisk föreskrift i den mening som avses i artikel 1.9 i direktiv 83/189 när de berörda företagen enligt bestämmelsen är skyldiga att på förhand begära godkännande för sin materiel (se domen i det ovannämnda målet CIA Security International, punkt 30).</w:t>
      </w:r>
    </w:p>
    <w:p w14:paraId="71D02A99"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47. Härav följer att en nationell bestämmelse enligt vilken operatörer av tjänster med villkorad tillgång är skyldiga att gå in i utrustning, dekodrar eller system för digital överföring och mottagning av televisionssignaler via satellit som de avser att saluföra i ett register och att erhålla förhandstillstånd för dessa produkter innan de kan saluföra dem utgör en ’teknisk föreskrift’ i den mening som avses i artikel 1.9 i direktiv 83/189. ”</w:t>
      </w:r>
    </w:p>
    <w:p w14:paraId="2E51BE56" w14:textId="77777777">
      <w:pPr>
        <w:spacing w:after="0" w:line="240" w:lineRule="auto"/>
      </w:pPr>
    </w:p>
    <w:p w14:paraId="10FFB5F9" w14:textId="668B4B2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0" w:history="1">
        <w:r>
          <w:rPr>
            <w:color w:val="0000FF"/>
            <w:u w:val="single"/>
          </w:rPr>
          <w:t xml:space="preserve">Domstolens dom av den 26 september 2000</w:t>
        </w:r>
      </w:hyperlink>
      <w:r>
        <w:t xml:space="preserve"> i mål C-443/98, Unilever Italia, punkterna 25 och 26.</w:t>
      </w:r>
      <w:bookmarkEnd w:id="26"/>
    </w:p>
    <w:p w14:paraId="3CF4C4E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33D680" w14:textId="360C593C">
      <w:pPr>
        <w:pStyle w:val="P68B1DB1-P68B1DB1-Normal135"/>
        <w:widowControl w:val="0"/>
        <w:autoSpaceDE w:val="0"/>
        <w:autoSpaceDN w:val="0"/>
        <w:spacing w:after="0" w:line="240" w:lineRule="auto"/>
        <w:jc w:val="both"/>
        <w:rPr>
          <w:b w:val="0"/>
          <w:bCs/>
          <w:i w:val="0"/>
          <w:iCs/>
        </w:rPr>
      </w:pPr>
      <w:r>
        <w:t xml:space="preserve">En bestämmelse om ursprungsmärkning av olivolja är en ”teknisk specifikation”, eftersom den är ett krav för märkning av en produkt.</w:t>
      </w:r>
    </w:p>
    <w:p w14:paraId="00B89F88" w14:textId="77777777">
      <w:pPr>
        <w:widowControl w:val="0"/>
        <w:autoSpaceDE w:val="0"/>
        <w:autoSpaceDN w:val="0"/>
        <w:spacing w:after="0" w:line="240" w:lineRule="auto"/>
        <w:jc w:val="both"/>
        <w:rPr>
          <w:rFonts w:ascii="Times New Roman" w:hAnsi="Times New Roman" w:cs="Times New Roman" w:eastAsia="Times New Roman"/>
          <w:szCs w:val="20"/>
        </w:rPr>
      </w:pPr>
    </w:p>
    <w:p w14:paraId="45CCCC45" w14:textId="77777777">
      <w:pPr>
        <w:pStyle w:val="P68B1DB1-P68B1DB1-Normal147"/>
        <w:widowControl w:val="0"/>
        <w:autoSpaceDE w:val="0"/>
        <w:autoSpaceDN w:val="0"/>
        <w:spacing w:after="0"/>
        <w:ind w:left="567"/>
        <w:jc w:val="both"/>
        <w:rPr>
          <w:i/>
          <w:iCs/>
          <w:sz w:val="20"/>
          <w:szCs w:val="18"/>
        </w:rPr>
      </w:pPr>
      <w:r>
        <w:t xml:space="preserve">”25. Det är i detta avseende tillräckligt att påpeka att enligt artikel 1.1 i direktiv 83/189 ska såväl industriprodukter som jordbruksprodukter betraktas som ”produkter”, och enligt punkt 2 i samma artikel ska varje specifikation i ett dokument som anger de egenskaper som krävs av en produkt, inbegripet de krav på märkning som är tillämplig på produkten, enligt direktiv 83/189 betraktas som en ”teknisk specifikation”. Nationella bestämmelser som innehåller sådana specifikationer utgör tekniska specifikationer i den mening som avses i direktiv 83/189, oberoende av på vilka grunder de antagits (se, för ett liknande resonemang, dom av den 1997 mars 1753 i mål C-13/96, Bic Benelux mot belgiska staten, REG 19, s. I-, punkt).</w:t>
      </w:r>
    </w:p>
    <w:p w14:paraId="5CC53ED2" w14:textId="77777777">
      <w:pPr>
        <w:pStyle w:val="P68B1DB1-Normal14"/>
        <w:widowControl w:val="0"/>
        <w:autoSpaceDE w:val="0"/>
        <w:autoSpaceDN w:val="0"/>
        <w:spacing w:after="0"/>
        <w:ind w:left="567"/>
        <w:jc w:val="both"/>
        <w:rPr>
          <w:i/>
          <w:iCs/>
          <w:sz w:val="20"/>
          <w:szCs w:val="18"/>
        </w:rPr>
      </w:pPr>
    </w:p>
    <w:p w14:paraId="1607D5BC" w14:textId="596CB8C6">
      <w:pPr>
        <w:pStyle w:val="P68B1DB1-P68B1DB1-Normal147"/>
        <w:widowControl w:val="0"/>
        <w:autoSpaceDE w:val="0"/>
        <w:autoSpaceDN w:val="0"/>
        <w:spacing w:after="0"/>
        <w:ind w:left="567"/>
        <w:jc w:val="both"/>
        <w:rPr>
          <w:i/>
          <w:iCs/>
          <w:sz w:val="20"/>
          <w:szCs w:val="18"/>
        </w:rPr>
      </w:pPr>
      <w:r>
        <w:t xml:space="preserve">26. Den omtvistade lagen, som reglerar märkningen av olivoljans ursprung, innehåller således bestämmelser som ska klassificeras som ’tekniska specifikationer’ i den mening som avses i direktiv 83/189. ”</w:t>
      </w:r>
    </w:p>
    <w:p w14:paraId="459F3FCC" w14:textId="77777777">
      <w:pPr>
        <w:spacing w:after="0" w:line="240" w:lineRule="auto"/>
      </w:pPr>
    </w:p>
    <w:p w14:paraId="095F5F49" w14:textId="2E38BF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1" w:history="1">
        <w:r>
          <w:rPr>
            <w:color w:val="0000FF"/>
            <w:u w:val="single"/>
          </w:rPr>
          <w:t xml:space="preserve">Dom av den 12 oktober 2000</w:t>
        </w:r>
      </w:hyperlink>
      <w:r>
        <w:t xml:space="preserve"> i mål C-314/98, Snellers, punkterna 37–39.</w:t>
      </w:r>
      <w:bookmarkEnd w:id="27"/>
    </w:p>
    <w:p w14:paraId="2AD735C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FFCEA8D" w14:textId="2B0D93B0">
      <w:pPr>
        <w:widowControl w:val="0"/>
        <w:tabs>
          <w:tab w:val="left" w:pos="403"/>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En ”teknisk specifikation” måste avse produkten som sådan. En förordning som fastställer kriterierna för att fastställa vid vilken tidpunkt ett fordon för första gången ska anses ha godkänts för trafik på allmän väg, i syfte att utfärda ett registreringsbevis, definierar inte någon egenskap som krävs för själva produkten och kan därför inte klassificeras som en ”teknisk föreskrift”.</w:t>
      </w:r>
    </w:p>
    <w:p w14:paraId="4B51E0FD"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64BEEE86" w14:textId="77777777">
      <w:pPr>
        <w:pStyle w:val="P68B1DB1-P68B1DB1-Normal147"/>
        <w:widowControl w:val="0"/>
        <w:tabs>
          <w:tab w:val="left" w:pos="403"/>
        </w:tabs>
        <w:autoSpaceDE w:val="0"/>
        <w:autoSpaceDN w:val="0"/>
        <w:spacing w:after="0"/>
        <w:ind w:left="567"/>
        <w:jc w:val="both"/>
        <w:rPr>
          <w:i/>
          <w:iCs/>
          <w:sz w:val="20"/>
          <w:szCs w:val="18"/>
        </w:rPr>
      </w:pPr>
      <w:r>
        <w:t xml:space="preserve">”37. [...] bestämmelser som, i likhet med dem som är aktuella i det nationella målet, syftar till att fastställa det datum då ett fordon först får användas på allmän väg utgör inte tekniska specifikationer i den mening som avses i direktiv 83/189 och kan därför inte kvalificeras som tekniska föreskrifter som omfattas av detta direktivs tillämpningsområde.</w:t>
      </w:r>
    </w:p>
    <w:p w14:paraId="0BD17994" w14:textId="77777777">
      <w:pPr>
        <w:pStyle w:val="P68B1DB1-Normal14"/>
        <w:widowControl w:val="0"/>
        <w:tabs>
          <w:tab w:val="left" w:pos="403"/>
        </w:tabs>
        <w:autoSpaceDE w:val="0"/>
        <w:autoSpaceDN w:val="0"/>
        <w:spacing w:after="0"/>
        <w:ind w:left="567"/>
        <w:jc w:val="both"/>
        <w:rPr>
          <w:i/>
          <w:iCs/>
          <w:sz w:val="20"/>
          <w:szCs w:val="18"/>
        </w:rPr>
      </w:pPr>
    </w:p>
    <w:p w14:paraId="7E31CFA5" w14:textId="094AFB8A">
      <w:pPr>
        <w:pStyle w:val="P68B1DB1-P68B1DB1-Normal147"/>
        <w:widowControl w:val="0"/>
        <w:tabs>
          <w:tab w:val="left" w:pos="403"/>
        </w:tabs>
        <w:autoSpaceDE w:val="0"/>
        <w:autoSpaceDN w:val="0"/>
        <w:spacing w:after="0"/>
        <w:ind w:left="567"/>
        <w:jc w:val="both"/>
        <w:rPr>
          <w:i/>
          <w:iCs/>
          <w:sz w:val="20"/>
          <w:szCs w:val="18"/>
        </w:rPr>
      </w:pPr>
      <w:r>
        <w:t xml:space="preserve">38. I artikel 1.1 i direktiv 83/189 föreskrivs att när det gäller sådana produkter som de som är i fråga i målet vid den nationella domstolen är en teknisk specifikation i den mening som avses i detta direktiv ”en specifikation som ingår i ett dokument som anger de egenskaper som krävs av en produkt. Tekniska specifikationer i den mening som avses i direktiv 83/189 ska således avse produkten som sådan. detta bekräftas för övrigt av den icke uttömmande uppräkningen av de berörda specifikationerna som exempel i artikel 1.1 i direktivet.</w:t>
      </w:r>
    </w:p>
    <w:p w14:paraId="231677E0" w14:textId="77777777">
      <w:pPr>
        <w:pStyle w:val="P68B1DB1-Normal14"/>
        <w:widowControl w:val="0"/>
        <w:tabs>
          <w:tab w:val="left" w:pos="403"/>
        </w:tabs>
        <w:autoSpaceDE w:val="0"/>
        <w:autoSpaceDN w:val="0"/>
        <w:spacing w:after="0"/>
        <w:ind w:left="567"/>
        <w:jc w:val="both"/>
        <w:rPr>
          <w:i/>
          <w:iCs/>
          <w:sz w:val="20"/>
          <w:szCs w:val="18"/>
        </w:rPr>
      </w:pPr>
    </w:p>
    <w:p w14:paraId="57F7E593" w14:textId="77777777">
      <w:pPr>
        <w:pStyle w:val="P68B1DB1-P68B1DB1-Normal147"/>
        <w:widowControl w:val="0"/>
        <w:tabs>
          <w:tab w:val="left" w:pos="403"/>
        </w:tabs>
        <w:autoSpaceDE w:val="0"/>
        <w:autoSpaceDN w:val="0"/>
        <w:spacing w:after="0"/>
        <w:ind w:left="567"/>
        <w:jc w:val="both"/>
        <w:rPr>
          <w:i/>
          <w:iCs/>
          <w:sz w:val="20"/>
          <w:szCs w:val="18"/>
        </w:rPr>
      </w:pPr>
      <w:r>
        <w:t xml:space="preserve">39. I förordningen fastställs ett antal kriterier för att fastställa när ett fordon, i den mening som avses i Wegenverkeerswet, ska anses ha fått tillstånd att använda allmän väg för att utfärda ett registreringsbevis. I förordningen definieras därför inte någon egenskap som krävs av produkten som sådan. ”</w:t>
      </w:r>
    </w:p>
    <w:p w14:paraId="5C2F2353" w14:textId="77777777">
      <w:pPr>
        <w:spacing w:after="0" w:line="240" w:lineRule="auto"/>
      </w:pPr>
    </w:p>
    <w:p w14:paraId="176B08B6" w14:textId="7FC0C14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22" w:history="1">
        <w:r>
          <w:rPr>
            <w:rStyle w:val="Hyperlink"/>
            <w:rFonts w:ascii="Times New Roman" w:hAnsi="Times New Roman" w:cs="Times New Roman" w:eastAsia="Times New Roman"/>
            <w:b/>
            <w:i/>
            <w:color w:val="0000FF"/>
            <w:szCs w:val="20"/>
          </w:rPr>
          <w:t xml:space="preserve">Domstolens dom av den 16 november 2000</w:t>
        </w:r>
      </w:hyperlink>
      <w:r>
        <w:rPr>
          <w:rFonts w:ascii="Times New Roman" w:hAnsi="Times New Roman" w:cs="Times New Roman" w:eastAsia="Times New Roman"/>
          <w:b/>
          <w:i/>
          <w:szCs w:val="20"/>
        </w:rPr>
        <w:t xml:space="preserve"> i mål C-37/99, Donkersteeg, punkterna 30 och 31.</w:t>
      </w:r>
      <w:bookmarkEnd w:id="28"/>
    </w:p>
    <w:p w14:paraId="0039F4A1" w14:textId="77777777">
      <w:pPr>
        <w:widowControl w:val="0"/>
        <w:autoSpaceDE w:val="0"/>
        <w:autoSpaceDN w:val="0"/>
        <w:spacing w:after="0" w:line="240" w:lineRule="auto"/>
        <w:jc w:val="both"/>
        <w:rPr>
          <w:rFonts w:ascii="Times New Roman" w:hAnsi="Times New Roman" w:cs="Times New Roman" w:eastAsia="Times New Roman"/>
          <w:szCs w:val="20"/>
        </w:rPr>
      </w:pPr>
    </w:p>
    <w:p w14:paraId="4A6A750B" w14:textId="411010F6">
      <w:pPr>
        <w:pStyle w:val="P68B1DB1-P68B1DB1-Normal135"/>
        <w:widowControl w:val="0"/>
        <w:autoSpaceDE w:val="0"/>
        <w:autoSpaceDN w:val="0"/>
        <w:spacing w:after="0" w:line="240" w:lineRule="auto"/>
        <w:jc w:val="both"/>
        <w:rPr>
          <w:b w:val="0"/>
          <w:bCs/>
          <w:i w:val="0"/>
          <w:iCs/>
        </w:rPr>
      </w:pPr>
      <w:r>
        <w:t xml:space="preserve">För jordbruksprodukter är en ”teknisk specifikation” en text som definierar deras erforderliga egenskaper eller produktionsmetoder. En regel som fastställer villkor för vaccinering av djur är en produktionsregel och därmed en ”teknisk specifikation”. </w:t>
      </w:r>
    </w:p>
    <w:p w14:paraId="7118F572" w14:textId="77777777">
      <w:pPr>
        <w:widowControl w:val="0"/>
        <w:autoSpaceDE w:val="0"/>
        <w:autoSpaceDN w:val="0"/>
        <w:spacing w:after="0" w:line="240" w:lineRule="auto"/>
        <w:jc w:val="both"/>
        <w:rPr>
          <w:rFonts w:ascii="Times New Roman" w:hAnsi="Times New Roman" w:cs="Times New Roman" w:eastAsia="Times New Roman"/>
          <w:szCs w:val="20"/>
        </w:rPr>
      </w:pPr>
    </w:p>
    <w:p w14:paraId="658D0575" w14:textId="77777777">
      <w:pPr>
        <w:pStyle w:val="P68B1DB1-P68B1DB1-Normal147"/>
        <w:widowControl w:val="0"/>
        <w:autoSpaceDE w:val="0"/>
        <w:autoSpaceDN w:val="0"/>
        <w:spacing w:after="0" w:line="240" w:lineRule="auto"/>
        <w:ind w:left="567"/>
        <w:jc w:val="both"/>
        <w:rPr>
          <w:i/>
          <w:iCs/>
          <w:sz w:val="20"/>
          <w:szCs w:val="18"/>
        </w:rPr>
      </w:pPr>
      <w:r>
        <w:t xml:space="preserve">”30. Såsom det har erinrats om i punkt 20 i denna dom avses med en ”teknisk specifikation”, i enlighet med artikel 1.1 i direktivet, en ”teknisk specifikation” som ingår i ett dokument som anger de egenskaper som krävs av en produkt eller dess framställningsmetoder och -förfaranden.</w:t>
      </w:r>
    </w:p>
    <w:p w14:paraId="6E173AD5" w14:textId="77777777">
      <w:pPr>
        <w:pStyle w:val="P68B1DB1-Normal14"/>
        <w:widowControl w:val="0"/>
        <w:autoSpaceDE w:val="0"/>
        <w:autoSpaceDN w:val="0"/>
        <w:spacing w:after="0" w:line="240" w:lineRule="auto"/>
        <w:ind w:left="567"/>
        <w:jc w:val="both"/>
        <w:rPr>
          <w:i/>
          <w:iCs/>
          <w:sz w:val="20"/>
          <w:szCs w:val="18"/>
        </w:rPr>
      </w:pPr>
    </w:p>
    <w:p w14:paraId="0C38FBB6" w14:textId="77777777">
      <w:pPr>
        <w:pStyle w:val="P68B1DB1-P68B1DB1-Normal147"/>
        <w:widowControl w:val="0"/>
        <w:autoSpaceDE w:val="0"/>
        <w:autoSpaceDN w:val="0"/>
        <w:spacing w:after="0" w:line="240" w:lineRule="auto"/>
        <w:ind w:left="567"/>
        <w:jc w:val="both"/>
        <w:rPr>
          <w:i/>
          <w:iCs/>
          <w:sz w:val="20"/>
          <w:szCs w:val="18"/>
        </w:rPr>
      </w:pPr>
      <w:r>
        <w:t xml:space="preserve">31. En sådan bestämmelse som den i artikel 2.1 VBZA utgör en teknisk specifikation i den mening som avses i artikel 1.1 i direktivet. Eftersom de exakta och detaljerade reglerna för vaccinering mot Aujeszkys sjukdom är kopplade till produktionen av den berörda jordbruksprodukten i egentlig mening och ska iakttas under hela produktionscykeln, definieras således i denna regel ett ’förfarande’ vid tillverkningen av denna produkt, vilket kommissionen med rätta har gjort gällande. ”</w:t>
      </w:r>
    </w:p>
    <w:p w14:paraId="011D3230" w14:textId="77777777">
      <w:pPr>
        <w:spacing w:after="0" w:line="240" w:lineRule="auto"/>
      </w:pPr>
    </w:p>
    <w:p w14:paraId="581B1056" w14:textId="6342E1F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3" w:history="1">
        <w:r>
          <w:rPr>
            <w:color w:val="0000FF"/>
            <w:u w:val="single"/>
          </w:rPr>
          <w:t xml:space="preserve">Domstolens dom av den 8 mars 2001</w:t>
        </w:r>
      </w:hyperlink>
      <w:r>
        <w:t xml:space="preserve"> i mål C-278/99, Van der Burg, punkt 20.</w:t>
      </w:r>
      <w:bookmarkEnd w:id="29"/>
    </w:p>
    <w:p w14:paraId="214E963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EE5EBFC" w14:textId="4A41B3F9">
      <w:pPr>
        <w:pStyle w:val="P68B1DB1-P68B1DB1-Normal135"/>
        <w:widowControl w:val="0"/>
        <w:tabs>
          <w:tab w:val="left" w:pos="461"/>
        </w:tabs>
        <w:autoSpaceDE w:val="0"/>
        <w:autoSpaceDN w:val="0"/>
        <w:spacing w:after="0" w:line="240" w:lineRule="auto"/>
        <w:jc w:val="both"/>
        <w:rPr>
          <w:b w:val="0"/>
          <w:bCs/>
          <w:i w:val="0"/>
          <w:iCs/>
        </w:rPr>
      </w:pPr>
      <w:r>
        <w:t xml:space="preserve">En förordning som endast förbjuder kommersiell reklam, men som inte fastställer de egenskaper som krävs av en produkt, utgör inte en ”teknisk specifikation” och kan därför inte betraktas som en ”teknisk föreskrift”.</w:t>
      </w:r>
    </w:p>
    <w:p w14:paraId="359B163D" w14:textId="77777777">
      <w:pPr>
        <w:widowControl w:val="0"/>
        <w:tabs>
          <w:tab w:val="left" w:pos="461"/>
        </w:tabs>
        <w:autoSpaceDE w:val="0"/>
        <w:autoSpaceDN w:val="0"/>
        <w:spacing w:after="0" w:line="240" w:lineRule="auto"/>
        <w:jc w:val="both"/>
        <w:rPr>
          <w:rFonts w:ascii="Times New Roman" w:hAnsi="Times New Roman" w:cs="Times New Roman" w:eastAsia="Times New Roman"/>
          <w:szCs w:val="20"/>
        </w:rPr>
      </w:pPr>
    </w:p>
    <w:p w14:paraId="19B0E706" w14:textId="76232F90">
      <w:pPr>
        <w:pStyle w:val="P68B1DB1-P68B1DB1-Normal1710"/>
        <w:widowControl w:val="0"/>
        <w:tabs>
          <w:tab w:val="left" w:pos="461"/>
        </w:tabs>
        <w:autoSpaceDE w:val="0"/>
        <w:autoSpaceDN w:val="0"/>
        <w:spacing w:after="0" w:line="240" w:lineRule="auto"/>
        <w:ind w:left="567"/>
        <w:jc w:val="both"/>
        <w:rPr>
          <w:i/>
          <w:iCs/>
          <w:sz w:val="20"/>
          <w:szCs w:val="18"/>
        </w:rPr>
      </w:pPr>
      <w:r>
        <w:t xml:space="preserve">”20. Enligt artikel 1.1 i direktiv 83/189 avses med ”teknisk specifikation” i detta direktiv ”en specifikation som ingår i ett dokument som anger de egenskaper som krävs av en produkt”. Tekniska specifikationer i den mening som avses i direktiv 83/189 ska således avse produkten som sådan (se mål C-314/98, Snellers Auto mot Algemeen Directeur van de Dienst Wegverkeer, REG 2000, s. I-0000, punkt 38). En sådan lagstiftning som artikel C.11.1 (1) i dekretet, som endast förbjuder en försäljningsmetod, fastställer emellertid inte de egenskaper som krävs av en produkt. ”</w:t>
      </w:r>
    </w:p>
    <w:p w14:paraId="329B81E2" w14:textId="77777777">
      <w:pPr>
        <w:spacing w:after="0" w:line="240" w:lineRule="auto"/>
      </w:pPr>
    </w:p>
    <w:p w14:paraId="12D2977E" w14:textId="6E30277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4" w:history="1">
        <w:r>
          <w:rPr>
            <w:color w:val="0000FF"/>
            <w:u w:val="single"/>
          </w:rPr>
          <w:t xml:space="preserve">Dom av den 6 juni 2002</w:t>
        </w:r>
      </w:hyperlink>
      <w:r>
        <w:t xml:space="preserve"> i mål C-159/00, Sapod Audic, punkterna 30–33.</w:t>
      </w:r>
      <w:bookmarkEnd w:id="30"/>
    </w:p>
    <w:p w14:paraId="340A6E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4A7B62" w14:textId="77777777">
      <w:pPr>
        <w:pStyle w:val="P68B1DB1-P68B1DB1-Normal135"/>
        <w:widowControl w:val="0"/>
        <w:tabs>
          <w:tab w:val="left" w:pos="443"/>
        </w:tabs>
        <w:autoSpaceDE w:val="0"/>
        <w:autoSpaceDN w:val="0"/>
        <w:spacing w:after="0" w:line="240" w:lineRule="auto"/>
        <w:jc w:val="both"/>
        <w:rPr>
          <w:b w:val="0"/>
          <w:bCs/>
          <w:i w:val="0"/>
          <w:iCs/>
        </w:rPr>
      </w:pPr>
      <w:r>
        <w:t xml:space="preserve">En nationell bestämmelse som föreskriver en skyldighet att identifiera en förpackning utgör en ”teknisk föreskrift” som ska anmälas, i den mån den medför en skyldighet att märka eller märka förpackningen.</w:t>
      </w:r>
    </w:p>
    <w:p w14:paraId="376C1334" w14:textId="77777777">
      <w:pPr>
        <w:widowControl w:val="0"/>
        <w:tabs>
          <w:tab w:val="left" w:pos="443"/>
        </w:tabs>
        <w:autoSpaceDE w:val="0"/>
        <w:autoSpaceDN w:val="0"/>
        <w:spacing w:after="0" w:line="240" w:lineRule="auto"/>
        <w:jc w:val="both"/>
        <w:rPr>
          <w:rFonts w:ascii="Times New Roman" w:hAnsi="Times New Roman" w:cs="Times New Roman" w:eastAsia="Times New Roman"/>
          <w:szCs w:val="20"/>
        </w:rPr>
      </w:pPr>
    </w:p>
    <w:p w14:paraId="482978FF" w14:textId="77777777">
      <w:pPr>
        <w:pStyle w:val="P68B1DB1-P68B1DB1-Normal147"/>
        <w:widowControl w:val="0"/>
        <w:tabs>
          <w:tab w:val="left" w:pos="443"/>
        </w:tabs>
        <w:autoSpaceDE w:val="0"/>
        <w:autoSpaceDN w:val="0"/>
        <w:spacing w:after="0"/>
        <w:ind w:left="567"/>
        <w:jc w:val="both"/>
        <w:rPr>
          <w:i/>
          <w:iCs/>
          <w:sz w:val="20"/>
          <w:szCs w:val="18"/>
        </w:rPr>
      </w:pPr>
      <w:r>
        <w:t xml:space="preserve">”30. Den skyldighet att identifiera förpackningar som föreskrivs i artikel 4 andra stycket i dekret nr 92–377 hänvisar inte nödvändigtvis till produkten eller dess förpackning som sådana, eftersom den inte synes medföra någon skyldighet att märka eller etikettera dessa förpackningar. Vid en sådan tolkning kan denna bestämmelse inte anses fastställa de egenskaper som krävs av en produkt i den mening som avses i artikel 1.1 i direktiv 83/189 och kan därför inte anses utgöra en teknisk specifikation (se bland annat dom av den 2001 mars 2015 i mål C-278/99, Van der Burg, REG 20, s. I-, punkt).</w:t>
      </w:r>
    </w:p>
    <w:p w14:paraId="7A13B6EF" w14:textId="77777777">
      <w:pPr>
        <w:pStyle w:val="P68B1DB1-Normal14"/>
        <w:widowControl w:val="0"/>
        <w:tabs>
          <w:tab w:val="left" w:pos="443"/>
        </w:tabs>
        <w:autoSpaceDE w:val="0"/>
        <w:autoSpaceDN w:val="0"/>
        <w:spacing w:after="0"/>
        <w:ind w:left="567"/>
        <w:jc w:val="both"/>
        <w:rPr>
          <w:i/>
          <w:iCs/>
          <w:sz w:val="20"/>
          <w:szCs w:val="18"/>
        </w:rPr>
      </w:pPr>
    </w:p>
    <w:p w14:paraId="615DE908" w14:textId="77777777">
      <w:pPr>
        <w:pStyle w:val="P68B1DB1-P68B1DB1-Normal147"/>
        <w:widowControl w:val="0"/>
        <w:tabs>
          <w:tab w:val="left" w:pos="443"/>
        </w:tabs>
        <w:autoSpaceDE w:val="0"/>
        <w:autoSpaceDN w:val="0"/>
        <w:spacing w:after="0"/>
        <w:ind w:left="567"/>
        <w:jc w:val="both"/>
        <w:rPr>
          <w:i/>
          <w:iCs/>
          <w:sz w:val="20"/>
          <w:szCs w:val="18"/>
        </w:rPr>
      </w:pPr>
      <w:r>
        <w:t xml:space="preserve">31.Det ska emellertid påpekas att det inom ramen för den kompetensfördelning som föreskrivs i artikel 234 EG ankommer på den nationella domstolen att tolka den nationella rätten, i förevarande fall artikel 4 andra stycket i dekret nr 92–377.</w:t>
      </w:r>
    </w:p>
    <w:p w14:paraId="6AC1BBA2" w14:textId="77777777">
      <w:pPr>
        <w:pStyle w:val="P68B1DB1-Normal14"/>
        <w:widowControl w:val="0"/>
        <w:tabs>
          <w:tab w:val="left" w:pos="443"/>
        </w:tabs>
        <w:autoSpaceDE w:val="0"/>
        <w:autoSpaceDN w:val="0"/>
        <w:spacing w:after="0"/>
        <w:ind w:left="567"/>
        <w:jc w:val="both"/>
        <w:rPr>
          <w:i/>
          <w:iCs/>
          <w:sz w:val="20"/>
          <w:szCs w:val="18"/>
        </w:rPr>
      </w:pPr>
    </w:p>
    <w:p w14:paraId="25482CFD" w14:textId="77777777">
      <w:pPr>
        <w:pStyle w:val="P68B1DB1-P68B1DB1-Normal147"/>
        <w:widowControl w:val="0"/>
        <w:tabs>
          <w:tab w:val="left" w:pos="443"/>
        </w:tabs>
        <w:autoSpaceDE w:val="0"/>
        <w:autoSpaceDN w:val="0"/>
        <w:spacing w:after="0"/>
        <w:ind w:left="567"/>
        <w:jc w:val="both"/>
        <w:rPr>
          <w:i/>
          <w:iCs/>
          <w:sz w:val="20"/>
          <w:szCs w:val="18"/>
        </w:rPr>
      </w:pPr>
      <w:r>
        <w:t xml:space="preserve">32. Det ska följaktligen även beaktas det fall att den nationella domstolen, mot bakgrund av samtliga faktiska och rättsliga omständigheter som domstolen har att bedöma, kommer fram till slutsatsen att artikel 4 andra stycket i dekret nr 92–377 ska tolkas så, att den föreskriver en märknings- eller etiketteringsskyldighet för tillverkarna även om den inte preciserar vilket märke som ska anbringas.</w:t>
      </w:r>
    </w:p>
    <w:p w14:paraId="5CF2B868" w14:textId="77777777">
      <w:pPr>
        <w:pStyle w:val="P68B1DB1-Normal14"/>
        <w:widowControl w:val="0"/>
        <w:tabs>
          <w:tab w:val="left" w:pos="443"/>
        </w:tabs>
        <w:autoSpaceDE w:val="0"/>
        <w:autoSpaceDN w:val="0"/>
        <w:spacing w:after="0"/>
        <w:ind w:left="567"/>
        <w:jc w:val="both"/>
        <w:rPr>
          <w:i/>
          <w:iCs/>
          <w:sz w:val="20"/>
          <w:szCs w:val="18"/>
        </w:rPr>
      </w:pPr>
    </w:p>
    <w:p w14:paraId="66994718" w14:textId="77777777">
      <w:pPr>
        <w:pStyle w:val="P68B1DB1-P68B1DB1-Normal147"/>
        <w:widowControl w:val="0"/>
        <w:tabs>
          <w:tab w:val="left" w:pos="443"/>
        </w:tabs>
        <w:autoSpaceDE w:val="0"/>
        <w:autoSpaceDN w:val="0"/>
        <w:spacing w:after="0"/>
        <w:ind w:left="567"/>
        <w:jc w:val="both"/>
        <w:rPr>
          <w:i/>
          <w:iCs/>
          <w:sz w:val="20"/>
          <w:szCs w:val="18"/>
        </w:rPr>
      </w:pPr>
      <w:r>
        <w:t xml:space="preserve">33. I ett sådant fall ska det anses att denna bestämmelse i själva verket utgör en teknisk specifikation i den mening som avses i direktiv 83/189 och att denna bestämmelse följaktligen utgör en teknisk föreskrift, eftersom skyldigheten åläggs genom dekret vid saluföring av förpackade varor inom hela det nationella territoriet. ”</w:t>
      </w:r>
    </w:p>
    <w:p w14:paraId="21495157" w14:textId="77777777">
      <w:pPr>
        <w:spacing w:after="0" w:line="240" w:lineRule="auto"/>
      </w:pPr>
    </w:p>
    <w:p w14:paraId="14C2467B" w14:textId="611D935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5" w:history="1">
        <w:r>
          <w:rPr>
            <w:color w:val="0000FF"/>
            <w:u w:val="single"/>
          </w:rPr>
          <w:t xml:space="preserve">Dom av den 8 september 2005</w:t>
        </w:r>
      </w:hyperlink>
      <w:r>
        <w:t xml:space="preserve"> i mål C-500/03, kommissionen mot Portugal, punkt 30.</w:t>
      </w:r>
      <w:bookmarkEnd w:id="31"/>
    </w:p>
    <w:p w14:paraId="7C16A84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90F33F6" w14:textId="06F84E73">
      <w:pPr>
        <w:spacing w:after="0" w:line="240" w:lineRule="auto"/>
        <w:jc w:val="both"/>
        <w:rPr>
          <w:rFonts w:ascii="Times New Roman" w:hAnsi="Times New Roman" w:cs="Times New Roman" w:eastAsia="Times New Roman"/>
          <w:szCs w:val="20"/>
        </w:rPr>
        <w:pStyle w:val="P68B1DB1-Normal14"/>
      </w:pPr>
      <w:r>
        <w:t xml:space="preserve">En regel som fastställer en maximal längd och höjd för fritidsbåtar och begränsar dess framdrivning är en ”teknisk specifikation”.</w:t>
      </w:r>
    </w:p>
    <w:p w14:paraId="37494660" w14:textId="77777777">
      <w:pPr>
        <w:spacing w:after="0" w:line="240" w:lineRule="auto"/>
        <w:jc w:val="both"/>
        <w:rPr>
          <w:rFonts w:ascii="Times New Roman" w:hAnsi="Times New Roman" w:cs="Times New Roman" w:eastAsia="Times New Roman"/>
          <w:szCs w:val="20"/>
        </w:rPr>
      </w:pPr>
    </w:p>
    <w:p w14:paraId="75D4A043" w14:textId="5A44D1CA">
      <w:pPr>
        <w:widowControl w:val="0"/>
        <w:tabs>
          <w:tab w:val="left" w:pos="467"/>
        </w:tabs>
        <w:autoSpaceDE w:val="0"/>
        <w:autoSpaceDN w:val="0"/>
        <w:spacing w:after="0" w:line="240" w:lineRule="auto"/>
        <w:ind w:left="567"/>
        <w:jc w:val="both"/>
        <w:rPr>
          <w:rFonts w:ascii="Times New Roman" w:hAnsi="Times New Roman" w:cs="Times New Roman" w:eastAsia="Times New Roman"/>
          <w:sz w:val="20"/>
          <w:szCs w:val="18"/>
        </w:rPr>
        <w:pStyle w:val="P68B1DB1-Normal11"/>
      </w:pPr>
      <w:r>
        <w:t xml:space="preserve">(Eftersom domen endast finns tillgänglig på franska och portugisiska är följande text en översättning.)</w:t>
      </w:r>
    </w:p>
    <w:p w14:paraId="3C41A5EA" w14:textId="77777777">
      <w:pPr>
        <w:spacing w:after="0" w:line="240" w:lineRule="auto"/>
        <w:jc w:val="both"/>
        <w:rPr>
          <w:rFonts w:ascii="Times New Roman" w:hAnsi="Times New Roman" w:cs="Times New Roman" w:eastAsia="Times New Roman"/>
          <w:sz w:val="20"/>
          <w:szCs w:val="18"/>
        </w:rPr>
      </w:pPr>
    </w:p>
    <w:p w14:paraId="4AAF6423" w14:textId="3EE48C51">
      <w:pPr>
        <w:spacing w:after="0" w:line="240" w:lineRule="auto"/>
        <w:ind w:left="567"/>
        <w:jc w:val="both"/>
        <w:rPr>
          <w:i/>
          <w:iCs/>
          <w:sz w:val="20"/>
          <w:szCs w:val="20"/>
        </w:rPr>
        <w:pStyle w:val="P68B1DB1-Normal19"/>
      </w:pPr>
      <w:r>
        <w:t xml:space="preserve">”30. Det framgår av ordalydelsen i artikel 2.1 i denna förordning att den innehåller tekniska specifikationer, i den mening som avses i artikel 1.3 i direktiv 98/34, vilka utgör tekniska föreskrifter i den mening som avses i detta direktiv. Kraven i denna förordning avser maximal längd och höjd samt begränsning av framdrivningskraften för fritidsbåtar som används för sjöfart. Dessa tekniska begränsningar gäller för alla offentliga vattenlaguner i offentlig tjänst i Portugal, med undantag för Douroflodens. ”</w:t>
      </w:r>
    </w:p>
    <w:p w14:paraId="45A16E94" w14:textId="77777777">
      <w:pPr>
        <w:spacing w:after="0" w:line="240" w:lineRule="auto"/>
      </w:pPr>
    </w:p>
    <w:p w14:paraId="5D1BF1C4" w14:textId="698AC04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6" w:history="1">
        <w:r>
          <w:rPr>
            <w:color w:val="0000FF"/>
            <w:u w:val="single"/>
          </w:rPr>
          <w:t xml:space="preserve">Domstolens dom av den 8 november 2007</w:t>
        </w:r>
      </w:hyperlink>
      <w:r>
        <w:t xml:space="preserve"> i mål C-20/05, Schwibbert, punkterna 35–37.</w:t>
      </w:r>
      <w:bookmarkEnd w:id="32"/>
    </w:p>
    <w:p w14:paraId="1416C9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939BFD9" w14:textId="4D52F64B">
      <w:pPr>
        <w:pStyle w:val="P68B1DB1-P68B1DB1-Normal135"/>
        <w:widowControl w:val="0"/>
        <w:tabs>
          <w:tab w:val="left" w:pos="429"/>
        </w:tabs>
        <w:autoSpaceDE w:val="0"/>
        <w:autoSpaceDN w:val="0"/>
        <w:spacing w:after="0" w:line="240" w:lineRule="auto"/>
        <w:jc w:val="both"/>
        <w:rPr>
          <w:b w:val="0"/>
          <w:bCs/>
          <w:i w:val="0"/>
          <w:iCs/>
        </w:rPr>
      </w:pPr>
      <w:r>
        <w:t xml:space="preserve">Nationella bestämmelser som inför en skyldighet att anbringa ett särskiljande märke på produkter för saluföring i en medlemsstat utgör en ”teknisk specifikation”, eftersom det rör sig om krav på märkning och etikettering av produkter.</w:t>
      </w:r>
    </w:p>
    <w:p w14:paraId="4781C797" w14:textId="77777777">
      <w:pPr>
        <w:widowControl w:val="0"/>
        <w:tabs>
          <w:tab w:val="left" w:pos="429"/>
        </w:tabs>
        <w:autoSpaceDE w:val="0"/>
        <w:autoSpaceDN w:val="0"/>
        <w:spacing w:after="0" w:line="240" w:lineRule="auto"/>
        <w:jc w:val="both"/>
        <w:rPr>
          <w:rFonts w:ascii="Times New Roman" w:hAnsi="Times New Roman" w:cs="Times New Roman" w:eastAsia="Times New Roman"/>
          <w:szCs w:val="20"/>
        </w:rPr>
      </w:pPr>
    </w:p>
    <w:p w14:paraId="58D2CAF0" w14:textId="38AC6134">
      <w:pPr>
        <w:pStyle w:val="P68B1DB1-Normal15"/>
        <w:widowControl w:val="0"/>
        <w:tabs>
          <w:tab w:val="left" w:pos="429"/>
        </w:tabs>
        <w:autoSpaceDE w:val="0"/>
        <w:autoSpaceDN w:val="0"/>
        <w:spacing w:after="0" w:line="240" w:lineRule="auto"/>
        <w:ind w:left="567"/>
        <w:jc w:val="both"/>
        <w:rPr>
          <w:i w:val="0"/>
          <w:iCs/>
        </w:rPr>
      </w:pPr>
      <w:r>
        <w:t xml:space="preserve">”35. Såsom domstolen har slagit fast förutsätter begreppet teknisk specifikation att den nationella bestämmelsen avser produkten eller dess förpackning som sådan och således anger en av de egenskaper som krävs av en produkt (se, för ett liknande resonemang, dom av den 2001 mars 2015 i mål C-278/99, van der Burg, REG 20, s. I-, punkt; Mål C-390/99, Canal Satélite Digital, REG 2002, s. I-607, punkt 45; samt domarna i de ovannämnda målen Sapod Audic, punkt 30, och Lindberg, punkt 57).</w:t>
      </w:r>
    </w:p>
    <w:p w14:paraId="29C04649" w14:textId="77777777">
      <w:pPr>
        <w:pStyle w:val="P68B1DB1-Normal15"/>
        <w:widowControl w:val="0"/>
        <w:tabs>
          <w:tab w:val="left" w:pos="429"/>
        </w:tabs>
        <w:autoSpaceDE w:val="0"/>
        <w:autoSpaceDN w:val="0"/>
        <w:spacing w:after="0" w:line="240" w:lineRule="auto"/>
        <w:ind w:left="567"/>
        <w:jc w:val="both"/>
        <w:rPr>
          <w:i w:val="0"/>
          <w:iCs/>
        </w:rPr>
      </w:pPr>
    </w:p>
    <w:p w14:paraId="505523FA" w14:textId="38C71B2C">
      <w:pPr>
        <w:pStyle w:val="P68B1DB1-Normal15"/>
        <w:widowControl w:val="0"/>
        <w:tabs>
          <w:tab w:val="left" w:pos="429"/>
        </w:tabs>
        <w:autoSpaceDE w:val="0"/>
        <w:autoSpaceDN w:val="0"/>
        <w:spacing w:after="0" w:line="240" w:lineRule="auto"/>
        <w:ind w:left="567"/>
        <w:jc w:val="both"/>
        <w:rPr>
          <w:i w:val="0"/>
          <w:iCs/>
        </w:rPr>
      </w:pPr>
      <w:r>
        <w:t xml:space="preserve">36. Domstolen konstaterar i förevarande fall, liksom generaladvokaten gjorde i punkterna 46 och 48 i sitt förslag till avgörande, att SIAE-märket, vars syfte är att informera konsumenter och nationella myndigheter om att kopiorna i fråga är lagenliga, ska anbringas direkt på det medium som innehåller det intellektuella verket, alltså på själva produkten. Società Italiana degli Autori ed Editori och den italienska regeringen har således fel i sina påståenden att detta märke enbart avser det intellektuella verket.</w:t>
      </w:r>
    </w:p>
    <w:p w14:paraId="6D521645" w14:textId="77777777">
      <w:pPr>
        <w:pStyle w:val="P68B1DB1-Normal15"/>
        <w:widowControl w:val="0"/>
        <w:tabs>
          <w:tab w:val="left" w:pos="429"/>
        </w:tabs>
        <w:autoSpaceDE w:val="0"/>
        <w:autoSpaceDN w:val="0"/>
        <w:spacing w:after="0" w:line="240" w:lineRule="auto"/>
        <w:ind w:left="567"/>
        <w:jc w:val="both"/>
        <w:rPr>
          <w:i w:val="0"/>
          <w:iCs/>
        </w:rPr>
      </w:pPr>
    </w:p>
    <w:p w14:paraId="012D36DA" w14:textId="1659A5D5">
      <w:pPr>
        <w:pStyle w:val="P68B1DB1-Normal15"/>
        <w:widowControl w:val="0"/>
        <w:tabs>
          <w:tab w:val="left" w:pos="429"/>
        </w:tabs>
        <w:autoSpaceDE w:val="0"/>
        <w:autoSpaceDN w:val="0"/>
        <w:spacing w:after="0" w:line="240" w:lineRule="auto"/>
        <w:ind w:left="567"/>
        <w:jc w:val="both"/>
      </w:pPr>
      <w:r>
        <w:t xml:space="preserve">37. Ett sådant särskiljande kännetecken utgör en ”teknisk specifikation” i den mening som avses i artikel 1.3 i direktiv 98/34, eftersom det omfattas av de krav som ställs på de berörda produkterna vad gäller märkning eller etikettering. Eftersom det är rättsligt obligatoriskt att följa denna specifikation vid saluföring av dessa produkter, utgör specifikationen således en ’teknisk föreskrift’ i den mening som avses i artikel 1.11 i direktivet (se, för ett liknande resonemang, dom av den 1997 mars 1753 i mål C-13/96, Bic Benelux, REG 23, s. I-, punkt). ”</w:t>
      </w:r>
    </w:p>
    <w:p w14:paraId="3E9DFE52" w14:textId="77777777">
      <w:pPr>
        <w:pStyle w:val="P68B1DB1-Normal15"/>
        <w:widowControl w:val="0"/>
        <w:tabs>
          <w:tab w:val="left" w:pos="429"/>
        </w:tabs>
        <w:autoSpaceDE w:val="0"/>
        <w:autoSpaceDN w:val="0"/>
        <w:spacing w:after="0" w:line="240" w:lineRule="auto"/>
        <w:ind w:left="567"/>
        <w:jc w:val="both"/>
      </w:pPr>
    </w:p>
    <w:p w14:paraId="4E326150" w14:textId="1B9A65A2">
      <w:pPr>
        <w:widowControl w:val="0"/>
        <w:autoSpaceDE w:val="0"/>
        <w:autoSpaceDN w:val="0"/>
        <w:spacing w:after="0" w:line="240" w:lineRule="auto"/>
        <w:jc w:val="both"/>
        <w:rPr>
          <w:rFonts w:ascii="Times New Roman" w:hAnsi="Times New Roman" w:cs="Times New Roman" w:eastAsia="Times New Roman"/>
          <w:b/>
          <w:i/>
          <w:szCs w:val="20"/>
        </w:rPr>
        <w:pStyle w:val="P68B1DB1-Normal13"/>
      </w:pPr>
      <w:hyperlink r:id="rId27" w:history="1">
        <w:r>
          <w:rPr>
            <w:color w:val="0000FF"/>
            <w:u w:val="single"/>
          </w:rPr>
          <w:t xml:space="preserve">Dom av den 14 april 2011</w:t>
        </w:r>
      </w:hyperlink>
      <w:r>
        <w:t xml:space="preserve"> i de förenade målen C-42/10, C-45/10 och C-57/10, Vlaamse Dierenartsenvereniging och Janssens, punkterna 68–70.</w:t>
      </w:r>
    </w:p>
    <w:p w14:paraId="7DCC10FA"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18B43BA3" w14:textId="6DE800EE">
      <w:pPr>
        <w:pStyle w:val="P68B1DB1-P68B1DB1-Normal135"/>
        <w:widowControl w:val="0"/>
        <w:tabs>
          <w:tab w:val="left" w:pos="431"/>
        </w:tabs>
        <w:autoSpaceDE w:val="0"/>
        <w:autoSpaceDN w:val="0"/>
        <w:spacing w:after="0" w:line="240" w:lineRule="auto"/>
        <w:jc w:val="both"/>
        <w:rPr>
          <w:b w:val="0"/>
          <w:bCs/>
          <w:i w:val="0"/>
          <w:iCs/>
        </w:rPr>
      </w:pPr>
      <w:r>
        <w:t xml:space="preserve">Direktivet är inte tillämpligt på pass för sällskapsdjur som inte kan klassificeras som ”produkter” eftersom de inte kan bli föremål för handelstransaktioner. Nationella bestämmelser om pass för sällskapsdjur är därför ingen ”teknisk specifikation” som måste meddelas kommissionen.</w:t>
      </w:r>
    </w:p>
    <w:p w14:paraId="55609695"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757DBF12" w14:textId="28188743">
      <w:pPr>
        <w:pStyle w:val="P68B1DB1-P68B1DB1-Normal147"/>
        <w:widowControl w:val="0"/>
        <w:tabs>
          <w:tab w:val="left" w:pos="403"/>
        </w:tabs>
        <w:autoSpaceDE w:val="0"/>
        <w:autoSpaceDN w:val="0"/>
        <w:spacing w:after="0" w:line="240" w:lineRule="auto"/>
        <w:ind w:left="567"/>
        <w:jc w:val="both"/>
        <w:rPr>
          <w:i/>
          <w:sz w:val="20"/>
          <w:szCs w:val="18"/>
        </w:rPr>
      </w:pPr>
      <w:r>
        <w:t xml:space="preserve">”68. [...] domstolen har haft tillfälle att påpeka att endast produkter som kan värderas i pengar och som som sådana kan bli föremål för handelstransaktioner omfattas av den fria rörligheten för varor (se, för ett liknande resonemang, bland annat dom av den 1968 juni 617 i mål 7/68, kommissionen mot Italien, REG 626, s. 2006, och av den 10341 juni 23 i mål C-65/05, kommissionen mot Grekland, REG 25, s. I-, punkterna –).</w:t>
      </w:r>
    </w:p>
    <w:p w14:paraId="741819C9" w14:textId="77777777">
      <w:pPr>
        <w:pStyle w:val="P68B1DB1-Normal14"/>
        <w:widowControl w:val="0"/>
        <w:tabs>
          <w:tab w:val="left" w:pos="403"/>
        </w:tabs>
        <w:autoSpaceDE w:val="0"/>
        <w:autoSpaceDN w:val="0"/>
        <w:spacing w:after="0" w:line="240" w:lineRule="auto"/>
        <w:ind w:left="567"/>
        <w:jc w:val="both"/>
        <w:rPr>
          <w:i/>
          <w:sz w:val="20"/>
          <w:szCs w:val="18"/>
        </w:rPr>
      </w:pPr>
    </w:p>
    <w:p w14:paraId="5BA224C9" w14:textId="68AC5503">
      <w:pPr>
        <w:pStyle w:val="P68B1DB1-P68B1DB1-Normal147"/>
        <w:widowControl w:val="0"/>
        <w:tabs>
          <w:tab w:val="left" w:pos="403"/>
        </w:tabs>
        <w:autoSpaceDE w:val="0"/>
        <w:autoSpaceDN w:val="0"/>
        <w:spacing w:after="0" w:line="240" w:lineRule="auto"/>
        <w:ind w:left="567"/>
        <w:jc w:val="both"/>
        <w:rPr>
          <w:i/>
          <w:sz w:val="20"/>
          <w:szCs w:val="18"/>
        </w:rPr>
      </w:pPr>
      <w:r>
        <w:t xml:space="preserve">69. Det är emellertid fastslaget att pass för sällskapsdjur inte i sig kan vara föremål för kommersiella transaktioner när de har försetts med ett unikt nummer och avser ett särskilt djur.</w:t>
      </w:r>
    </w:p>
    <w:p w14:paraId="766A1B18" w14:textId="77777777">
      <w:pPr>
        <w:pStyle w:val="P68B1DB1-Normal14"/>
        <w:widowControl w:val="0"/>
        <w:tabs>
          <w:tab w:val="left" w:pos="403"/>
        </w:tabs>
        <w:autoSpaceDE w:val="0"/>
        <w:autoSpaceDN w:val="0"/>
        <w:spacing w:after="0" w:line="240" w:lineRule="auto"/>
        <w:ind w:left="567"/>
        <w:jc w:val="both"/>
        <w:rPr>
          <w:i/>
          <w:sz w:val="20"/>
          <w:szCs w:val="18"/>
        </w:rPr>
      </w:pPr>
    </w:p>
    <w:p w14:paraId="5F9E4D05" w14:textId="4BF6B0DF">
      <w:pPr>
        <w:pStyle w:val="P68B1DB1-P68B1DB1-Normal147"/>
        <w:widowControl w:val="0"/>
        <w:tabs>
          <w:tab w:val="left" w:pos="403"/>
        </w:tabs>
        <w:autoSpaceDE w:val="0"/>
        <w:autoSpaceDN w:val="0"/>
        <w:spacing w:after="0" w:line="240" w:lineRule="auto"/>
        <w:ind w:left="567"/>
        <w:jc w:val="both"/>
        <w:rPr>
          <w:i/>
          <w:sz w:val="20"/>
          <w:szCs w:val="18"/>
        </w:rPr>
      </w:pPr>
      <w:r>
        <w:t xml:space="preserve">70. Dessa pass kan således inte kvalificeras som ”produkter” i den mening som avses i domstolens praxis. direktiv 98/34 kan inte heller tillämpas på dem. Sådana specifikationer som de som finns i den belgiska lagstiftning som är i fråga i målet vid den nationella domstolen kan följaktligen inte kvalificeras som tekniska specifikationer som enligt artikel 8 i direktivet ska meddelas kommissionen i förväg och, i annat fall, inte ska tillämpas av den nationella domstolen (se, för ett liknande resonemang, dom av den 2007 mars 9447 i mål C-20/05, Schwibbert, REG 33, s. I-44, punkterna och och där angiven rättspraxis). ”</w:t>
      </w:r>
    </w:p>
    <w:p w14:paraId="56FDA8D5" w14:textId="77777777">
      <w:pPr>
        <w:spacing w:after="0" w:line="240" w:lineRule="auto"/>
      </w:pPr>
    </w:p>
    <w:p w14:paraId="5C42E26C" w14:textId="7797D2A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8" w:history="1">
        <w:r>
          <w:rPr>
            <w:color w:val="0000FF"/>
            <w:u w:val="single"/>
          </w:rPr>
          <w:t xml:space="preserve">Dom av den 9 juni 2011</w:t>
        </w:r>
      </w:hyperlink>
      <w:r>
        <w:t xml:space="preserve"> i mål C-361/10, Intercommunale Intermosane och Fédération de l’industrie et du gaz, punkterna 14–18</w:t>
      </w:r>
      <w:bookmarkEnd w:id="33"/>
    </w:p>
    <w:p w14:paraId="0CF52A6B"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346914E7" w14:textId="1F11C7F6">
      <w:pPr>
        <w:pStyle w:val="P68B1DB1-P68B1DB1-Normal135"/>
        <w:widowControl w:val="0"/>
        <w:autoSpaceDE w:val="0"/>
        <w:autoSpaceDN w:val="0"/>
        <w:spacing w:after="0" w:line="240" w:lineRule="auto"/>
        <w:jc w:val="both"/>
        <w:rPr>
          <w:b w:val="0"/>
          <w:bCs/>
          <w:i w:val="0"/>
          <w:iCs/>
        </w:rPr>
      </w:pPr>
      <w:r>
        <w:t xml:space="preserve">Nationella bestämmelser om minimikrav för uppförande av elektriska installationer och arbetstagarnas säkerhet utgör inte ”tekniska specifikationer” eftersom de fastställer allmänna säkerhets- och skyddsmål utan att direkt hänvisa till en produkt eller dess förpackning och utan att definiera dess egenskaper. </w:t>
      </w:r>
    </w:p>
    <w:p w14:paraId="3E53A714"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3D76D8" w14:textId="3110737E">
      <w:pPr>
        <w:pStyle w:val="P68B1DB1-P68B1DB1-Normal147"/>
        <w:widowControl w:val="0"/>
        <w:autoSpaceDE w:val="0"/>
        <w:autoSpaceDN w:val="0"/>
        <w:spacing w:after="0" w:line="240" w:lineRule="auto"/>
        <w:ind w:left="567"/>
        <w:jc w:val="both"/>
        <w:rPr>
          <w:i/>
          <w:iCs/>
          <w:sz w:val="20"/>
          <w:szCs w:val="18"/>
        </w:rPr>
      </w:pPr>
      <w:r>
        <w:t xml:space="preserve">”14. [...] det ska prövas huruvida de nationella bestämmelser som är aktuella i det nationella målet omfattas av den första kategorin av tekniska föreskrifter i artikel 1.11 i direktiv 98/34, det vill säga begreppet ”teknisk specifikation”.</w:t>
      </w:r>
    </w:p>
    <w:p w14:paraId="13050860" w14:textId="77777777">
      <w:pPr>
        <w:pStyle w:val="P68B1DB1-Normal14"/>
        <w:widowControl w:val="0"/>
        <w:autoSpaceDE w:val="0"/>
        <w:autoSpaceDN w:val="0"/>
        <w:spacing w:after="0" w:line="240" w:lineRule="auto"/>
        <w:ind w:left="567"/>
        <w:jc w:val="both"/>
        <w:rPr>
          <w:i/>
          <w:iCs/>
          <w:sz w:val="20"/>
          <w:szCs w:val="18"/>
        </w:rPr>
      </w:pPr>
    </w:p>
    <w:p w14:paraId="431EFE6D" w14:textId="5A6B8906">
      <w:pPr>
        <w:pStyle w:val="P68B1DB1-P68B1DB1-Normal147"/>
        <w:widowControl w:val="0"/>
        <w:autoSpaceDE w:val="0"/>
        <w:autoSpaceDN w:val="0"/>
        <w:spacing w:after="0" w:line="240" w:lineRule="auto"/>
        <w:ind w:left="567"/>
        <w:jc w:val="both"/>
        <w:rPr>
          <w:i/>
          <w:iCs/>
          <w:sz w:val="20"/>
          <w:szCs w:val="18"/>
        </w:rPr>
      </w:pPr>
      <w:r>
        <w:t xml:space="preserve">15. Det framgår av rättspraxis att detta begrepp, som definieras i artikel 1.3 i direktivet, förutsätter att den nationella bestämmelsen nödvändigtvis avser produkten eller dess förpackning som sådan och således fastställer en av de egenskaper som krävs av en produkt (se domen i det ovannämnda målet Schwibbert, punkt 35 och där angiven rättspraxis).</w:t>
      </w:r>
    </w:p>
    <w:p w14:paraId="1713743E" w14:textId="77777777">
      <w:pPr>
        <w:pStyle w:val="P68B1DB1-Normal14"/>
        <w:widowControl w:val="0"/>
        <w:autoSpaceDE w:val="0"/>
        <w:autoSpaceDN w:val="0"/>
        <w:spacing w:after="0" w:line="240" w:lineRule="auto"/>
        <w:ind w:left="567"/>
        <w:jc w:val="both"/>
        <w:rPr>
          <w:i/>
          <w:iCs/>
          <w:sz w:val="20"/>
          <w:szCs w:val="18"/>
        </w:rPr>
      </w:pPr>
    </w:p>
    <w:p w14:paraId="605F1D6D" w14:textId="72688735">
      <w:pPr>
        <w:pStyle w:val="P68B1DB1-P68B1DB1-Normal147"/>
        <w:widowControl w:val="0"/>
        <w:autoSpaceDE w:val="0"/>
        <w:autoSpaceDN w:val="0"/>
        <w:spacing w:after="0" w:line="240" w:lineRule="auto"/>
        <w:ind w:left="567"/>
        <w:jc w:val="both"/>
        <w:rPr>
          <w:i/>
          <w:iCs/>
          <w:sz w:val="20"/>
          <w:szCs w:val="18"/>
        </w:rPr>
      </w:pPr>
      <w:r>
        <w:t xml:space="preserve">16. Avsikten med de minimikrav för utförandet av vissa elektriska installationer som föreskrivs i de här aktuella bestämmelserna är att garantera att sådana installationer är säkra i syfte att skydda de arbetstagare som använder installationerna.</w:t>
      </w:r>
    </w:p>
    <w:p w14:paraId="3BF8D390" w14:textId="77777777">
      <w:pPr>
        <w:pStyle w:val="P68B1DB1-Normal14"/>
        <w:widowControl w:val="0"/>
        <w:autoSpaceDE w:val="0"/>
        <w:autoSpaceDN w:val="0"/>
        <w:spacing w:after="0" w:line="240" w:lineRule="auto"/>
        <w:ind w:left="567"/>
        <w:jc w:val="both"/>
        <w:rPr>
          <w:i/>
          <w:iCs/>
          <w:sz w:val="20"/>
          <w:szCs w:val="18"/>
        </w:rPr>
      </w:pPr>
    </w:p>
    <w:p w14:paraId="53D9038B" w14:textId="44B3180B">
      <w:pPr>
        <w:pStyle w:val="P68B1DB1-P68B1DB1-Normal147"/>
        <w:widowControl w:val="0"/>
        <w:autoSpaceDE w:val="0"/>
        <w:autoSpaceDN w:val="0"/>
        <w:spacing w:after="0" w:line="240" w:lineRule="auto"/>
        <w:ind w:left="567"/>
        <w:jc w:val="both"/>
        <w:rPr>
          <w:i/>
          <w:iCs/>
          <w:sz w:val="20"/>
          <w:szCs w:val="18"/>
        </w:rPr>
      </w:pPr>
      <w:r>
        <w:t xml:space="preserve">17. Dessa minimikrav innebär emellertid allmänna krav och mål i fråga om säkerhet och skydd, men avser inte nödvändigtvis produkten eller dess förpackning som sådan och medför således inte att produktens egenskaper fastställs.</w:t>
      </w:r>
    </w:p>
    <w:p w14:paraId="4769C93B" w14:textId="77777777">
      <w:pPr>
        <w:pStyle w:val="P68B1DB1-Normal14"/>
        <w:widowControl w:val="0"/>
        <w:autoSpaceDE w:val="0"/>
        <w:autoSpaceDN w:val="0"/>
        <w:spacing w:after="0" w:line="240" w:lineRule="auto"/>
        <w:ind w:left="567"/>
        <w:jc w:val="both"/>
        <w:rPr>
          <w:i/>
          <w:iCs/>
          <w:sz w:val="20"/>
          <w:szCs w:val="18"/>
        </w:rPr>
      </w:pPr>
    </w:p>
    <w:p w14:paraId="4059BF30" w14:textId="7521DC11">
      <w:pPr>
        <w:pStyle w:val="P68B1DB1-P68B1DB1-Normal147"/>
        <w:widowControl w:val="0"/>
        <w:autoSpaceDE w:val="0"/>
        <w:autoSpaceDN w:val="0"/>
        <w:spacing w:after="0" w:line="240" w:lineRule="auto"/>
        <w:ind w:left="567"/>
        <w:jc w:val="both"/>
        <w:rPr>
          <w:bCs/>
          <w:i/>
          <w:iCs/>
          <w:sz w:val="20"/>
          <w:szCs w:val="18"/>
        </w:rPr>
      </w:pPr>
      <w:r>
        <w:t xml:space="preserve">18. Följaktligen innehåller de nationella bestämmelser som är i fråga i målet vid den nationella domstolen inte några tekniska specifikationer i den mening som avses i direktiv 98/34. ”</w:t>
      </w:r>
    </w:p>
    <w:p w14:paraId="4E087DB6"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36CB90D3" w14:textId="0830F120">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9" w:history="1">
        <w:r>
          <w:rPr>
            <w:color w:val="0000FF"/>
            <w:u w:val="single"/>
          </w:rPr>
          <w:t xml:space="preserve">Dom av den 19 juli 2012</w:t>
        </w:r>
      </w:hyperlink>
      <w:r>
        <w:t xml:space="preserve"> i de förenade målen C-213/11, C-214/11 och C-217/11, Fortuna m.fl., punkterna 28–30.</w:t>
      </w:r>
      <w:bookmarkEnd w:id="34"/>
    </w:p>
    <w:p w14:paraId="3A7FC31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26C64C2" w14:textId="77777777">
      <w:pPr>
        <w:pStyle w:val="P68B1DB1-P68B1DB1-Normal135"/>
        <w:widowControl w:val="0"/>
        <w:tabs>
          <w:tab w:val="left" w:pos="451"/>
        </w:tabs>
        <w:autoSpaceDE w:val="0"/>
        <w:autoSpaceDN w:val="0"/>
        <w:spacing w:after="0" w:line="240" w:lineRule="auto"/>
        <w:jc w:val="both"/>
        <w:rPr>
          <w:b w:val="0"/>
          <w:bCs/>
          <w:i w:val="0"/>
          <w:iCs/>
        </w:rPr>
      </w:pPr>
      <w:r>
        <w:t xml:space="preserve">Nationella bestämmelser som begränsar driften av billiga spelautomater utanför kasinon är inte ”tekniska föreskrifter” eftersom de inte hänvisar till egenskaperna hos spelautomater eller deras förpackning.</w:t>
      </w:r>
    </w:p>
    <w:p w14:paraId="236235AE"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18"/>
          <w:szCs w:val="14"/>
        </w:rPr>
      </w:pPr>
    </w:p>
    <w:p w14:paraId="09B20777" w14:textId="6018D3B7">
      <w:pPr>
        <w:pStyle w:val="P68B1DB1-P68B1DB1-Normal147"/>
        <w:widowControl w:val="0"/>
        <w:autoSpaceDE w:val="0"/>
        <w:autoSpaceDN w:val="0"/>
        <w:spacing w:after="0" w:line="240" w:lineRule="auto"/>
        <w:ind w:left="567"/>
        <w:jc w:val="both"/>
        <w:rPr>
          <w:i/>
          <w:iCs/>
          <w:sz w:val="20"/>
          <w:szCs w:val="18"/>
        </w:rPr>
      </w:pPr>
      <w:r>
        <w:t xml:space="preserve">”28. [...] för att en nationell åtgärd ska omfattas av den första kategorin av tekniska föreskrifter som avses i artikel 1.11 i direktiv 98/34, det vill säga begreppet ”teknisk specifikation”, måste denna åtgärd med nödvändighet avse produkten eller dess förpackning som sådan och således fastställa en av de egenskaper som krävs för en produkt (se domen i det ovannämnda målet Intercommunale Intermosane och Fédération de l’industrie et du gaz, punkt 15).</w:t>
      </w:r>
    </w:p>
    <w:p w14:paraId="0DD51D00" w14:textId="77777777">
      <w:pPr>
        <w:pStyle w:val="P68B1DB1-Normal14"/>
        <w:widowControl w:val="0"/>
        <w:autoSpaceDE w:val="0"/>
        <w:autoSpaceDN w:val="0"/>
        <w:spacing w:after="0" w:line="240" w:lineRule="auto"/>
        <w:ind w:left="567"/>
        <w:jc w:val="both"/>
        <w:rPr>
          <w:i/>
          <w:iCs/>
          <w:sz w:val="20"/>
          <w:szCs w:val="18"/>
        </w:rPr>
      </w:pPr>
    </w:p>
    <w:p w14:paraId="43C64864" w14:textId="4E72B44D">
      <w:pPr>
        <w:pStyle w:val="P68B1DB1-P68B1DB1-Normal147"/>
        <w:widowControl w:val="0"/>
        <w:autoSpaceDE w:val="0"/>
        <w:autoSpaceDN w:val="0"/>
        <w:spacing w:after="0" w:line="240" w:lineRule="auto"/>
        <w:ind w:left="567"/>
        <w:jc w:val="both"/>
        <w:rPr>
          <w:i/>
          <w:iCs/>
          <w:sz w:val="20"/>
          <w:szCs w:val="18"/>
        </w:rPr>
      </w:pPr>
      <w:r>
        <w:t xml:space="preserve">29. Det är emellertid tillräckligt att konstatera att övergångsbestämmelserna till lagen om hasardspel avser tillstånd att bedriva verksamhet med automatspel med låga vinster. De avser inte spelautomater för spel med låga vinster eller dessas förpackning som sådana och innebär följaktligen inte att dessas egenskaper fastställs.</w:t>
      </w:r>
    </w:p>
    <w:p w14:paraId="28D3F16E" w14:textId="77777777">
      <w:pPr>
        <w:pStyle w:val="P68B1DB1-Normal14"/>
        <w:widowControl w:val="0"/>
        <w:autoSpaceDE w:val="0"/>
        <w:autoSpaceDN w:val="0"/>
        <w:spacing w:after="0" w:line="240" w:lineRule="auto"/>
        <w:ind w:left="567"/>
        <w:jc w:val="both"/>
        <w:rPr>
          <w:i/>
          <w:iCs/>
          <w:sz w:val="20"/>
          <w:szCs w:val="18"/>
        </w:rPr>
      </w:pPr>
    </w:p>
    <w:p w14:paraId="65E1DF47" w14:textId="1076F250">
      <w:pPr>
        <w:pStyle w:val="P68B1DB1-P68B1DB1-Normal147"/>
        <w:widowControl w:val="0"/>
        <w:autoSpaceDE w:val="0"/>
        <w:autoSpaceDN w:val="0"/>
        <w:spacing w:after="0" w:line="240" w:lineRule="auto"/>
        <w:ind w:left="567"/>
        <w:jc w:val="both"/>
        <w:rPr>
          <w:bCs/>
          <w:i/>
          <w:iCs/>
          <w:sz w:val="20"/>
          <w:szCs w:val="18"/>
        </w:rPr>
      </w:pPr>
      <w:r>
        <w:t xml:space="preserve">30. Följaktligen innehåller de nationella bestämmelser som är i fråga i målet vid den nationella domstolen inte några tekniska specifikationer i den mening som avses i direktiv 98/34. ”</w:t>
      </w:r>
    </w:p>
    <w:p w14:paraId="253F8A3A"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11A687F9" w14:textId="7673430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0" w:history="1">
        <w:r>
          <w:rPr>
            <w:b/>
            <w:i/>
            <w:color w:val="0000FF"/>
            <w:u w:val="single"/>
          </w:rPr>
          <w:t xml:space="preserve">Dom av den 10 juli 2014</w:t>
        </w:r>
      </w:hyperlink>
      <w:r>
        <w:rPr>
          <w:sz w:val="25"/>
        </w:rPr>
        <w:t xml:space="preserve">i mål</w:t>
      </w:r>
      <w:r>
        <w:rPr>
          <w:b/>
          <w:i/>
        </w:rPr>
        <w:t xml:space="preserve"> C-307/13</w:t>
      </w:r>
      <w:r>
        <w:rPr>
          <w:b/>
          <w:i/>
        </w:rPr>
        <w:t xml:space="preserve">, Ivansson m.fl.</w:t>
      </w:r>
      <w:r>
        <w:rPr>
          <w:b/>
          <w:i/>
        </w:rPr>
        <w:t xml:space="preserve">, punkterna 19–23</w:t>
      </w:r>
      <w:bookmarkEnd w:id="35"/>
    </w:p>
    <w:p w14:paraId="3CBB181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9768B7" w14:textId="77777777">
      <w:pPr>
        <w:pStyle w:val="P68B1DB1-P68B1DB1-Normal135"/>
        <w:widowControl w:val="0"/>
        <w:tabs>
          <w:tab w:val="left" w:pos="396"/>
          <w:tab w:val="left" w:pos="407"/>
        </w:tabs>
        <w:autoSpaceDE w:val="0"/>
        <w:autoSpaceDN w:val="0"/>
        <w:spacing w:after="0" w:line="240" w:lineRule="auto"/>
        <w:jc w:val="both"/>
        <w:rPr>
          <w:b w:val="0"/>
          <w:bCs/>
          <w:i w:val="0"/>
          <w:iCs/>
        </w:rPr>
      </w:pPr>
      <w:r>
        <w:t xml:space="preserve">En regel som fastställer ett allmänt mål om bekvämlighet hos fjäderfä och uppfödningsanläggningarnas kvalitet är inte en ”teknisk specifikation” eftersom den inte fastställer produktens egenskaper och inte är tillräckligt exakt för att definiera en produktionsmetod. </w:t>
      </w:r>
    </w:p>
    <w:p w14:paraId="7B99302F"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EDA7715" w14:textId="0C493BF1">
      <w:pPr>
        <w:pStyle w:val="P68B1DB1-P68B1DB1-Normal147"/>
        <w:widowControl w:val="0"/>
        <w:autoSpaceDE w:val="0"/>
        <w:autoSpaceDN w:val="0"/>
        <w:spacing w:after="0" w:line="240" w:lineRule="auto"/>
        <w:ind w:left="567"/>
        <w:jc w:val="both"/>
        <w:rPr>
          <w:i/>
          <w:iCs/>
          <w:sz w:val="20"/>
          <w:szCs w:val="18"/>
        </w:rPr>
      </w:pPr>
      <w:r>
        <w:t xml:space="preserve">”19. Enligt rättspraxis förutsätter begreppet [teknisk specifikation] att den nationella bestämmelsen nödvändigtvis avser produkten eller dess förpackning som sådan och således fastställer en av de egenskaper som krävs för en produkt (se, för ett liknande resonemang, domen Fortuna m.fl., punkt 28).</w:t>
      </w:r>
    </w:p>
    <w:p w14:paraId="5E172BC8" w14:textId="77777777">
      <w:pPr>
        <w:pStyle w:val="P68B1DB1-Normal14"/>
        <w:widowControl w:val="0"/>
        <w:autoSpaceDE w:val="0"/>
        <w:autoSpaceDN w:val="0"/>
        <w:spacing w:after="0" w:line="240" w:lineRule="auto"/>
        <w:ind w:left="567"/>
        <w:jc w:val="both"/>
        <w:rPr>
          <w:i/>
          <w:iCs/>
          <w:sz w:val="20"/>
          <w:szCs w:val="18"/>
        </w:rPr>
      </w:pPr>
    </w:p>
    <w:p w14:paraId="39F7789D" w14:textId="31D50226">
      <w:pPr>
        <w:pStyle w:val="P68B1DB1-P68B1DB1-Normal147"/>
        <w:widowControl w:val="0"/>
        <w:autoSpaceDE w:val="0"/>
        <w:autoSpaceDN w:val="0"/>
        <w:spacing w:after="0" w:line="240" w:lineRule="auto"/>
        <w:ind w:left="567"/>
        <w:jc w:val="both"/>
        <w:rPr>
          <w:i/>
          <w:iCs/>
          <w:sz w:val="20"/>
          <w:szCs w:val="18"/>
        </w:rPr>
      </w:pPr>
      <w:r>
        <w:t xml:space="preserve">20. När det gäller jordbruksprodukter har domstolen dessutom slagit fast att en teknisk specifikation ingår i ett dokument som anger de egenskaper som krävs av en produkt eller dess framställningsmetoder och -förfaranden (se, för ett liknande resonemang, dom Donkersteeg, C-37/99, Dubli, punkt 30).</w:t>
      </w:r>
    </w:p>
    <w:p w14:paraId="65DAFA85" w14:textId="77777777">
      <w:pPr>
        <w:pStyle w:val="P68B1DB1-Normal14"/>
        <w:widowControl w:val="0"/>
        <w:autoSpaceDE w:val="0"/>
        <w:autoSpaceDN w:val="0"/>
        <w:spacing w:after="0" w:line="240" w:lineRule="auto"/>
        <w:ind w:left="567"/>
        <w:jc w:val="both"/>
        <w:rPr>
          <w:i/>
          <w:iCs/>
          <w:sz w:val="20"/>
          <w:szCs w:val="18"/>
        </w:rPr>
      </w:pPr>
    </w:p>
    <w:p w14:paraId="1CC9B834" w14:textId="7551980C">
      <w:pPr>
        <w:pStyle w:val="P68B1DB1-P68B1DB1-Normal147"/>
        <w:widowControl w:val="0"/>
        <w:autoSpaceDE w:val="0"/>
        <w:autoSpaceDN w:val="0"/>
        <w:spacing w:after="0" w:line="240" w:lineRule="auto"/>
        <w:ind w:left="567"/>
        <w:jc w:val="both"/>
        <w:rPr>
          <w:i/>
          <w:iCs/>
          <w:sz w:val="20"/>
          <w:szCs w:val="18"/>
        </w:rPr>
      </w:pPr>
      <w:r>
        <w:t xml:space="preserve">21. Även om 9 § djurskyddsförordningen rör komforten i och kvaliteten på den infrastruktur som används för att hålla höns för äggproduktion, det vill säga de inredda burarna, fastställer denna bestämmelse, såsom den polska regeringen har påpekat, emellertid inte de egenskaper som de aktuella produkterna ska uppvisa.</w:t>
      </w:r>
    </w:p>
    <w:p w14:paraId="01AC6E59" w14:textId="77777777">
      <w:pPr>
        <w:pStyle w:val="P68B1DB1-Normal14"/>
        <w:widowControl w:val="0"/>
        <w:autoSpaceDE w:val="0"/>
        <w:autoSpaceDN w:val="0"/>
        <w:spacing w:after="0" w:line="240" w:lineRule="auto"/>
        <w:ind w:left="567"/>
        <w:jc w:val="both"/>
        <w:rPr>
          <w:i/>
          <w:iCs/>
          <w:sz w:val="20"/>
          <w:szCs w:val="18"/>
        </w:rPr>
      </w:pPr>
    </w:p>
    <w:p w14:paraId="4F11FC6F" w14:textId="24A20F05">
      <w:pPr>
        <w:pStyle w:val="P68B1DB1-P68B1DB1-Normal147"/>
        <w:widowControl w:val="0"/>
        <w:autoSpaceDE w:val="0"/>
        <w:autoSpaceDN w:val="0"/>
        <w:spacing w:after="0" w:line="240" w:lineRule="auto"/>
        <w:ind w:left="567"/>
        <w:jc w:val="both"/>
        <w:rPr>
          <w:i/>
          <w:iCs/>
          <w:sz w:val="20"/>
          <w:szCs w:val="18"/>
        </w:rPr>
      </w:pPr>
      <w:r>
        <w:t xml:space="preserve">22. Det skulle visserligen kunna anses att denna bestämmelse avser en produktionsmetod på grund av att den, såsom angetts i föregående punkt, rör hållande av höns för äggproduktion i inredda burar. Domstolen finner dock att kravet i denna bestämmelse på reden, sittpinnar och sandbad i denna infrastruktur är allmänt hållet och att bestämmelsen inte specifikt fastställer de olika aspekterna av detta inhysningssystem. 9 § djurskyddsförordningen innehåller nämligen inga uppgifter om, till exempel, de inredda burarnas dimensioner, antal, temperatur och underhåll eller om hur burarna fungerar vad gäller antalet ljustimmar som hönsen har tillgång till. Där anges heller ingenting om utrustning för utfordring eller tillförsel av dricksvatten. Eftersom 9 § djurskyddsförordningen inte innehåller några preciserade krav, kan den inte anses fastställa en produktionsmetod eller en produktionsprocess.</w:t>
      </w:r>
    </w:p>
    <w:p w14:paraId="000E1FB3" w14:textId="77777777">
      <w:pPr>
        <w:pStyle w:val="P68B1DB1-Normal14"/>
        <w:widowControl w:val="0"/>
        <w:autoSpaceDE w:val="0"/>
        <w:autoSpaceDN w:val="0"/>
        <w:spacing w:after="0" w:line="240" w:lineRule="auto"/>
        <w:ind w:left="567"/>
        <w:jc w:val="both"/>
        <w:rPr>
          <w:i/>
          <w:iCs/>
          <w:sz w:val="20"/>
          <w:szCs w:val="18"/>
        </w:rPr>
      </w:pPr>
    </w:p>
    <w:p w14:paraId="38E2B353" w14:textId="549AB11B">
      <w:pPr>
        <w:pStyle w:val="P68B1DB1-P68B1DB1-Normal147"/>
        <w:widowControl w:val="0"/>
        <w:autoSpaceDE w:val="0"/>
        <w:autoSpaceDN w:val="0"/>
        <w:spacing w:after="0" w:line="240" w:lineRule="auto"/>
        <w:ind w:left="567"/>
        <w:jc w:val="both"/>
        <w:rPr>
          <w:i/>
          <w:iCs/>
          <w:sz w:val="20"/>
          <w:szCs w:val="18"/>
        </w:rPr>
      </w:pPr>
      <w:r>
        <w:t xml:space="preserve">23. Det ska vidare påpekas att genom att det i 9 § första stycket DSF anges att ”inhysningssystemet ska vara sådant att dödligheten och beteendestörningarna hos hönsen hålls på en låg nivå”, utan att någon annan uppgift anges, anges i 17 § första stycket DSF endast allmänna mål avseende hönsens välbefinnande för äggproduktion, utan att nödvändigtvis hänvisa till den berörda produkten och således utan att fastställa produktens egenskaper (se, analogt, dom Intercommunale Intermosane och Fédération de l’Industrie et du gaz, C-361/10, Dubli, punkt). ”</w:t>
      </w:r>
    </w:p>
    <w:p w14:paraId="6C0651D1" w14:textId="77777777">
      <w:pPr>
        <w:pStyle w:val="P68B1DB1-Normal14"/>
        <w:widowControl w:val="0"/>
        <w:autoSpaceDE w:val="0"/>
        <w:autoSpaceDN w:val="0"/>
        <w:spacing w:after="0" w:line="240" w:lineRule="auto"/>
        <w:ind w:left="567"/>
        <w:jc w:val="both"/>
      </w:pPr>
    </w:p>
    <w:p w14:paraId="497D9E29" w14:textId="02A14E4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1" w:history="1">
        <w:r>
          <w:rPr>
            <w:color w:val="0000FF"/>
            <w:u w:val="single"/>
          </w:rPr>
          <w:t xml:space="preserve">Domstolens dom av den 27 oktober 2016</w:t>
        </w:r>
      </w:hyperlink>
      <w:r>
        <w:t xml:space="preserve"> i mål C-613/14, James Elliott Construction, punkt 67.</w:t>
      </w:r>
      <w:bookmarkEnd w:id="36"/>
    </w:p>
    <w:p w14:paraId="73295FA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46DAC4" w14:textId="10617266">
      <w:pPr>
        <w:pStyle w:val="P68B1DB1-P68B1DB1-Normal135"/>
        <w:widowControl w:val="0"/>
        <w:tabs>
          <w:tab w:val="left" w:pos="430"/>
        </w:tabs>
        <w:autoSpaceDE w:val="0"/>
        <w:autoSpaceDN w:val="0"/>
        <w:spacing w:after="0" w:line="240" w:lineRule="auto"/>
        <w:jc w:val="both"/>
        <w:rPr>
          <w:b w:val="0"/>
          <w:bCs/>
          <w:i w:val="0"/>
          <w:iCs/>
        </w:rPr>
      </w:pPr>
      <w:r>
        <w:t xml:space="preserve">Nationella bestämmelser som innehåller implicita avtalsvillkor om kvaliteten på sålda produkter utgör inte ”tekniska specifikationer”, eftersom de inte definierar den berörda produktens egenskaper.</w:t>
      </w:r>
    </w:p>
    <w:p w14:paraId="6818C835" w14:textId="77777777">
      <w:pPr>
        <w:pStyle w:val="P68B1DB1-Normal14"/>
        <w:widowControl w:val="0"/>
        <w:tabs>
          <w:tab w:val="left" w:pos="430"/>
        </w:tabs>
        <w:autoSpaceDE w:val="0"/>
        <w:autoSpaceDN w:val="0"/>
        <w:spacing w:after="0" w:line="240" w:lineRule="auto"/>
        <w:jc w:val="both"/>
        <w:rPr>
          <w:i/>
          <w:iCs/>
          <w:sz w:val="20"/>
          <w:szCs w:val="18"/>
        </w:rPr>
      </w:pPr>
    </w:p>
    <w:p w14:paraId="63638539" w14:textId="7DA96F1E">
      <w:pPr>
        <w:pStyle w:val="P68B1DB1-P68B1DB1-Normal147"/>
        <w:widowControl w:val="0"/>
        <w:tabs>
          <w:tab w:val="left" w:pos="430"/>
        </w:tabs>
        <w:autoSpaceDE w:val="0"/>
        <w:autoSpaceDN w:val="0"/>
        <w:spacing w:after="0" w:line="240" w:lineRule="auto"/>
        <w:ind w:left="567"/>
        <w:jc w:val="both"/>
        <w:rPr>
          <w:i/>
          <w:iCs/>
          <w:sz w:val="20"/>
          <w:szCs w:val="18"/>
        </w:rPr>
      </w:pPr>
      <w:r>
        <w:t>”</w:t>
      </w:r>
      <w:bookmarkStart w:id="37" w:name="point67"/>
      <w:r>
        <w:t>67</w:t>
      </w:r>
      <w:bookmarkEnd w:id="37"/>
      <w:r>
        <w:t xml:space="preserve">. I förevarande fall framgår det för det första att sådana bestämmelser som de som är aktuella i det nationella målet, antingen i sig eller såsom de har tolkats av de irländska domstolarna, inte omfattas av begreppet ”teknisk specifikation” i den mening som avses i artikel 1.3 i direktiv 98/34. Detta begrepp omfattar endast nationella åtgärder som avser en produkt eller dess förpackning som sådan och som således fastställer en av de egenskaper som krävs av en vara (dom av den 10 juli 2014, Ivansson m.fl.</w:t>
        <w:noBreakHyphen/>
        <w:t xml:space="preserve">, C 307/13, punkt 19 och där angiven rättspraxis). Så är uppenbarligen inte fallet med ett krav som, om inte parterna har kommit överens om något annat, generellt gäller för försäljning av alla produkter. ”</w:t>
      </w:r>
    </w:p>
    <w:p w14:paraId="7BFACEDE" w14:textId="77777777">
      <w:pPr>
        <w:spacing w:after="0" w:line="240" w:lineRule="auto"/>
      </w:pPr>
    </w:p>
    <w:p w14:paraId="5FDF21D1" w14:textId="0085E99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2" w:history="1">
        <w:r>
          <w:rPr>
            <w:color w:val="0000FF"/>
            <w:u w:val="single"/>
          </w:rPr>
          <w:t xml:space="preserve">Domstolens dom av den 1 februari 2017</w:t>
        </w:r>
      </w:hyperlink>
      <w:r>
        <w:t xml:space="preserve"> i mål C-144/16, Município de Palmela, punkt 30.</w:t>
      </w:r>
      <w:bookmarkEnd w:id="38"/>
    </w:p>
    <w:p w14:paraId="0E2142D8" w14:textId="77777777">
      <w:pPr>
        <w:widowControl w:val="0"/>
        <w:tabs>
          <w:tab w:val="left" w:pos="396"/>
          <w:tab w:val="left" w:pos="435"/>
        </w:tabs>
        <w:autoSpaceDE w:val="0"/>
        <w:autoSpaceDN w:val="0"/>
        <w:spacing w:after="0" w:line="240" w:lineRule="auto"/>
        <w:jc w:val="both"/>
        <w:rPr>
          <w:rFonts w:ascii="Times New Roman" w:hAnsi="Times New Roman" w:cs="Times New Roman" w:eastAsia="Times New Roman"/>
          <w:szCs w:val="20"/>
        </w:rPr>
      </w:pPr>
    </w:p>
    <w:p w14:paraId="2D0E0BDF" w14:textId="77777777">
      <w:pPr>
        <w:pStyle w:val="P68B1DB1-P68B1DB1-Normal135"/>
        <w:widowControl w:val="0"/>
        <w:tabs>
          <w:tab w:val="left" w:pos="396"/>
          <w:tab w:val="left" w:pos="399"/>
        </w:tabs>
        <w:autoSpaceDE w:val="0"/>
        <w:autoSpaceDN w:val="0"/>
        <w:spacing w:after="0" w:line="240" w:lineRule="auto"/>
        <w:jc w:val="both"/>
        <w:rPr>
          <w:b w:val="0"/>
          <w:bCs/>
          <w:i w:val="0"/>
          <w:iCs/>
        </w:rPr>
      </w:pPr>
      <w:r>
        <w:t xml:space="preserve">En förordning enligt vilken det i ett fritidsområde krävs information om den maximala kapaciteten i detta område utgör inte en ”teknisk specifikation”, eftersom den inte fastställer en produkts egenskaper.</w:t>
      </w:r>
    </w:p>
    <w:p w14:paraId="0EEA34B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49F52DFE" w14:textId="22C34708">
      <w:pPr>
        <w:pStyle w:val="P68B1DB1-P68B1DB1-Normal147"/>
        <w:widowControl w:val="0"/>
        <w:autoSpaceDE w:val="0"/>
        <w:autoSpaceDN w:val="0"/>
        <w:spacing w:after="0" w:line="240" w:lineRule="auto"/>
        <w:ind w:left="567"/>
        <w:jc w:val="both"/>
        <w:rPr>
          <w:i/>
          <w:iCs/>
          <w:sz w:val="20"/>
          <w:szCs w:val="18"/>
        </w:rPr>
      </w:pPr>
      <w:r>
        <w:t xml:space="preserve">”30. [...] en sådan bestämmelse omfattas inte av kategorin tekniska specifikationer i den mening som avses i artikel 1.3 i direktiv 98/34, eftersom det är ostridigt att de bestämmelser i vilka krav och allmänna mål avseende säkerhet och skydd fastställs, utan att nödvändigtvis hänvisa till den berörda produkten eller dess förpackning som sådan och således utan att ange produktens egenskaper, inte utgör tekniska specifikationer (se, för ett liknande resonemang, dom av den 9 juni 2011, Intercommunale Intermosane och Fédération de l’industrie et du gaz, C-361/10, punkterna 17 och 18). ”</w:t>
      </w:r>
    </w:p>
    <w:p w14:paraId="5DF2371F" w14:textId="77777777">
      <w:pPr>
        <w:spacing w:after="0" w:line="240" w:lineRule="auto"/>
      </w:pPr>
    </w:p>
    <w:p w14:paraId="303995E7" w14:textId="23CEFD0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3" w:history="1">
        <w:r>
          <w:rPr>
            <w:color w:val="0000FF"/>
            <w:u w:val="single"/>
          </w:rPr>
          <w:t xml:space="preserve">Dom av den 26 september 2018</w:t>
        </w:r>
      </w:hyperlink>
      <w:r>
        <w:t xml:space="preserve"> i mål C-137/17, Van Gennip m.fl., punkt 38.</w:t>
      </w:r>
      <w:bookmarkEnd w:id="39"/>
    </w:p>
    <w:p w14:paraId="2C38792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8C12BA" w14:textId="71921C3D">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Nationella bestämmelser enligt vilka saluföringen av produkter är beroende av att köparen innehar ett godkännande omfattas inte av begreppet ”teknisk specifikation”, eftersom de inte definierar egenskaperna hos själva produkten eller dess förpackning.</w:t>
      </w:r>
    </w:p>
    <w:p w14:paraId="51B72955" w14:textId="77777777">
      <w:pPr>
        <w:widowControl w:val="0"/>
        <w:tabs>
          <w:tab w:val="left" w:pos="404"/>
        </w:tabs>
        <w:autoSpaceDE w:val="0"/>
        <w:autoSpaceDN w:val="0"/>
        <w:spacing w:after="0" w:line="240" w:lineRule="auto"/>
        <w:jc w:val="both"/>
        <w:rPr>
          <w:rFonts w:ascii="Times New Roman" w:hAnsi="Times New Roman" w:cs="Times New Roman" w:eastAsia="Times New Roman"/>
          <w:sz w:val="20"/>
          <w:szCs w:val="18"/>
        </w:rPr>
      </w:pPr>
    </w:p>
    <w:p w14:paraId="7AB991D2" w14:textId="4B88FB97">
      <w:pPr>
        <w:pStyle w:val="P68B1DB1-P68B1DB1-Normal147"/>
        <w:widowControl w:val="0"/>
        <w:tabs>
          <w:tab w:val="left" w:pos="404"/>
        </w:tabs>
        <w:autoSpaceDE w:val="0"/>
        <w:autoSpaceDN w:val="0"/>
        <w:spacing w:after="0" w:line="240" w:lineRule="auto"/>
        <w:ind w:left="567"/>
        <w:jc w:val="both"/>
        <w:rPr>
          <w:i/>
          <w:iCs/>
          <w:sz w:val="20"/>
          <w:szCs w:val="18"/>
        </w:rPr>
      </w:pPr>
      <w:r>
        <w:t>”</w:t>
      </w:r>
      <w:bookmarkStart w:id="40" w:name="point38"/>
      <w:r>
        <w:t>38</w:t>
      </w:r>
      <w:bookmarkEnd w:id="40"/>
      <w:r>
        <w:t xml:space="preserve">. Vad för det första gäller begreppet ”teknisk specifikation”, ska det erinras om att detta begrepp förutsätter att den nationella bestämmelsen nödvändigtvis avser produkten eller dess förpackning som sådan och således fastställer en av de egenskaper som krävs av en produkt, såsom dimensioner, varubeteckning, etikettering eller märkning (dom av den 10 juli 2014, Ivansson m.fl., C 307/13</w:t>
        <w:noBreakHyphen/>
        <w:t xml:space="preserve">, punkt 19 och där angiven rättspraxis). Såsom generaladvokaten har påpekat i punkt 74 i sitt förslag till avgörande avser den belgiska lagstiftningen emellertid inte de pyrotekniska artiklarna eller deras förpackning som sådana, vilket innebär att denna lagstiftning inte fastställer någon av de egenskaper som en produkt måste ha. Denna lagstiftning utgör således inte en ’teknisk specifikation’ i den mening som avses i artikel 1.3 i direktiv 98/34. ”</w:t>
      </w:r>
    </w:p>
    <w:p w14:paraId="3C1C0D5D" w14:textId="77777777">
      <w:pPr>
        <w:spacing w:after="0" w:line="240" w:lineRule="auto"/>
      </w:pPr>
    </w:p>
    <w:p w14:paraId="1B398E2A" w14:textId="0E921DB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4" w:anchor="ctx1" w:history="1">
        <w:r>
          <w:rPr>
            <w:color w:val="0000FF"/>
            <w:u w:val="single"/>
          </w:rPr>
          <w:t xml:space="preserve">Dom av den 28 maj 2020</w:t>
        </w:r>
      </w:hyperlink>
      <w:r>
        <w:t xml:space="preserve"> i mål C-727/17, ECO-WIND Construction, punkterna 36 och 37.</w:t>
      </w:r>
      <w:bookmarkEnd w:id="41"/>
    </w:p>
    <w:p w14:paraId="0A0FB1E2" w14:textId="77777777">
      <w:pPr>
        <w:widowControl w:val="0"/>
        <w:autoSpaceDE w:val="0"/>
        <w:autoSpaceDN w:val="0"/>
        <w:spacing w:after="0" w:line="240" w:lineRule="auto"/>
        <w:jc w:val="both"/>
        <w:rPr>
          <w:rFonts w:ascii="Times New Roman" w:hAnsi="Times New Roman" w:cs="Times New Roman" w:eastAsia="Times New Roman"/>
          <w:szCs w:val="20"/>
        </w:rPr>
      </w:pPr>
    </w:p>
    <w:p w14:paraId="1727EFAA" w14:textId="2501EFD3">
      <w:pPr>
        <w:pStyle w:val="P68B1DB1-P68B1DB1-Normal135"/>
        <w:widowControl w:val="0"/>
        <w:autoSpaceDE w:val="0"/>
        <w:autoSpaceDN w:val="0"/>
        <w:spacing w:after="0" w:line="240" w:lineRule="auto"/>
        <w:jc w:val="both"/>
        <w:rPr>
          <w:b w:val="0"/>
          <w:bCs/>
          <w:i w:val="0"/>
          <w:iCs/>
        </w:rPr>
      </w:pPr>
      <w:r>
        <w:t xml:space="preserve">En förordning som föreskriver ett minsta avstånd för installation av vindkraftverk utgör inte en ”teknisk specifikation”, eftersom den inte fastställer produktens egenskaper. </w:t>
      </w:r>
    </w:p>
    <w:p w14:paraId="722207F3" w14:textId="77777777">
      <w:pPr>
        <w:widowControl w:val="0"/>
        <w:autoSpaceDE w:val="0"/>
        <w:autoSpaceDN w:val="0"/>
        <w:spacing w:after="0" w:line="240" w:lineRule="auto"/>
        <w:jc w:val="both"/>
        <w:rPr>
          <w:rFonts w:ascii="Times New Roman" w:hAnsi="Times New Roman" w:cs="Times New Roman" w:eastAsia="Times New Roman"/>
          <w:szCs w:val="20"/>
        </w:rPr>
      </w:pPr>
    </w:p>
    <w:p w14:paraId="1E97E227" w14:textId="71BD8F6B">
      <w:pPr>
        <w:pStyle w:val="P68B1DB1-P68B1DB1-Normal1820"/>
        <w:widowControl w:val="0"/>
        <w:autoSpaceDE w:val="0"/>
        <w:autoSpaceDN w:val="0"/>
        <w:spacing w:after="0" w:line="240" w:lineRule="auto"/>
        <w:ind w:left="567"/>
        <w:jc w:val="both"/>
        <w:rPr>
          <w:sz w:val="18"/>
          <w:szCs w:val="18"/>
        </w:rPr>
      </w:pPr>
      <w:r>
        <w:t xml:space="preserve">”36. [...] när det gäller en eventuell klassificering av samma krav som en teknisk föreskrift på grund av att den omfattas av kategorin ”tekniska specifikationer”, ska det påpekas att en teknisk specifikation förutsätter att den nationella bestämmelse i vilken den föreskrivs hänvisar till produkten eller dess förpackning som sådan och att den således anger en av de egenskaper som krävs för denna produkt (dom av den 21 april 2005, Lindberg, C-267/03, EU:C:57:28, punkt, och dom av den 19 juli 2012, Fortuna m.fl., C-213/11, C-214/11 och C-217/11, Dubli, punkt).</w:t>
      </w:r>
    </w:p>
    <w:p w14:paraId="43CBA2CC" w14:textId="77777777">
      <w:pPr>
        <w:pStyle w:val="P68B1DB1-Normal18"/>
        <w:widowControl w:val="0"/>
        <w:autoSpaceDE w:val="0"/>
        <w:autoSpaceDN w:val="0"/>
        <w:spacing w:after="0" w:line="240" w:lineRule="auto"/>
        <w:ind w:left="567"/>
        <w:jc w:val="both"/>
        <w:rPr>
          <w:sz w:val="18"/>
          <w:szCs w:val="18"/>
        </w:rPr>
      </w:pPr>
    </w:p>
    <w:p w14:paraId="76314186" w14:textId="0AD1E5B8">
      <w:pPr>
        <w:pStyle w:val="P68B1DB1-P68B1DB1-Normal1820"/>
        <w:widowControl w:val="0"/>
        <w:autoSpaceDE w:val="0"/>
        <w:autoSpaceDN w:val="0"/>
        <w:spacing w:after="0" w:line="240" w:lineRule="auto"/>
        <w:ind w:left="567"/>
        <w:jc w:val="both"/>
        <w:rPr>
          <w:iCs/>
          <w:sz w:val="18"/>
          <w:szCs w:val="18"/>
        </w:rPr>
      </w:pPr>
      <w:r>
        <w:t xml:space="preserve">37. I förevarande fall reglerar den lagstiftning som är i fråga i det nationella målet endast uppförandet av vindkraftverken genom att uppställa ett krav på att det vid uppförande av ett vindkraftverk måste iakttas ett visst minsta avstånd. Denna lagstiftning hänvisar följaktligen inte till en produkt som sådan, i förevarande fall vindgeneratorn, och föreskriver således inte någon av de egenskaper som krävs för denna produkt i den mening som avses i artikel 1.1 f i direktiv 2015/1535, jämförd med artikel 1.1 c i samma direktiv. ”</w:t>
      </w:r>
    </w:p>
    <w:p w14:paraId="5AABB494" w14:textId="77777777">
      <w:pPr>
        <w:spacing w:after="0" w:line="240" w:lineRule="auto"/>
      </w:pPr>
    </w:p>
    <w:p w14:paraId="083B7832" w14:textId="56CC78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5" w:history="1">
        <w:r>
          <w:rPr>
            <w:color w:val="0000FF"/>
            <w:u w:val="single"/>
          </w:rPr>
          <w:t xml:space="preserve">Dom av den 22 oktober 2020</w:t>
        </w:r>
      </w:hyperlink>
      <w:r>
        <w:t xml:space="preserve"> i mål C-275/19, Sportingbet och Internet Opportunity Entertainment, punkterna 42 och 43.</w:t>
      </w:r>
      <w:bookmarkEnd w:id="42"/>
    </w:p>
    <w:p w14:paraId="6C7ED54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8C7F634" w14:textId="48937F16">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43" w:name="_Toc198043809"/>
      <w:r>
        <w:t xml:space="preserve">En nationell lagstiftning enligt vilken hasardspelsverksamheten förbehålls staten och enligt vilken tillstånd endast får beviljas offentliga företag är inte en ”teknisk specifikation”, eftersom den inte definierar de egenskaper som krävs av en produkt.</w:t>
      </w:r>
      <w:bookmarkEnd w:id="43"/>
    </w:p>
    <w:p w14:paraId="0A3D0FC5"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6392BB1A" w14:textId="67B2E488">
      <w:pPr>
        <w:pStyle w:val="P68B1DB1-P68B1DB1-Normal147"/>
        <w:widowControl w:val="0"/>
        <w:autoSpaceDE w:val="0"/>
        <w:autoSpaceDN w:val="0"/>
        <w:spacing w:after="0" w:line="240" w:lineRule="auto"/>
        <w:ind w:left="567"/>
        <w:jc w:val="both"/>
        <w:outlineLvl w:val="1"/>
        <w:rPr>
          <w:i/>
          <w:iCs/>
          <w:sz w:val="20"/>
          <w:szCs w:val="18"/>
        </w:rPr>
      </w:pPr>
      <w:bookmarkStart w:id="44" w:name="_Toc198043810"/>
      <w:r>
        <w:t xml:space="preserve">”42. Enligt artikel 1.1 i direktiv 83/189 är en ”teknisk specifikation”, i den mening som avses i detta direktiv, den specifikation som ingår i ett dokument som anger de egenskaper som krävs av en produkt, såsom kvalitetsnivåer, prestanda, säkerhet eller dimensioner, inbegripet de krav som gäller för produkten i fråga om terminologi, symboler, provning och provningsmetoder, förpackning, märkning eller etikettering (se, för ett liknande resonemang, dom av den 8 mars 2001, van der Burg, C-278/99, punkt 20).</w:t>
      </w:r>
      <w:bookmarkEnd w:id="44"/>
    </w:p>
    <w:p w14:paraId="0F20B9AD" w14:textId="77777777">
      <w:pPr>
        <w:pStyle w:val="P68B1DB1-Normal14"/>
        <w:widowControl w:val="0"/>
        <w:autoSpaceDE w:val="0"/>
        <w:autoSpaceDN w:val="0"/>
        <w:spacing w:after="0" w:line="240" w:lineRule="auto"/>
        <w:ind w:left="567"/>
        <w:jc w:val="both"/>
        <w:outlineLvl w:val="1"/>
        <w:rPr>
          <w:i/>
          <w:iCs/>
          <w:sz w:val="20"/>
          <w:szCs w:val="18"/>
        </w:rPr>
      </w:pPr>
    </w:p>
    <w:p w14:paraId="757FE488" w14:textId="2F0812B7">
      <w:pPr>
        <w:pStyle w:val="P68B1DB1-P68B1DB1-Normal147"/>
        <w:widowControl w:val="0"/>
        <w:autoSpaceDE w:val="0"/>
        <w:autoSpaceDN w:val="0"/>
        <w:spacing w:after="0" w:line="240" w:lineRule="auto"/>
        <w:ind w:left="567"/>
        <w:jc w:val="both"/>
        <w:outlineLvl w:val="1"/>
        <w:rPr>
          <w:i/>
          <w:iCs/>
          <w:sz w:val="20"/>
          <w:szCs w:val="18"/>
        </w:rPr>
      </w:pPr>
      <w:bookmarkStart w:id="45" w:name="_Toc198043811"/>
      <w:r>
        <w:t xml:space="preserve">43. Eftersom det i artiklarna 3 och 9 i lagdekret nr 422/89 föreskrivs koncessionsregler för hasard- eller hasardspel och villkoren och områdena för utövandet av denna verksamhet, förefaller dessa bestämmelser inte avse de egenskaper som krävs för en produkt i den mening som avses i artikel 1.1 i direktiv 83/189, vilket innebär att de inte kan kvalificeras som tekniska föreskrifter i den mening som avses i artikel 1.5 i direktivet. ”</w:t>
      </w:r>
      <w:bookmarkEnd w:id="45"/>
    </w:p>
    <w:p w14:paraId="317449EC" w14:textId="20C2AD43">
      <w:pPr>
        <w:spacing w:after="0" w:line="240" w:lineRule="auto"/>
      </w:pPr>
      <w:r>
        <w:br w:type="page"/>
      </w:r>
    </w:p>
    <w:p w14:paraId="5544B741" w14:textId="1E79FEAA">
      <w:pPr>
        <w:pStyle w:val="P68B1DB1-Heading24"/>
        <w:numPr>
          <w:ilvl w:val="0"/>
          <w:numId w:val="35"/>
        </w:numPr>
        <w:spacing w:before="0" w:after="0"/>
        <w:jc w:val="center"/>
        <w:rPr>
          <w:bCs/>
          <w:color w:val="auto"/>
        </w:rPr>
      </w:pPr>
      <w:bookmarkStart w:id="46" w:name="_Ref194484250"/>
      <w:bookmarkStart w:id="47" w:name="_Toc203035668"/>
      <w:r>
        <w:t xml:space="preserve">Övriga krav</w:t>
      </w:r>
      <w:bookmarkEnd w:id="46"/>
      <w:bookmarkEnd w:id="47"/>
    </w:p>
    <w:p w14:paraId="48370E42" w14:textId="77777777">
      <w:pPr>
        <w:pStyle w:val="BodyText"/>
      </w:pPr>
    </w:p>
    <w:p w14:paraId="032AC50F" w14:textId="77777777">
      <w:pPr>
        <w:pStyle w:val="P68B1DB1-BodyText11"/>
        <w:ind w:left="567"/>
        <w:rPr>
          <w:i/>
        </w:rPr>
      </w:pPr>
      <w:r>
        <w:t xml:space="preserve">”andra krav: ett krav, annat än en teknisk specifikation, som ställs på en produkt särskilt i syfte att skydda konsumenterna eller miljön och som påverkar dess livscykel efter det att den har släppts ut på marknaden, såsom villkor för användning, återvinning, återanvändning eller bortskaffande, om sådana villkor på ett betydande sätt kan påverka produktens sammansättning, art eller saluföring.”</w:t>
      </w:r>
    </w:p>
    <w:p w14:paraId="1AD68414" w14:textId="77777777">
      <w:pPr>
        <w:pStyle w:val="BodyText"/>
        <w:ind w:left="567"/>
        <w:rPr>
          <w:i/>
          <w:iCs/>
        </w:rPr>
      </w:pPr>
    </w:p>
    <w:p w14:paraId="3295AC84" w14:textId="258D2B2D">
      <w:pPr>
        <w:pStyle w:val="BodyText"/>
        <w:ind w:left="1440"/>
        <w:jc w:val="right"/>
      </w:pPr>
      <w:r>
        <w:t xml:space="preserve">(Artikel 1.1 d i direktiv (EU) 2015/1535).</w:t>
      </w:r>
    </w:p>
    <w:p w14:paraId="330805BE" w14:textId="77777777">
      <w:pPr>
        <w:spacing w:after="0" w:line="240" w:lineRule="auto"/>
      </w:pPr>
    </w:p>
    <w:p w14:paraId="55D10FEE" w14:textId="55169F6A">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6" w:history="1">
        <w:r>
          <w:rPr>
            <w:color w:val="0000FF"/>
            <w:u w:val="single"/>
          </w:rPr>
          <w:t xml:space="preserve">Dom av den 21 april 2005</w:t>
        </w:r>
      </w:hyperlink>
      <w:r>
        <w:t xml:space="preserve"> i mål C-267/03, Lindberg, punkterna 68–78.</w:t>
      </w:r>
      <w:bookmarkEnd w:id="48"/>
    </w:p>
    <w:p w14:paraId="505D095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3CD77B" w14:textId="14D45A80">
      <w:pPr>
        <w:pStyle w:val="P68B1DB1-P68B1DB1-Normal135"/>
        <w:widowControl w:val="0"/>
        <w:tabs>
          <w:tab w:val="left" w:pos="396"/>
          <w:tab w:val="left" w:pos="425"/>
        </w:tabs>
        <w:autoSpaceDE w:val="0"/>
        <w:autoSpaceDN w:val="0"/>
        <w:spacing w:after="0" w:line="240" w:lineRule="auto"/>
        <w:jc w:val="both"/>
        <w:rPr>
          <w:b w:val="0"/>
          <w:bCs/>
          <w:i w:val="0"/>
          <w:iCs/>
        </w:rPr>
      </w:pPr>
      <w:r>
        <w:t xml:space="preserve">Ett nationellt förbud mot vissa hasardspel kan kvalificeras som ett ”annat krav” om det kan påverka produktens sammansättning, art eller saluföring. Om förbudet emellertid inte lämnar något utrymme för användning av produkten kommer det att beskrivas som en förbudsbestämmelse (se del I, kapitel e. ”Förbudsbestämmelser” i detta dokument).</w:t>
      </w:r>
    </w:p>
    <w:p w14:paraId="652340FB"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1480B8F9" w14:textId="6F01164B">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”68. [...] en sådan nationell åtgärd som det förbud som är i fråga i målet vid den nationella domstolen förefaller särskilt omfattas av begreppet ”andra krav” som införts genom direktiv 94/10 i direktiv 83/189 för att utvidga dess tillämpningsområde och att den därför inte omfattas av kategorin tekniska specifikationer.</w:t>
      </w:r>
    </w:p>
    <w:p w14:paraId="2944EF7E"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69. Det rör sig nämligen om ett krav på en produkt, det vill säga spelautomater, som huvudsakligen ställs av skäl hänförliga till skyddet för konsumenterna, i detta fall de berörda spelarna.</w:t>
      </w:r>
    </w:p>
    <w:p w14:paraId="435FA3FD"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70. Mot denna bakgrund avser ett sådant förbud som det som föreskrivs i de relevanta bestämmelserna i lotterilagen i dess ändrade lydelse användningen av en produkt i den mening som avses i artikel 1.9 i direktiv 83/189.</w:t>
      </w:r>
    </w:p>
    <w:p w14:paraId="25649921"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71. Det krav som är i fråga i målet vid den nationella domstolen ställs inte heller på spelautomater för att de ska släppas ut på marknaden, utan det påverkar deras livscykel efter det att de har släppts ut på marknaden i den mening som avses i definitionen av begreppet annat krav i artikel 1.3 i direktiv 83/189.</w:t>
      </w:r>
    </w:p>
    <w:p w14:paraId="59919AE6"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72. För att ett sådant krav som det förbud mot att använda spelautomater som är i fråga i målet vid den nationella domstolen ska kunna kvalificeras som ”annat krav”, i den mening som avses i artikel 1.3 i direktiv 83/189, krävs att det utgör ett ”villkor” – i detta fall avseende användningen av produkten i fråga – som på ett väsentligt sätt kan påverka produktens sammansättning, natur eller saluföring.</w:t>
      </w:r>
    </w:p>
    <w:p w14:paraId="39B806F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73. Därmed uppkommer emellertid frågan huruvida nämnda förbud ska kvalificeras som ett ”villkor” som rör användningen av produkten i fråga eller om det tvärtom är fråga om en nationell bestämmelse som hör till den tredje kategorin av tekniska föreskrifter, vilken anges i artikel 1.9 i direktiv 83/189, som även den har införts i detta direktiv genom direktiv 94/10, det vill säga den kategori som bland annat avser ”medlemsstaternas lagar... som förbjuder... användning av produkten”.</w:t>
      </w:r>
    </w:p>
    <w:p w14:paraId="0CE71B7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74. Huruvida en sådan nationell bestämmelse som den i målet vid den nationella domstolen ska hänföras till den ena eller den andra av dessa två kategorier av tekniska föreskrifter beror på omfattningen av det förbud som föreskrivs i bestämmelsen.</w:t>
      </w:r>
    </w:p>
    <w:p w14:paraId="6B836853"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75. I detta avseende är det av betydelse att denna tredje kategori av tekniska föreskrifter, som definieras i artikel 1.9 i direktiv 83/189, till skillnad från den andra kategorin, som består av andra krav i den mening som avses i artikel 1.3 i direktiv, inte innehåller villkoret att förbudet i fråga ska vara sådant att det på ett påtagligt sätt påverkar produktens sammansättning, art eller saluföring.</w:t>
      </w:r>
    </w:p>
    <w:p w14:paraId="3F06D727"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76. Denna tredje kategori av tekniska föreskrifter avser förbud mot bland annat användning. Det ska därmed röra sig om bestämmelser vars räckvidd går klart längre än att endast begränsa viss möjlig användning av produkten i fråga och vilka följaktligen inte endast utgör en viss begränsning av produktens användning.</w:t>
      </w:r>
    </w:p>
    <w:p w14:paraId="2801C70C"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77. Såsom generaladvokaten har påpekat i punkt 70 i sitt förslag till avgörande avser denna kategori av tekniska föreskrifter särskilt nationella bestämmelser enligt vilka användning för ändamål som rimligen kan förväntas för produkten i fråga endast medges i rent marginell utsträckning. Det ankommer på den nationella domstolen att pröva huruvida så är fallet beträffande det förbud som följer av den nationella bestämmelse som är i fråga i målet vid den nationella domstolen.</w:t>
      </w:r>
    </w:p>
    <w:p w14:paraId="4E46E41B"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78. Om det efter en sådan prövning visar sig att så inte är fallet i målet vid den nationella domstolen kan den nationella bestämmelsen kvalificeras som ”annat krav”, om det är utrett att iakttagandet av ett sådant krav är rättsligt tvingande vid användning av produkten i den berörda medlemsstaten i den mening som avses i artikel 1.9 i direktiv 83/189. I ett sådant fall ankommer det emellertid även på den hänskjutande domstolen att kontrollera att förbudet i fråga på ett betydande sätt kan påverka produktens sammansättning eller art eller saluföringen av den i den mening som avses i artikel 1.3. ”</w:t>
      </w:r>
    </w:p>
    <w:p w14:paraId="58C5982D" w14:textId="77777777">
      <w:pPr>
        <w:widowControl w:val="0"/>
        <w:autoSpaceDE w:val="0"/>
        <w:autoSpaceDN w:val="0"/>
        <w:spacing w:after="0" w:line="240" w:lineRule="auto"/>
        <w:jc w:val="both"/>
        <w:outlineLvl w:val="1"/>
      </w:pPr>
    </w:p>
    <w:p w14:paraId="2F6BDAC1" w14:textId="2FA8E91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7" w:history="1">
        <w:r>
          <w:rPr>
            <w:color w:val="0000FF"/>
            <w:u w:val="single"/>
          </w:rPr>
          <w:t xml:space="preserve">Dom av den 9 juni 2011</w:t>
        </w:r>
      </w:hyperlink>
      <w:r>
        <w:t xml:space="preserve"> i mål C-361/10, Intercommunale Intermosane och Fédération de l’industrie et du gaz, punkterna 20 och 21</w:t>
      </w:r>
      <w:bookmarkEnd w:id="49"/>
    </w:p>
    <w:p w14:paraId="57B3E0E0"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C6C525" w14:textId="4FA3F43D">
      <w:pPr>
        <w:pStyle w:val="P68B1DB1-P68B1DB1-Normal135"/>
        <w:widowControl w:val="0"/>
        <w:autoSpaceDE w:val="0"/>
        <w:autoSpaceDN w:val="0"/>
        <w:spacing w:after="0" w:line="240" w:lineRule="auto"/>
        <w:jc w:val="both"/>
        <w:rPr>
          <w:b w:val="0"/>
          <w:bCs/>
          <w:i w:val="0"/>
          <w:iCs/>
        </w:rPr>
      </w:pPr>
      <w:r>
        <w:t xml:space="preserve">Nationella bestämmelser som fastställer minimikrav för uppförande av elektriska installationer och arbetstagarnas säkerhet kan inte kvalificeras som ”andra krav”, eftersom deras allmänna karaktär inte gör det möjligt att på ett betydande sätt påverka de berörda produkternas sammansättning, beskaffenhet eller saluföring.</w:t>
      </w:r>
    </w:p>
    <w:p w14:paraId="2685F921" w14:textId="77777777">
      <w:pPr>
        <w:pStyle w:val="P68B1DB1-Normal14"/>
        <w:widowControl w:val="0"/>
        <w:autoSpaceDE w:val="0"/>
        <w:autoSpaceDN w:val="0"/>
        <w:spacing w:after="0" w:line="240" w:lineRule="auto"/>
        <w:ind w:left="567"/>
        <w:jc w:val="both"/>
      </w:pPr>
    </w:p>
    <w:p w14:paraId="7CB334E9" w14:textId="5A4E49E5">
      <w:pPr>
        <w:pStyle w:val="P68B1DB1-P68B1DB1-Normal147"/>
        <w:widowControl w:val="0"/>
        <w:autoSpaceDE w:val="0"/>
        <w:autoSpaceDN w:val="0"/>
        <w:spacing w:after="0" w:line="240" w:lineRule="auto"/>
        <w:ind w:left="567"/>
        <w:jc w:val="both"/>
        <w:rPr>
          <w:i/>
          <w:iCs/>
          <w:sz w:val="20"/>
          <w:szCs w:val="18"/>
        </w:rPr>
      </w:pPr>
      <w:r>
        <w:t xml:space="preserve">”20. Enligt rättspraxis ska de minimikrav som föreskrivs i de omtvistade bestämmelserna, för att kunna kvalificeras som ”andra krav” i den mening som avses i artikel 1.4 i direktiv 98/34, utgöra ”villkor” som på ett betydande sätt kan påverka den berörda produktens sammansättning, art eller saluföring (se, för ett liknande resonemang, domen i det ovannämnda målet Lindberg, punkt 72).</w:t>
      </w:r>
    </w:p>
    <w:p w14:paraId="0201CB41" w14:textId="77777777">
      <w:pPr>
        <w:pStyle w:val="P68B1DB1-Normal14"/>
        <w:widowControl w:val="0"/>
        <w:autoSpaceDE w:val="0"/>
        <w:autoSpaceDN w:val="0"/>
        <w:spacing w:after="0" w:line="240" w:lineRule="auto"/>
        <w:ind w:left="567"/>
        <w:jc w:val="both"/>
        <w:rPr>
          <w:i/>
          <w:iCs/>
          <w:sz w:val="20"/>
          <w:szCs w:val="18"/>
        </w:rPr>
      </w:pPr>
    </w:p>
    <w:p w14:paraId="19DF32CA" w14:textId="1B626E8C">
      <w:pPr>
        <w:pStyle w:val="P68B1DB1-P68B1DB1-Normal147"/>
        <w:widowControl w:val="0"/>
        <w:autoSpaceDE w:val="0"/>
        <w:autoSpaceDN w:val="0"/>
        <w:spacing w:after="0" w:line="240" w:lineRule="auto"/>
        <w:ind w:left="567"/>
        <w:jc w:val="both"/>
        <w:rPr>
          <w:bCs/>
          <w:i/>
          <w:iCs/>
          <w:sz w:val="20"/>
          <w:szCs w:val="18"/>
        </w:rPr>
      </w:pPr>
      <w:r>
        <w:t xml:space="preserve">21. Med hänsyn till att dessa krav är av allmän karaktär kan de inte utgöra sådana villkor och kan följaktligen inte kvalificeras som ’andra krav’ i den mening som avses i artikel 1.4 i direktivet. ”</w:t>
      </w:r>
    </w:p>
    <w:p w14:paraId="22AC2F60" w14:textId="77777777">
      <w:pPr>
        <w:spacing w:after="0" w:line="240" w:lineRule="auto"/>
      </w:pPr>
    </w:p>
    <w:p w14:paraId="42A24500" w14:textId="38331AD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8" w:history="1">
        <w:r>
          <w:rPr>
            <w:color w:val="0000FF"/>
            <w:u w:val="single"/>
          </w:rPr>
          <w:t xml:space="preserve">Dom av den 19 juli 2012</w:t>
        </w:r>
      </w:hyperlink>
      <w:r>
        <w:t xml:space="preserve"> i de förenade målen C-213/11, C-214/11 och C-217/11, Fortuna m.fl., punkterna 35, 36 och 40.</w:t>
      </w:r>
      <w:bookmarkEnd w:id="50"/>
    </w:p>
    <w:p w14:paraId="663DE3A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F531831" w14:textId="1178CA17">
      <w:pPr>
        <w:pStyle w:val="P68B1DB1-P68B1DB1-Normal135"/>
        <w:widowControl w:val="0"/>
        <w:tabs>
          <w:tab w:val="left" w:pos="451"/>
        </w:tabs>
        <w:autoSpaceDE w:val="0"/>
        <w:autoSpaceDN w:val="0"/>
        <w:spacing w:after="0" w:line="240" w:lineRule="auto"/>
        <w:jc w:val="both"/>
        <w:rPr>
          <w:b w:val="0"/>
          <w:bCs/>
          <w:i w:val="0"/>
          <w:iCs/>
        </w:rPr>
      </w:pPr>
      <w:r>
        <w:t xml:space="preserve">Nationella bestämmelser som begränsar driften av spelautomater utanför kasinon kan klassificeras som ”andra krav” och därmed som ”tekniska föreskrifter” om de på ett betydande sätt påverkar de berörda produkternas beskaffenhet eller saluföring. </w:t>
      </w:r>
    </w:p>
    <w:p w14:paraId="61D3F52D"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20"/>
          <w:szCs w:val="16"/>
        </w:rPr>
      </w:pPr>
    </w:p>
    <w:p w14:paraId="1B71B669" w14:textId="30006E3D">
      <w:pPr>
        <w:pStyle w:val="P68B1DB1-P68B1DB1-Normal147"/>
        <w:widowControl w:val="0"/>
        <w:tabs>
          <w:tab w:val="left" w:pos="451"/>
        </w:tabs>
        <w:autoSpaceDE w:val="0"/>
        <w:autoSpaceDN w:val="0"/>
        <w:spacing w:after="0" w:line="240" w:lineRule="auto"/>
        <w:ind w:left="567"/>
        <w:jc w:val="both"/>
        <w:rPr>
          <w:i/>
          <w:sz w:val="20"/>
          <w:szCs w:val="18"/>
        </w:rPr>
      </w:pPr>
      <w:r>
        <w:t xml:space="preserve">”35. [...] domstolen har slagit fast att de nationella åtgärderna i fråga, för att kunna kvalificeras som ”andra krav” i den mening som avses i artikel 1.4 i direktiv 98/34, måste utgöra ”villkor” som på ett betydande sätt kan påverka den berörda produktens sammansättning, art eller saluföring (se, för ett liknande resonemang, domarna i de ovannämnda målen Lindberg, punkt 72, och Intercommunale Intermosane och Fédération de l’industrie et du gaz, punkt 20).</w:t>
      </w:r>
    </w:p>
    <w:p w14:paraId="746FA5AB" w14:textId="77777777">
      <w:pPr>
        <w:pStyle w:val="P68B1DB1-Normal14"/>
        <w:widowControl w:val="0"/>
        <w:tabs>
          <w:tab w:val="left" w:pos="451"/>
        </w:tabs>
        <w:autoSpaceDE w:val="0"/>
        <w:autoSpaceDN w:val="0"/>
        <w:spacing w:after="0" w:line="240" w:lineRule="auto"/>
        <w:ind w:left="567"/>
        <w:jc w:val="both"/>
        <w:rPr>
          <w:i/>
          <w:sz w:val="20"/>
          <w:szCs w:val="18"/>
        </w:rPr>
      </w:pPr>
    </w:p>
    <w:p w14:paraId="7A3394EB" w14:textId="0B6B76F9">
      <w:pPr>
        <w:pStyle w:val="P68B1DB1-P68B1DB1-Normal147"/>
        <w:widowControl w:val="0"/>
        <w:tabs>
          <w:tab w:val="left" w:pos="451"/>
        </w:tabs>
        <w:autoSpaceDE w:val="0"/>
        <w:autoSpaceDN w:val="0"/>
        <w:spacing w:after="0" w:line="240" w:lineRule="auto"/>
        <w:ind w:left="567"/>
        <w:jc w:val="both"/>
        <w:rPr>
          <w:i/>
          <w:sz w:val="20"/>
          <w:szCs w:val="18"/>
        </w:rPr>
      </w:pPr>
      <w:r>
        <w:t xml:space="preserve">36. Övergångsbestämmelserna till lagen om hasardspel innehåller villkor som kan påverka försäljningen av spelautomater med låga vinster. Förbudet mot att utfärda, förlänga eller ändra tillstånd för verksamhet som rör automatspel med låga vinster utanför kasinon kan direkt påverka handeln med spelautomater med låga vinster. ”</w:t>
      </w:r>
    </w:p>
    <w:p w14:paraId="27E4E8B1" w14:textId="77777777">
      <w:pPr>
        <w:widowControl w:val="0"/>
        <w:tabs>
          <w:tab w:val="left" w:pos="451"/>
        </w:tabs>
        <w:autoSpaceDE w:val="0"/>
        <w:autoSpaceDN w:val="0"/>
        <w:spacing w:after="0" w:line="240" w:lineRule="auto"/>
        <w:ind w:left="567"/>
        <w:jc w:val="both"/>
        <w:rPr>
          <w:rFonts w:ascii="Times New Roman" w:hAnsi="Times New Roman" w:cs="Times New Roman" w:eastAsia="Times New Roman"/>
          <w:i/>
          <w:sz w:val="18"/>
          <w:szCs w:val="14"/>
        </w:rPr>
      </w:pPr>
    </w:p>
    <w:p w14:paraId="13BFA8BE" w14:textId="303CF5F4">
      <w:pPr>
        <w:pStyle w:val="P68B1DB1-P68B1DB1-Normal147"/>
        <w:widowControl w:val="0"/>
        <w:tabs>
          <w:tab w:val="left" w:pos="451"/>
        </w:tabs>
        <w:autoSpaceDE w:val="0"/>
        <w:autoSpaceDN w:val="0"/>
        <w:spacing w:after="0" w:line="240" w:lineRule="auto"/>
        <w:ind w:left="567"/>
        <w:jc w:val="both"/>
        <w:rPr>
          <w:i/>
          <w:sz w:val="20"/>
          <w:szCs w:val="18"/>
        </w:rPr>
      </w:pPr>
      <w:r>
        <w:t xml:space="preserve">”40. artikel 1.11 i direktiv 98/34 ska tolkas så, att nationella bestämmelser, såsom de i lagen om hasardspel, som skulle kunna begränsa, eller till och med gradvis omöjliggöra, anordnande av spel på automater med låga vinster, oavsett var andra än i kasinon och spelhallar, kan utgöra ”tekniska föreskrifter”, i den mening som avses i denna bestämmelse, vars utkast ska överlämnas i enlighet med artikel 8.1 första stycket i direktivet, i den mån det är utrett att dessa bestämmelser utgör villkor som på ett betydande sätt kan påverka den berörda produktens art eller saluföring, vilket det ankommer på den hänskjutande domstolen att kontrollera. ”</w:t>
      </w:r>
    </w:p>
    <w:p w14:paraId="3AB93DB7" w14:textId="77777777">
      <w:pPr>
        <w:spacing w:after="0" w:line="240" w:lineRule="auto"/>
      </w:pPr>
    </w:p>
    <w:p w14:paraId="6F817443" w14:textId="50BA543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9" w:history="1">
        <w:r>
          <w:rPr>
            <w:b/>
            <w:i/>
            <w:color w:val="0000FF"/>
            <w:u w:val="single"/>
          </w:rPr>
          <w:t xml:space="preserve">Dom av den 10 juli 2014</w:t>
        </w:r>
      </w:hyperlink>
      <w:r>
        <w:rPr>
          <w:sz w:val="25"/>
        </w:rPr>
        <w:t xml:space="preserve">i mål</w:t>
      </w:r>
      <w:r>
        <w:rPr>
          <w:b/>
          <w:i/>
        </w:rPr>
        <w:t xml:space="preserve"> C-307/13</w:t>
      </w:r>
      <w:r>
        <w:rPr>
          <w:b/>
          <w:i/>
        </w:rPr>
        <w:t xml:space="preserve">, Ivansson m.fl.</w:t>
      </w:r>
      <w:r>
        <w:rPr>
          <w:b/>
          <w:i/>
        </w:rPr>
        <w:t xml:space="preserve">, punkterna 26–28</w:t>
      </w:r>
      <w:bookmarkEnd w:id="51"/>
    </w:p>
    <w:p w14:paraId="545625E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7F9CB0B" w14:textId="6B35A590">
      <w:pPr>
        <w:pStyle w:val="P68B1DB1-P68B1DB1-Normal135"/>
        <w:widowControl w:val="0"/>
        <w:tabs>
          <w:tab w:val="left" w:pos="396"/>
          <w:tab w:val="left" w:pos="407"/>
        </w:tabs>
        <w:autoSpaceDE w:val="0"/>
        <w:autoSpaceDN w:val="0"/>
        <w:spacing w:after="0" w:line="240" w:lineRule="auto"/>
        <w:jc w:val="both"/>
        <w:rPr>
          <w:b w:val="0"/>
          <w:bCs/>
          <w:i w:val="0"/>
          <w:iCs/>
        </w:rPr>
      </w:pPr>
      <w:r>
        <w:t xml:space="preserve">En regel som fastställer ett allmänt mål om bekvämlighet hos fjäderfä och uppfödningsanläggningarnas kvalitet är inte ett ”annat krav” eftersom dess allmänna karaktär sannolikt inte kommer att påverka slutproduktens sammansättning, art eller saluföring. </w:t>
      </w:r>
    </w:p>
    <w:p w14:paraId="14EF2596"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581B4FF" w14:textId="624DB181">
      <w:pPr>
        <w:pStyle w:val="P68B1DB1-P68B1DB1-Normal147"/>
        <w:spacing w:after="0" w:line="240" w:lineRule="auto"/>
        <w:ind w:left="567"/>
        <w:jc w:val="both"/>
        <w:rPr>
          <w:i/>
          <w:iCs/>
          <w:sz w:val="20"/>
          <w:szCs w:val="18"/>
        </w:rPr>
      </w:pPr>
      <w:r>
        <w:t xml:space="preserve">”26. [...] domstolen har redan slagit fast att de nationella åtgärderna i fråga, för att kunna kvalificeras som ”andra krav” i den mening som avses i artikel 1.4 i direktiv 98/34, måste utgöra ”villkor” som på ett betydande sätt kan påverka den berörda produktens sammansättning eller art eller saluföringen av den (se domen i det ovannämnda målet Fortuna m.fl., punkt 35 och där angiven rättspraxis).</w:t>
      </w:r>
    </w:p>
    <w:p w14:paraId="4C097BBE" w14:textId="77777777">
      <w:pPr>
        <w:pStyle w:val="P68B1DB1-Normal14"/>
        <w:spacing w:after="0" w:line="240" w:lineRule="auto"/>
        <w:ind w:left="567"/>
        <w:jc w:val="both"/>
        <w:rPr>
          <w:i/>
          <w:iCs/>
          <w:sz w:val="20"/>
          <w:szCs w:val="18"/>
        </w:rPr>
      </w:pPr>
    </w:p>
    <w:p w14:paraId="22DD1173" w14:textId="5E72285F">
      <w:pPr>
        <w:pStyle w:val="P68B1DB1-P68B1DB1-Normal147"/>
        <w:spacing w:after="0" w:line="240" w:lineRule="auto"/>
        <w:ind w:left="567"/>
        <w:jc w:val="both"/>
        <w:rPr>
          <w:i/>
          <w:iCs/>
          <w:sz w:val="20"/>
          <w:szCs w:val="18"/>
        </w:rPr>
      </w:pPr>
      <w:r>
        <w:t xml:space="preserve">27. Domstolen har även slagit fast att när bestämmelser i en nationell åtgärd är av allmän karaktär, kan de inte utgöra sådana villkor och följaktligen inte heller kvalificeras som ”andra krav” i den mening som avses i artikel 1.4 i direktivet (se, för ett liknande resonemang, domen i det ovannämnda målet Intercommunale Intermosane och Fédération de l’Industrie et du gaz, punkt 21).</w:t>
      </w:r>
    </w:p>
    <w:p w14:paraId="15F3320F" w14:textId="77777777">
      <w:pPr>
        <w:pStyle w:val="P68B1DB1-Normal14"/>
        <w:spacing w:after="0" w:line="240" w:lineRule="auto"/>
        <w:ind w:left="567"/>
        <w:jc w:val="both"/>
        <w:rPr>
          <w:i/>
          <w:iCs/>
          <w:sz w:val="20"/>
          <w:szCs w:val="18"/>
        </w:rPr>
      </w:pPr>
    </w:p>
    <w:p w14:paraId="2DD435A7" w14:textId="30F8D24A">
      <w:pPr>
        <w:pStyle w:val="P68B1DB1-P68B1DB1-Normal147"/>
        <w:spacing w:after="0" w:line="240" w:lineRule="auto"/>
        <w:ind w:left="567"/>
        <w:jc w:val="both"/>
        <w:rPr>
          <w:bCs/>
          <w:i/>
          <w:iCs/>
          <w:sz w:val="20"/>
          <w:szCs w:val="18"/>
        </w:rPr>
      </w:pPr>
      <w:r>
        <w:t xml:space="preserve">28. Den mycket allmänna formuleringen av 9 § DSF, som det erinrats om i punkterna 22 och 23 i förevarande dom, utgör således hinder för att denna bestämmelse anses utgöra villkor för de berörda produkternas sammansättning eller art eller för saluföringen av dem. ”</w:t>
      </w:r>
    </w:p>
    <w:p w14:paraId="411B1718" w14:textId="77777777">
      <w:pPr>
        <w:spacing w:after="0" w:line="240" w:lineRule="auto"/>
        <w:rPr>
          <w:rFonts w:ascii="Times New Roman" w:hAnsi="Times New Roman" w:cs="Times New Roman" w:eastAsia="Times New Roman"/>
          <w:bCs/>
          <w:i/>
          <w:sz w:val="20"/>
          <w:szCs w:val="16"/>
        </w:rPr>
      </w:pPr>
    </w:p>
    <w:p w14:paraId="4751BBE0" w14:textId="22592B0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0" w:anchor="ctx1" w:history="1">
        <w:r>
          <w:rPr>
            <w:color w:val="0000FF"/>
            <w:u w:val="single"/>
          </w:rPr>
          <w:t xml:space="preserve">Dom av den 11 juni 2015</w:t>
        </w:r>
      </w:hyperlink>
      <w:r>
        <w:t xml:space="preserve"> i mål C-98/14, Berlington Hungary m.fl., punkterna 98 och 99</w:t>
      </w:r>
      <w:bookmarkEnd w:id="52"/>
    </w:p>
    <w:p w14:paraId="25A1572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998E6F5" w14:textId="77777777">
      <w:pPr>
        <w:pStyle w:val="P68B1DB1-P68B1DB1-Normal135"/>
        <w:widowControl w:val="0"/>
        <w:tabs>
          <w:tab w:val="left" w:pos="396"/>
          <w:tab w:val="left" w:pos="449"/>
        </w:tabs>
        <w:autoSpaceDE w:val="0"/>
        <w:autoSpaceDN w:val="0"/>
        <w:spacing w:after="0" w:line="240" w:lineRule="auto"/>
        <w:jc w:val="both"/>
        <w:rPr>
          <w:b w:val="0"/>
          <w:bCs/>
          <w:i w:val="0"/>
          <w:iCs/>
        </w:rPr>
      </w:pPr>
      <w:r>
        <w:t xml:space="preserve">Nationella bestämmelser som förbjuder drift av spelautomater utanför kasinon utgör ”andra krav”, eftersom de på ett betydande sätt kan påverka sådana automaters art eller marknadsföring.</w:t>
      </w:r>
    </w:p>
    <w:p w14:paraId="39E1078A"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08EB1E5D" w14:textId="2E1379BD">
      <w:pPr>
        <w:pStyle w:val="P68B1DB1-P68B1DB1-Normal147"/>
        <w:widowControl w:val="0"/>
        <w:tabs>
          <w:tab w:val="left" w:pos="396"/>
          <w:tab w:val="left" w:pos="449"/>
        </w:tabs>
        <w:autoSpaceDE w:val="0"/>
        <w:autoSpaceDN w:val="0"/>
        <w:spacing w:after="0" w:line="240" w:lineRule="auto"/>
        <w:ind w:left="567"/>
        <w:jc w:val="both"/>
        <w:rPr>
          <w:i/>
          <w:iCs/>
          <w:sz w:val="20"/>
          <w:szCs w:val="18"/>
        </w:rPr>
      </w:pPr>
      <w:bookmarkStart w:id="53" w:name="point98"/>
      <w:r>
        <w:t>”</w:t>
      </w:r>
      <w:bookmarkEnd w:id="53"/>
      <w:r>
        <w:t xml:space="preserve">98. [...] domstolen har redan slagit fast att en nationell åtgärd som begränsar anordnandet av vissa hasardspel till kasinon endast utgör en ”teknisk föreskrift” i den mening som avses i artikel 1.11 i direktivet, i den mån den på ett betydande sätt kan påverka arten av eller saluföringen av de produkter som används i detta sammanhang (se, för ett liknande resonemang, dom kommissionen/Grekland, C-65/05, EU:C:61:24, punkt 40, och dom Fortuna m.fl., C-213/11, C-214/11 och C-217/11, punkterna och).</w:t>
      </w:r>
    </w:p>
    <w:p w14:paraId="3EF89879" w14:textId="77777777">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pPr>
        <w:pStyle w:val="P68B1DB1-P68B1DB1-Normal147"/>
        <w:widowControl w:val="0"/>
        <w:tabs>
          <w:tab w:val="left" w:pos="396"/>
          <w:tab w:val="left" w:pos="449"/>
        </w:tabs>
        <w:autoSpaceDE w:val="0"/>
        <w:autoSpaceDN w:val="0"/>
        <w:spacing w:after="0" w:line="240" w:lineRule="auto"/>
        <w:ind w:left="567"/>
        <w:jc w:val="both"/>
        <w:rPr>
          <w:i/>
          <w:iCs/>
          <w:sz w:val="20"/>
          <w:szCs w:val="18"/>
        </w:rPr>
      </w:pPr>
      <w:r>
        <w:t xml:space="preserve">99. Ett förbud mot att använda spelautomater utanför kasinon, såsom det som infördes genom 2012 års ändringslag, kan emellertid på ett betydande sätt påverka arten eller saluföringen av dessa automater, vilka utgör varor som kan omfattas av artikel 34 FEUF (se dom Läärä m.fl., C-124/97, Dubli, punkterna 20 och 24), genom att minska de försäljningsställen där de kan användas. ”</w:t>
      </w:r>
    </w:p>
    <w:p w14:paraId="6E21C148" w14:textId="77777777">
      <w:pPr>
        <w:pStyle w:val="P68B1DB1-Normal14"/>
        <w:widowControl w:val="0"/>
        <w:tabs>
          <w:tab w:val="left" w:pos="396"/>
          <w:tab w:val="left" w:pos="449"/>
        </w:tabs>
        <w:autoSpaceDE w:val="0"/>
        <w:autoSpaceDN w:val="0"/>
        <w:spacing w:after="0" w:line="240" w:lineRule="auto"/>
        <w:ind w:left="567"/>
        <w:jc w:val="both"/>
      </w:pPr>
    </w:p>
    <w:p w14:paraId="2000DB13" w14:textId="27A949A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1" w:history="1">
        <w:r>
          <w:rPr>
            <w:color w:val="0000FF"/>
            <w:u w:val="single"/>
          </w:rPr>
          <w:t xml:space="preserve">Dom av den 13 oktober 2016</w:t>
        </w:r>
      </w:hyperlink>
      <w:r>
        <w:t xml:space="preserve"> i mål C-303/15, Naczelnik Urzędu Celnego I w Dubli., punkterna 25–30.</w:t>
      </w:r>
      <w:bookmarkEnd w:id="54"/>
    </w:p>
    <w:p w14:paraId="5BE11B60"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65E429E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En bestämmelse enligt vilken utövandet av spelverksamhet är beroende av innehav av tillstånd att bedriva kasinoverksamhet utgör inte ett ”annat krav”. Även om bestämmelser som begränsar anordnandet av hasardspel till kasinon på ett betydande sätt kan påverka saluföringen av relaterade produkter genom att minska deras distributionskanaler, är det inte troligt att bestämmelser som reglerar villkoren för etablering av företag har någon betydande inverkan på de använda produkternas beskaffenhet eller marknadsföring.</w:t>
      </w:r>
    </w:p>
    <w:p w14:paraId="7D28A90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 w:val="20"/>
          <w:szCs w:val="18"/>
        </w:rPr>
      </w:pPr>
    </w:p>
    <w:p w14:paraId="1BE98C7F" w14:textId="7F54B5A4">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”25. För att avgöra huruvida artikel 6.1 i lagen om hasardspel omfattas av tillämpningsområdet för antingen artikel 1.4 i direktiv 98/34 eller artikel 1.11 i samma direktiv, ska det slutligen prövas huruvida en sådan bestämmelse på ett betydande sätt kan påverka sammansättningen, beskaffenheten eller saluföringen av den berörda produkten, i förevarande fall spelautomater, såsom ett ”villkor” för användningen av den berörda produkten, eller om det rör sig om en nationell åtgärd som omfattas av den kategori av förbud som avses i artikel 1.11 i direktivet.</w:t>
      </w:r>
    </w:p>
    <w:p w14:paraId="69BFAFE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26. Domstolen erinrar om att det är artikel 14.1 i lagen om hasardspel som begränsar anordnandet av roulett-, kort-, tärnings- och automatspel till kasinon. Denna bestämmelse anmäldes till kommissionen som en ”teknisk föreskrift”, med hänsyn till att domstolen redan har slagit fast dels att en nationell åtgärd enligt vilken endast kasinon får anordna vissa hasardspel utgör en ”teknisk föreskrift” i den mening som avses i artikel 1.11 i direktiv 98/34, i den mån den på ett betydande sätt kan påverka arten av eller saluföringen av de produkter som används i detta sammanhang, dels att ett förbud mot att använda vissa produkter utanför kasinon på ett betydande sätt kan påverka saluföringen av dessa produkter genom att minska de försäljningsställen där de kan användas (se, för ett liknande resonemang, dom av den 11 juni 2015, Berlington Hungary m.fl., C-98/14, punkterna 98 och 99).</w:t>
      </w:r>
    </w:p>
    <w:p w14:paraId="107284B9"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27. Artikel 6.1 i lagen om hasardspel, enligt vilken anordnande av roulett-, kort-, tärnings- och automatspel kräver tillstånd att driva ett kasino, har däremot aldrig anmälts.</w:t>
      </w:r>
    </w:p>
    <w:p w14:paraId="6972B44C"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28.Kommissionens argument att det nära sambandet mellan de två aktuella nationella bestämmelserna innebär att det är omöjligt att isolera artikel 14.1 i lagen om hasardspel från artikel 6.1 i denna lag kan inte godtas. Såsom generaladvokaten har påpekat i punkterna 38–44 i sitt förslag till avgörande skiljer sig artikel 6.1 i denna lag och artikel 14.1 i nämnda lag åt vad gäller deras funktion och tillämpningsområde. Det beskrivande inslaget i artikel 6.1 i nämnda lag, som framställer det aktuella tillståndet som ett tillstånd ”att driva ett kasino”, påverkar inte denna slutsats.</w:t>
      </w:r>
    </w:p>
    <w:p w14:paraId="54D8E8D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29. Det ska således konstateras att artikel 6.1 i lagen om hasardspel inte kan anses omfattas av kategorin ”andra krav”, i den mening som avses i artikel 1.4 i direktiv 98/34, eftersom det tillstånd som krävs enligt denna nationella bestämmelse för anordnande av hasardspel utgör ett villkor som uppställs för att anordna sådana spel, till skillnad från artikel 14.1 i nämnda lag, i vilken det uppställs villkor för de berörda produkterna genom att användningen av dem förbjuds på annat sätt än i kasinon.</w:t>
      </w:r>
    </w:p>
    <w:p w14:paraId="6E096F4E"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30. Enligt fast rättspraxis utgör nationella bestämmelser som endast föreskriver villkor för etablering eller tillhandahållande av tjänster av företag, såsom bestämmelser enligt vilka det krävs förhandstillstånd för att bedriva näringsverksamhet, inte tekniska föreskrifter i den mening som avses i artikel 1.11 i direktiv 98/34 (se, för ett liknande resonemang, dom av den 4 februari 2016, Ince, C-336/14, EU:C:76:, punkt och där angiven rättspraxis). ”</w:t>
      </w:r>
    </w:p>
    <w:p w14:paraId="47FF74A0" w14:textId="77777777">
      <w:pPr>
        <w:spacing w:after="0" w:line="240" w:lineRule="auto"/>
        <w:rPr>
          <w:sz w:val="20"/>
          <w:szCs w:val="20"/>
        </w:rPr>
      </w:pPr>
    </w:p>
    <w:p w14:paraId="2E29F352" w14:textId="7C1F042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2" w:history="1">
        <w:r>
          <w:rPr>
            <w:color w:val="0000FF"/>
            <w:u w:val="single"/>
          </w:rPr>
          <w:t xml:space="preserve">Domstolens dom av den 27 oktober 2016</w:t>
        </w:r>
      </w:hyperlink>
      <w:r>
        <w:t xml:space="preserve"> i mål C-613/14, James Elliott Construction, punkterna 67–69.</w:t>
      </w:r>
      <w:bookmarkEnd w:id="55"/>
    </w:p>
    <w:p w14:paraId="1A68586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ED19EDB" w14:textId="566C76FE">
      <w:pPr>
        <w:widowControl w:val="0"/>
        <w:tabs>
          <w:tab w:val="left" w:pos="430"/>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Nationella bestämmelser som innehåller underförstådda avtalsvillkor om de sålda produkternas marknadsmässiga kvalitet, lämplighet för användning eller kvalitet utgör inte ”andra krav”, eftersom deras allmänna karaktär gör att de sannolikt inte kommer att ha någon betydande inverkan på de berörda produkternas sammansättning, beskaffenhet eller saluföring.</w:t>
      </w:r>
    </w:p>
    <w:p w14:paraId="030038CF" w14:textId="77777777">
      <w:pPr>
        <w:widowControl w:val="0"/>
        <w:tabs>
          <w:tab w:val="left" w:pos="430"/>
        </w:tabs>
        <w:autoSpaceDE w:val="0"/>
        <w:autoSpaceDN w:val="0"/>
        <w:spacing w:after="0" w:line="240" w:lineRule="auto"/>
        <w:jc w:val="both"/>
        <w:rPr>
          <w:rFonts w:ascii="Times New Roman" w:hAnsi="Times New Roman" w:cs="Times New Roman" w:eastAsia="Times New Roman"/>
          <w:sz w:val="20"/>
          <w:szCs w:val="18"/>
        </w:rPr>
      </w:pPr>
    </w:p>
    <w:p w14:paraId="3AC7F779" w14:textId="3E2215BE">
      <w:pPr>
        <w:pStyle w:val="P68B1DB1-P68B1DB1-Normal147"/>
        <w:widowControl w:val="0"/>
        <w:tabs>
          <w:tab w:val="left" w:pos="430"/>
        </w:tabs>
        <w:autoSpaceDE w:val="0"/>
        <w:autoSpaceDN w:val="0"/>
        <w:spacing w:after="0" w:line="240" w:lineRule="auto"/>
        <w:ind w:left="567"/>
        <w:jc w:val="both"/>
        <w:rPr>
          <w:i/>
          <w:iCs/>
          <w:sz w:val="20"/>
          <w:szCs w:val="18"/>
        </w:rPr>
      </w:pPr>
      <w:r>
        <w:t xml:space="preserve">”67. I förevarande fall framgår det för det första att sådana bestämmelser som de som är aktuella i det nationella målet, antingen i sig eller såsom de har tolkats av de irländska domstolarna, inte omfattas av begreppet ”teknisk specifikation” i den mening som avses i artikel 1.3 i direktiv 98/34. Detta begrepp omfattar endast nationella åtgärder som avser en produkt eller dess förpackning som sådan och som således fastställer en av de egenskaper som krävs av en produkt (dom av den 10 juli 2014, Ivansson m.fl., C-307/13, Dubli, punkt 19 och där angiven rättspraxis). Så är uppenbarligen inte fallet med ett krav som, om inte parterna har kommit överens om något annat, generellt gäller för försäljning av alla produkter.</w:t>
      </w:r>
    </w:p>
    <w:p w14:paraId="246DB47A" w14:textId="77777777">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pPr>
        <w:pStyle w:val="P68B1DB1-P68B1DB1-Normal147"/>
        <w:widowControl w:val="0"/>
        <w:tabs>
          <w:tab w:val="left" w:pos="430"/>
        </w:tabs>
        <w:autoSpaceDE w:val="0"/>
        <w:autoSpaceDN w:val="0"/>
        <w:spacing w:after="0" w:line="240" w:lineRule="auto"/>
        <w:ind w:left="567"/>
        <w:jc w:val="both"/>
        <w:rPr>
          <w:i/>
          <w:iCs/>
          <w:sz w:val="20"/>
          <w:szCs w:val="18"/>
        </w:rPr>
      </w:pPr>
      <w:r>
        <w:t xml:space="preserve">68. För det andra kan dessa bestämmelser av samma skäl inte kvalificeras som ”andra krav” i den mening som avses i artikel 1.4 i direktiv 98/34.</w:t>
      </w:r>
    </w:p>
    <w:p w14:paraId="739ADC6F" w14:textId="77777777">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pPr>
        <w:pStyle w:val="P68B1DB1-P68B1DB1-Normal147"/>
        <w:widowControl w:val="0"/>
        <w:tabs>
          <w:tab w:val="left" w:pos="430"/>
        </w:tabs>
        <w:autoSpaceDE w:val="0"/>
        <w:autoSpaceDN w:val="0"/>
        <w:spacing w:after="0" w:line="240" w:lineRule="auto"/>
        <w:ind w:left="567"/>
        <w:jc w:val="both"/>
        <w:rPr>
          <w:i/>
          <w:iCs/>
          <w:sz w:val="20"/>
          <w:szCs w:val="18"/>
        </w:rPr>
      </w:pPr>
      <w:r>
        <w:t xml:space="preserve">69. Domstolen har i detta avseende preciserat att de aktuella nationella åtgärderna, för att kunna kvalificeras som ”andra krav” i den mening som avses i denna bestämmelse, måste utgöra villkor som på ett betydande sätt kan påverka sammansättningen eller arten av den berörda produkten eller saluföringen av den, eftersom allmänna krav inte kan utgöra sådana villkor och följaktligen inte heller kan kvalificeras som ”andra krav” (se dom av den 10 juli 2014, Ivansson m.fl., C-307/13, Dubli, punkterna 26 och 27 och där angiven rättspraxis). ”</w:t>
      </w:r>
    </w:p>
    <w:p w14:paraId="14788AE2" w14:textId="77777777">
      <w:pPr>
        <w:pStyle w:val="P68B1DB1-Normal14"/>
        <w:widowControl w:val="0"/>
        <w:tabs>
          <w:tab w:val="left" w:pos="430"/>
        </w:tabs>
        <w:autoSpaceDE w:val="0"/>
        <w:autoSpaceDN w:val="0"/>
        <w:spacing w:after="0" w:line="240" w:lineRule="auto"/>
        <w:ind w:left="567"/>
        <w:jc w:val="both"/>
      </w:pPr>
    </w:p>
    <w:p w14:paraId="6F74C5A2" w14:textId="059511E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3" w:history="1">
        <w:r>
          <w:rPr>
            <w:color w:val="0000FF"/>
            <w:u w:val="single"/>
          </w:rPr>
          <w:t xml:space="preserve">Domstolens dom av den 1 februari 2017</w:t>
        </w:r>
      </w:hyperlink>
      <w:r>
        <w:t xml:space="preserve"> i mål C-144/16, Município de Palmela, punkterna 23 och 33.</w:t>
      </w:r>
      <w:bookmarkEnd w:id="56"/>
    </w:p>
    <w:p w14:paraId="6DCEC74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BF7FCE" w14:textId="77777777">
      <w:pPr>
        <w:pStyle w:val="P68B1DB1-P68B1DB1-Normal135"/>
        <w:widowControl w:val="0"/>
        <w:tabs>
          <w:tab w:val="left" w:pos="396"/>
          <w:tab w:val="left" w:pos="435"/>
        </w:tabs>
        <w:autoSpaceDE w:val="0"/>
        <w:autoSpaceDN w:val="0"/>
        <w:spacing w:after="0" w:line="240" w:lineRule="auto"/>
        <w:jc w:val="both"/>
        <w:rPr>
          <w:b w:val="0"/>
          <w:bCs/>
          <w:i w:val="0"/>
          <w:iCs/>
        </w:rPr>
      </w:pPr>
      <w:r>
        <w:t xml:space="preserve">En bestämmelse om förpackningskrav för en produkt av konsumentskyddsskäl är ett ”annat krav” eftersom den hänför sig till produkternas livscykel efter det att de har släppts ut på marknaden och i hög grad påverkar deras sammansättning och saluföring.</w:t>
      </w:r>
    </w:p>
    <w:p w14:paraId="3D96BE4E" w14:textId="77777777">
      <w:pPr>
        <w:widowControl w:val="0"/>
        <w:tabs>
          <w:tab w:val="left" w:pos="396"/>
          <w:tab w:val="left" w:pos="435"/>
        </w:tabs>
        <w:autoSpaceDE w:val="0"/>
        <w:autoSpaceDN w:val="0"/>
        <w:spacing w:after="0" w:line="240" w:lineRule="auto"/>
        <w:ind w:hanging="142"/>
        <w:jc w:val="both"/>
        <w:rPr>
          <w:rFonts w:ascii="Times New Roman" w:hAnsi="Times New Roman" w:cs="Times New Roman" w:eastAsia="Times New Roman"/>
          <w:bCs/>
          <w:iCs/>
          <w:szCs w:val="20"/>
        </w:rPr>
      </w:pPr>
    </w:p>
    <w:p w14:paraId="5B0F8037" w14:textId="25CE703A">
      <w:pPr>
        <w:pStyle w:val="P68B1DB1-P68B1DB1-Normal135"/>
        <w:widowControl w:val="0"/>
        <w:tabs>
          <w:tab w:val="left" w:pos="396"/>
          <w:tab w:val="left" w:pos="399"/>
        </w:tabs>
        <w:autoSpaceDE w:val="0"/>
        <w:autoSpaceDN w:val="0"/>
        <w:spacing w:after="0" w:line="240" w:lineRule="auto"/>
        <w:jc w:val="both"/>
        <w:rPr>
          <w:b w:val="0"/>
          <w:bCs/>
          <w:i w:val="0"/>
          <w:iCs/>
        </w:rPr>
      </w:pPr>
      <w:r>
        <w:t xml:space="preserve">Å andra sidan är en förordning som kräver att information om ett fritidsområdes maximala kapacitet ska visas på flera platser i området inte ett ”annat krav” på grund av dess allmänna karaktär.</w:t>
      </w:r>
    </w:p>
    <w:p w14:paraId="7CB69B90" w14:textId="77777777">
      <w:pPr>
        <w:widowControl w:val="0"/>
        <w:tabs>
          <w:tab w:val="left" w:pos="396"/>
          <w:tab w:val="left" w:pos="399"/>
        </w:tabs>
        <w:autoSpaceDE w:val="0"/>
        <w:autoSpaceDN w:val="0"/>
        <w:spacing w:after="0" w:line="240" w:lineRule="auto"/>
        <w:ind w:hanging="142"/>
        <w:jc w:val="both"/>
        <w:rPr>
          <w:rFonts w:ascii="Times New Roman" w:hAnsi="Times New Roman" w:cs="Times New Roman" w:eastAsia="Times New Roman"/>
          <w:szCs w:val="20"/>
        </w:rPr>
      </w:pPr>
    </w:p>
    <w:p w14:paraId="047ADE80" w14:textId="3A89FEEF">
      <w:pPr>
        <w:pStyle w:val="P68B1DB1-P68B1DB1-Normal1421"/>
        <w:widowControl w:val="0"/>
        <w:tabs>
          <w:tab w:val="left" w:pos="396"/>
          <w:tab w:val="left" w:pos="399"/>
        </w:tabs>
        <w:autoSpaceDE w:val="0"/>
        <w:autoSpaceDN w:val="0"/>
        <w:spacing w:after="0" w:line="240" w:lineRule="auto"/>
        <w:ind w:left="567" w:hanging="142"/>
        <w:jc w:val="both"/>
        <w:rPr>
          <w:i/>
          <w:iCs/>
        </w:rPr>
      </w:pPr>
      <w:r>
        <w:tab/>
        <w:t>”</w:t>
      </w:r>
      <w:bookmarkStart w:id="57" w:name="point23"/>
      <w:r>
        <w:t>23</w:t>
      </w:r>
      <w:bookmarkEnd w:id="57"/>
      <w:r>
        <w:t xml:space="preserve">. Vad gäller artikel 16.1 och (2) i PRA-förordningen, i dess lydelse enligt lagdekret nr 119/2009, ska det påpekas, såsom den hänskjutande domstolen har påpekat, att den utgör en teknisk föreskrift i den mening som avses i direktiven 83/189 och 98/34, i den mån denna bestämmelse föreskriver krav som ställs på en produkt för att skydda konsumenterna och som påverkar dess livscykel efter det att den har släppts ut på marknaden och på ett betydande sätt påverkar sammansättningen och saluföringen av en sådan produkt. Denna bestämmelse omfattas således av kategorin ”andra krav” i den mening som avses i såväl artikel 1.3 i direktiv 83/189 som artikel 1.4 i direktiv 98/34. ”</w:t>
      </w:r>
    </w:p>
    <w:p w14:paraId="78B67949"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0B57ECD8" w14:textId="7EBBFF11">
      <w:pPr>
        <w:pStyle w:val="P68B1DB1-P68B1DB1-Normal1421"/>
        <w:widowControl w:val="0"/>
        <w:autoSpaceDE w:val="0"/>
        <w:autoSpaceDN w:val="0"/>
        <w:spacing w:after="0" w:line="240" w:lineRule="auto"/>
        <w:ind w:left="567"/>
        <w:jc w:val="both"/>
        <w:rPr>
          <w:i/>
          <w:iCs/>
        </w:rPr>
      </w:pPr>
      <w:r>
        <w:t>”</w:t>
      </w:r>
      <w:bookmarkStart w:id="58" w:name="point33"/>
      <w:r>
        <w:t>33</w:t>
      </w:r>
      <w:bookmarkEnd w:id="58"/>
      <w:r>
        <w:t xml:space="preserve">. [...] en sådan bestämmelse som den som är aktuell i det nationella målet utgör inte ett ”annat krav” i den mening som avses i artikel 1.4 i direktiv 98/34, med beaktande av den allmänna karaktären hos de krav som anges i bestämmelsen (se, för ett liknande resonemang, dom av den 9 juni 2011, Intercommunale Intermosane och Fédération de l’industrie et du</w:t>
        <w:noBreakHyphen/>
        <w:t xml:space="preserve">gaz, C 361/10, punkt 21). Det innehåller däremot inte några förbud som skulle kunna medföra att det omfattas av de förbud som anges i artikel 1.11 i direktivet. ”</w:t>
      </w:r>
    </w:p>
    <w:p w14:paraId="4725CFBE" w14:textId="77777777">
      <w:pPr>
        <w:spacing w:after="0" w:line="240" w:lineRule="auto"/>
      </w:pPr>
    </w:p>
    <w:bookmarkStart w:id="59" w:name="_Hlk193299811"/>
    <w:p w14:paraId="109F8B7C" w14:textId="6B0FA9E0">
      <w:pPr>
        <w:pStyle w:val="P68B1DB1-P68B1DB1-Normal1622"/>
        <w:widowControl w:val="0"/>
        <w:autoSpaceDE w:val="0"/>
        <w:autoSpaceDN w:val="0"/>
        <w:spacing w:after="0" w:line="240" w:lineRule="auto"/>
        <w:jc w:val="both"/>
        <w:outlineLvl w:val="1"/>
        <w:rPr>
          <w:b/>
          <w:bCs/>
          <w:i/>
          <w:iCs/>
          <w:sz w:val="22"/>
          <w:szCs w:val="22"/>
        </w:rPr>
      </w:pPr>
      <w:r>
        <w:fldChar w:fldCharType="begin"/>
      </w:r>
      <w:r>
        <w:rPr>
          <w:b/>
          <w:bCs/>
          <w:i/>
          <w:iCs/>
          <w:sz w:val="22"/>
          <w:szCs w:val="22"/>
        </w:rPr>
        <w:instrText>HYPERLINK "https://curia.europa.eu/juris/document/document.jsf?text=&amp;docid=206117&amp;pageIndex=0&amp;doclang=EN&amp;mode=lst&amp;dir=&amp;occ=first&amp;part=1&amp;cid=9777324"</w:instrText>
      </w:r>
      <w:r>
        <w:rPr>
          <w:b/>
          <w:bCs/>
          <w:i/>
          <w:iCs/>
          <w:sz w:val="22"/>
          <w:szCs w:val="22"/>
        </w:rPr>
      </w:r>
      <w:r>
        <w:rPr>
          <w:b/>
          <w:bCs/>
          <w:i/>
          <w:iCs/>
          <w:sz w:val="22"/>
          <w:szCs w:val="22"/>
        </w:rPr>
        <w:fldChar w:fldCharType="separate"/>
      </w:r>
      <w:bookmarkStart w:id="60" w:name="_Toc198043820"/>
      <w:r>
        <w:rPr>
          <w:b/>
          <w:bCs/>
          <w:i/>
          <w:iCs/>
          <w:color w:val="0000FF"/>
          <w:sz w:val="22"/>
          <w:szCs w:val="22"/>
          <w:u w:val="single"/>
        </w:rPr>
        <w:t xml:space="preserve">Dom av den 26 september 2018 i mål C-137/17</w:t>
      </w:r>
      <w:r>
        <w:rPr>
          <w:b/>
          <w:bCs/>
          <w:i/>
          <w:iCs/>
          <w:color w:val="0000FF"/>
          <w:sz w:val="22"/>
          <w:szCs w:val="22"/>
          <w:u w:val="single"/>
        </w:rPr>
        <w:fldChar w:fldCharType="end"/>
        <w:t xml:space="preserve">, Van Gennip m.fl., punkterna 39 och 40.</w:t>
      </w:r>
      <w:bookmarkEnd w:id="60"/>
    </w:p>
    <w:p w14:paraId="53B6D74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86CD632" w14:textId="77777777">
      <w:pPr>
        <w:pStyle w:val="P68B1DB1-P68B1DB1-Normal135"/>
        <w:widowControl w:val="0"/>
        <w:tabs>
          <w:tab w:val="left" w:pos="404"/>
        </w:tabs>
        <w:autoSpaceDE w:val="0"/>
        <w:autoSpaceDN w:val="0"/>
        <w:spacing w:after="0" w:line="240" w:lineRule="auto"/>
        <w:jc w:val="both"/>
        <w:rPr>
          <w:b w:val="0"/>
          <w:bCs/>
          <w:i w:val="0"/>
          <w:iCs/>
        </w:rPr>
      </w:pPr>
      <w:r>
        <w:t xml:space="preserve">Nationella bestämmelser som uppställer som villkor för saluföring av produkter att köparen innehar ett tillstånd omfattas inte av begreppet ”andra krav”, eftersom det är ett villkor som inte gäller för produkterna utan för köparna.</w:t>
      </w:r>
    </w:p>
    <w:bookmarkEnd w:id="59"/>
    <w:p w14:paraId="7262001F"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34AB9BCD" w14:textId="723202BE">
      <w:pPr>
        <w:pStyle w:val="P68B1DB1-P68B1DB1-Normal147"/>
        <w:widowControl w:val="0"/>
        <w:tabs>
          <w:tab w:val="left" w:pos="404"/>
        </w:tabs>
        <w:autoSpaceDE w:val="0"/>
        <w:autoSpaceDN w:val="0"/>
        <w:spacing w:after="0" w:line="240" w:lineRule="auto"/>
        <w:ind w:left="567"/>
        <w:jc w:val="both"/>
        <w:rPr>
          <w:i/>
          <w:iCs/>
          <w:sz w:val="20"/>
          <w:szCs w:val="18"/>
        </w:rPr>
      </w:pPr>
      <w:r>
        <w:t xml:space="preserve">”39. [...] vad gäller kategorin ”andra krav” ska det påpekas att en nationell åtgärd, för att kunna kvalificeras som ”andra krav” i den mening som avses i artikel 1.4 i direktiv 98/34, måste utgöra ett ”villkor” som på ett betydande sätt kan påverka den berörda produktens sammansättning, art eller saluföring (dom av den 13 oktober 2016, M. och S., C-303/15, EU:C:20: och där angiven rättspraxis).</w:t>
      </w:r>
    </w:p>
    <w:p w14:paraId="3684C8BC" w14:textId="77777777">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pPr>
        <w:pStyle w:val="P68B1DB1-P68B1DB1-Normal147"/>
        <w:widowControl w:val="0"/>
        <w:tabs>
          <w:tab w:val="left" w:pos="404"/>
        </w:tabs>
        <w:autoSpaceDE w:val="0"/>
        <w:autoSpaceDN w:val="0"/>
        <w:spacing w:after="0" w:line="240" w:lineRule="auto"/>
        <w:ind w:left="567"/>
        <w:jc w:val="both"/>
        <w:rPr>
          <w:i/>
          <w:iCs/>
          <w:sz w:val="20"/>
          <w:szCs w:val="18"/>
        </w:rPr>
      </w:pPr>
      <w:r>
        <w:t xml:space="preserve">40. Domstolen konstaterar i detta hänseende, i likhet med vad generaladvokaten har påpekat i punkt 76 i sitt förslag till avgörande, att det vid försäljning av pyrotekniska artiklar med en pyroteknisk sats på mer än 1 kg enligt den belgiska lagstiftningen krävs att köparen har tillstånd. Det tillstånd som krävs utgör således inte ett krav för den berörda produkten, utan för potentiella köpare och indirekt för ekonomiska aktörer som säljer pyrotekniska artiklar (se, för ett liknande resonemang, dom av den 21 april 2005, Lindberg, C-267/03, EU:C:87:29, punkt, och dom av den 13 oktober 2016, M. och S., C-303/15, punkt). ”</w:t>
      </w:r>
    </w:p>
    <w:p w14:paraId="1EF9D88D" w14:textId="77777777">
      <w:pPr>
        <w:spacing w:after="0" w:line="240" w:lineRule="auto"/>
      </w:pPr>
    </w:p>
    <w:p w14:paraId="71F55FA7" w14:textId="4326F27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4" w:anchor="ctx1" w:history="1">
        <w:r>
          <w:rPr>
            <w:color w:val="0000FF"/>
            <w:u w:val="single"/>
          </w:rPr>
          <w:t xml:space="preserve">Dom av den 28 maj 2020</w:t>
        </w:r>
      </w:hyperlink>
      <w:r>
        <w:t xml:space="preserve"> i mål C-727/17, ECO-WIND Construction, punkterna 40 och 41.</w:t>
      </w:r>
      <w:bookmarkEnd w:id="61"/>
    </w:p>
    <w:p w14:paraId="6D637FFA" w14:textId="77777777">
      <w:pPr>
        <w:widowControl w:val="0"/>
        <w:autoSpaceDE w:val="0"/>
        <w:autoSpaceDN w:val="0"/>
        <w:spacing w:after="0" w:line="240" w:lineRule="auto"/>
        <w:jc w:val="both"/>
        <w:rPr>
          <w:rFonts w:ascii="Times New Roman" w:hAnsi="Times New Roman" w:cs="Times New Roman" w:eastAsia="Times New Roman"/>
          <w:szCs w:val="20"/>
        </w:rPr>
      </w:pPr>
    </w:p>
    <w:p w14:paraId="1D3192D5" w14:textId="77777777">
      <w:pPr>
        <w:pStyle w:val="P68B1DB1-P68B1DB1-Normal135"/>
        <w:widowControl w:val="0"/>
        <w:autoSpaceDE w:val="0"/>
        <w:autoSpaceDN w:val="0"/>
        <w:spacing w:after="0" w:line="240" w:lineRule="auto"/>
        <w:jc w:val="both"/>
        <w:rPr>
          <w:b w:val="0"/>
          <w:bCs/>
          <w:i w:val="0"/>
          <w:iCs/>
        </w:rPr>
      </w:pPr>
      <w:r>
        <w:t xml:space="preserve">En förordning som föreskriver ett minsta avstånd för installation av vindkraftverk omfattas inte av kategorin ”andra krav”, eftersom dess inverkan på saluföringen av de berörda produkterna inte är tillräckligt direkt.</w:t>
      </w:r>
    </w:p>
    <w:p w14:paraId="11DAB658" w14:textId="77777777">
      <w:pPr>
        <w:widowControl w:val="0"/>
        <w:autoSpaceDE w:val="0"/>
        <w:autoSpaceDN w:val="0"/>
        <w:spacing w:after="0" w:line="240" w:lineRule="auto"/>
        <w:jc w:val="both"/>
        <w:rPr>
          <w:rFonts w:ascii="Times New Roman" w:hAnsi="Times New Roman" w:cs="Times New Roman" w:eastAsia="Times New Roman"/>
          <w:szCs w:val="20"/>
        </w:rPr>
      </w:pPr>
    </w:p>
    <w:p w14:paraId="0E9213F5" w14:textId="153822EB">
      <w:pPr>
        <w:pStyle w:val="P68B1DB1-BodyText19"/>
        <w:ind w:left="567"/>
        <w:rPr>
          <w:iCs/>
        </w:rPr>
      </w:pPr>
      <w:r>
        <w:t xml:space="preserve">”40. [...] det framgår av fast rättspraxis att denna kategori omfattar lagstiftning som föreskriver ett villkor som på ett betydande sätt kan påverka en produkts sammansättning, art eller saluföring (dom av den 21 april 2005, Lindberg, C-267/03, EU:C:69:72, punkterna 35 –, och dom av den 19 juli 2012, Fortuna m.fl., C-213/11, C-214/11 och C-217/11, punkt). Dessa ”andra krav” omfattar de krav som följer av beaktandet av den aktuella produktens livscykel efter det att den har släppts ut på marknaden och som bland annat avser dess användning.</w:t>
      </w:r>
    </w:p>
    <w:p w14:paraId="15144425" w14:textId="77777777">
      <w:pPr>
        <w:pStyle w:val="P68B1DB1-BodyText19"/>
        <w:ind w:left="567"/>
        <w:rPr>
          <w:iCs/>
        </w:rPr>
      </w:pPr>
    </w:p>
    <w:p w14:paraId="45870460" w14:textId="6B88BEBE">
      <w:pPr>
        <w:pStyle w:val="P68B1DB1-BodyText19"/>
        <w:ind w:left="567"/>
        <w:rPr>
          <w:iCs/>
        </w:rPr>
      </w:pPr>
      <w:r>
        <w:t xml:space="preserve">41. I förevarande fall konstaterar domstolen, i likhet med den bedömning som gjorts i punkt 37 ovan, att kravet på ett minsta avstånd mellan vindkraftverket och byggnader för bostadsändamål inte har något direkt samband med en produkts, såsom ett vindkraftverks, sammansättning, natur eller saluföring. Även om detta krav skulle leda till en begränsning av de platser som är lämpliga för uppförande av vindkraftverk och därmed påverka försäljningen av vindkraftverk, skulle detta inte vara tillräckligt direkt för att detta krav ska omfattas av kategorin ”andra krav” i artikel 1.1 f i direktiv 2015/1535. ”</w:t>
      </w:r>
    </w:p>
    <w:p w14:paraId="67BFB4E8" w14:textId="77777777">
      <w:pPr>
        <w:spacing w:after="0" w:line="240" w:lineRule="auto"/>
      </w:pPr>
    </w:p>
    <w:p w14:paraId="408C26E9" w14:textId="6A65B0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5" w:history="1">
        <w:r>
          <w:rPr>
            <w:rStyle w:val="Hyperlink"/>
            <w:rFonts w:ascii="Times New Roman" w:hAnsi="Times New Roman" w:cs="Times New Roman" w:eastAsia="Times New Roman"/>
            <w:b/>
            <w:i/>
            <w:color w:val="0000FF"/>
            <w:szCs w:val="20"/>
          </w:rPr>
          <w:t xml:space="preserve">Dom av den 4 november 2022</w:t>
        </w:r>
      </w:hyperlink>
      <w:r>
        <w:rPr>
          <w:rFonts w:ascii="Times New Roman" w:hAnsi="Times New Roman" w:cs="Times New Roman" w:eastAsia="Times New Roman"/>
          <w:b/>
          <w:i/>
          <w:szCs w:val="20"/>
        </w:rPr>
        <w:t xml:space="preserve"> i mål C</w:t>
        <w:noBreakHyphen/>
        <w:t xml:space="preserve">658/21, Phytofar, punkterna 36–42.</w:t>
      </w:r>
      <w:bookmarkEnd w:id="62"/>
    </w:p>
    <w:p w14:paraId="5BBD916F" w14:textId="77777777">
      <w:pPr>
        <w:widowControl w:val="0"/>
        <w:autoSpaceDE w:val="0"/>
        <w:autoSpaceDN w:val="0"/>
        <w:spacing w:after="0" w:line="240" w:lineRule="auto"/>
        <w:jc w:val="both"/>
        <w:rPr>
          <w:rFonts w:ascii="Times New Roman" w:hAnsi="Times New Roman" w:cs="Times New Roman" w:eastAsia="Times New Roman"/>
          <w:szCs w:val="20"/>
        </w:rPr>
      </w:pPr>
    </w:p>
    <w:p w14:paraId="12813288" w14:textId="64B11198">
      <w:pPr>
        <w:pStyle w:val="P68B1DB1-P68B1DB1-Normal135"/>
        <w:widowControl w:val="0"/>
        <w:autoSpaceDE w:val="0"/>
        <w:autoSpaceDN w:val="0"/>
        <w:spacing w:after="0" w:line="240" w:lineRule="auto"/>
        <w:jc w:val="both"/>
        <w:outlineLvl w:val="1"/>
        <w:rPr>
          <w:b w:val="0"/>
          <w:bCs/>
          <w:i w:val="0"/>
          <w:iCs/>
          <w:sz w:val="20"/>
        </w:rPr>
      </w:pPr>
      <w:bookmarkStart w:id="63" w:name="_Toc198043823"/>
      <w:r>
        <w:t xml:space="preserve">En lagstiftning som förbjuder personer som inte har tillstånd att använda bekämpningsmedel som innehåller glyfosat att använda bekämpningsmedel som innehåller glyfosat utgör sannolikt ett ”annat krav”, eftersom den på ett betydande sätt skulle kunna påverka saluföringen av glyfosat. Betydelsen av detta inflytande bedöms mot bakgrund av inköpsvolymen för de berörda produkterna och utvecklingen av försäljningsvanorna.</w:t>
      </w:r>
      <w:bookmarkEnd w:id="63"/>
    </w:p>
    <w:p w14:paraId="017C51C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pPr>
        <w:spacing w:after="0" w:line="240" w:lineRule="auto"/>
        <w:ind w:left="567"/>
        <w:jc w:val="both"/>
        <w:rPr>
          <w:rFonts w:ascii="Times New Roman" w:hAnsi="Times New Roman" w:cs="Times New Roman"/>
          <w:i/>
          <w:sz w:val="20"/>
          <w:szCs w:val="20"/>
        </w:rPr>
        <w:pStyle w:val="P68B1DB1-Normal20"/>
      </w:pPr>
      <w:r>
        <w:t xml:space="preserve">”36. I förevarande fall framgår det för det första av ingressen till förordningen av den 14 juli 2017 att det förbud som fastställs däri har införts för att skydda människors hälsa och miljön.</w:t>
      </w:r>
    </w:p>
    <w:p w14:paraId="1CBD02C5" w14:textId="77777777">
      <w:pPr>
        <w:spacing w:after="0" w:line="240" w:lineRule="auto"/>
        <w:ind w:left="567"/>
        <w:jc w:val="both"/>
        <w:rPr>
          <w:rFonts w:ascii="Times New Roman" w:hAnsi="Times New Roman" w:cs="Times New Roman"/>
          <w:i/>
          <w:sz w:val="20"/>
          <w:szCs w:val="20"/>
        </w:rPr>
      </w:pPr>
    </w:p>
    <w:p w14:paraId="1A20049E" w14:textId="08504F01">
      <w:pPr>
        <w:spacing w:after="0" w:line="240" w:lineRule="auto"/>
        <w:ind w:left="567"/>
        <w:jc w:val="both"/>
        <w:rPr>
          <w:rFonts w:ascii="Times New Roman" w:hAnsi="Times New Roman" w:cs="Times New Roman"/>
          <w:i/>
          <w:sz w:val="20"/>
          <w:szCs w:val="20"/>
        </w:rPr>
        <w:pStyle w:val="P68B1DB1-Normal20"/>
      </w:pPr>
      <w:r>
        <w:t xml:space="preserve">37. Det ska vidare påpekas att detta förbud rör livscykeln för bekämpningsmedel som innehåller glyfosat efter det att de har släppts ut på marknaden, genom att det fastställs ett villkor avseende användningen av dessa produkter, då endast fackmän som innehar en växtskyddslicens har rätt att använda dem på mark för privat bruk.</w:t>
      </w:r>
    </w:p>
    <w:p w14:paraId="595DD057" w14:textId="77777777">
      <w:pPr>
        <w:spacing w:after="0" w:line="240" w:lineRule="auto"/>
        <w:ind w:left="567"/>
        <w:jc w:val="both"/>
        <w:rPr>
          <w:rFonts w:ascii="Times New Roman" w:hAnsi="Times New Roman" w:cs="Times New Roman"/>
          <w:i/>
          <w:sz w:val="20"/>
          <w:szCs w:val="20"/>
        </w:rPr>
      </w:pPr>
    </w:p>
    <w:p w14:paraId="7F0E7EDE" w14:textId="698ECA01">
      <w:pPr>
        <w:spacing w:after="0" w:line="240" w:lineRule="auto"/>
        <w:ind w:left="567"/>
        <w:jc w:val="both"/>
        <w:rPr>
          <w:rFonts w:ascii="Times New Roman" w:hAnsi="Times New Roman" w:cs="Times New Roman"/>
          <w:i/>
          <w:sz w:val="20"/>
          <w:szCs w:val="20"/>
        </w:rPr>
        <w:pStyle w:val="P68B1DB1-Normal20"/>
      </w:pPr>
      <w:r>
        <w:t xml:space="preserve">38. Domstolen konstaterar slutligen att ett sådant förbud kan påverka saluföringen av de berörda produkterna.</w:t>
      </w:r>
    </w:p>
    <w:p w14:paraId="6A260A53" w14:textId="77777777">
      <w:pPr>
        <w:spacing w:after="0" w:line="240" w:lineRule="auto"/>
        <w:ind w:left="567"/>
        <w:jc w:val="both"/>
        <w:rPr>
          <w:rFonts w:ascii="Times New Roman" w:hAnsi="Times New Roman" w:cs="Times New Roman"/>
          <w:i/>
          <w:sz w:val="20"/>
          <w:szCs w:val="20"/>
        </w:rPr>
      </w:pPr>
    </w:p>
    <w:p w14:paraId="5066FFC6" w14:textId="1BDD0139">
      <w:pPr>
        <w:spacing w:after="0" w:line="240" w:lineRule="auto"/>
        <w:ind w:left="567"/>
        <w:jc w:val="both"/>
        <w:rPr>
          <w:rFonts w:ascii="Times New Roman" w:hAnsi="Times New Roman" w:cs="Times New Roman"/>
          <w:i/>
          <w:sz w:val="20"/>
          <w:szCs w:val="20"/>
        </w:rPr>
        <w:pStyle w:val="P68B1DB1-Normal20"/>
      </w:pPr>
      <w:r>
        <w:t xml:space="preserve">39. Denna åtgärd medför nämligen att en kategori av potentiella köpare av bekämpningsmedel som innehåller glyfosat försvinner, nämligen enskilda som själva önskar använda sådana bekämpningsmedel, utan att använda sig av de tjänster som tillhandahålls av fackmän som innehar den nödvändiga växtskyddslicensen. En sådan begränsning av möjligheten att använda bekämpningsmedel som innehåller glyfosat påverkar således saluföringen av dem (se, analogt, dom av den 13 oktober 2016, M. och S., C-303/15, Dubli, punkt 26 och där angiven rättspraxis).</w:t>
      </w:r>
    </w:p>
    <w:p w14:paraId="1A6F1ECE" w14:textId="77777777">
      <w:pPr>
        <w:spacing w:after="0" w:line="240" w:lineRule="auto"/>
        <w:ind w:left="567"/>
        <w:jc w:val="both"/>
        <w:rPr>
          <w:rFonts w:ascii="Times New Roman" w:hAnsi="Times New Roman" w:cs="Times New Roman"/>
          <w:i/>
          <w:sz w:val="20"/>
          <w:szCs w:val="20"/>
        </w:rPr>
      </w:pPr>
    </w:p>
    <w:p w14:paraId="33FD9071" w14:textId="2955C650">
      <w:pPr>
        <w:spacing w:after="0" w:line="240" w:lineRule="auto"/>
        <w:ind w:left="567"/>
        <w:jc w:val="both"/>
        <w:rPr>
          <w:rFonts w:ascii="Times New Roman" w:hAnsi="Times New Roman" w:cs="Times New Roman"/>
          <w:i/>
          <w:sz w:val="20"/>
          <w:szCs w:val="20"/>
        </w:rPr>
        <w:pStyle w:val="P68B1DB1-Normal20"/>
      </w:pPr>
      <w:r>
        <w:t xml:space="preserve">40. För att den åtgärd som infördes genom förordningen av den 14 juli 2017 ska kunna kvalificeras som en ”teknisk föreskrift” som omfattas av kategorin ”andra krav” i den mening som avses i artikel 1.1 d och f i direktiv 2015/1535 krävs emellertid, såsom kommissionen har påpekat i sitt skriftliga yttrande, att denna åtgärd ”på ett väsentligt sätt” påverkar saluföringen av bekämpningsmedel som innehåller glyfosat.</w:t>
      </w:r>
    </w:p>
    <w:p w14:paraId="219AFD18" w14:textId="77777777">
      <w:pPr>
        <w:spacing w:after="0" w:line="240" w:lineRule="auto"/>
        <w:ind w:left="567"/>
        <w:jc w:val="both"/>
        <w:rPr>
          <w:rFonts w:ascii="Times New Roman" w:hAnsi="Times New Roman" w:cs="Times New Roman"/>
          <w:i/>
          <w:sz w:val="20"/>
          <w:szCs w:val="20"/>
        </w:rPr>
      </w:pPr>
    </w:p>
    <w:p w14:paraId="51EC447B" w14:textId="2F0134D7">
      <w:pPr>
        <w:spacing w:after="0" w:line="240" w:lineRule="auto"/>
        <w:ind w:left="567"/>
        <w:jc w:val="both"/>
        <w:rPr>
          <w:rFonts w:ascii="Times New Roman" w:hAnsi="Times New Roman" w:cs="Times New Roman"/>
          <w:i/>
          <w:sz w:val="20"/>
          <w:szCs w:val="20"/>
        </w:rPr>
        <w:pStyle w:val="P68B1DB1-Normal20"/>
      </w:pPr>
      <w:r>
        <w:t xml:space="preserve">41. Det ankommer på den hänskjutande domstolen att pröva om så är fallet här.</w:t>
      </w:r>
    </w:p>
    <w:p w14:paraId="700BF673" w14:textId="77777777">
      <w:pPr>
        <w:spacing w:after="0" w:line="240" w:lineRule="auto"/>
        <w:ind w:left="567"/>
        <w:jc w:val="both"/>
        <w:rPr>
          <w:rFonts w:ascii="Times New Roman" w:hAnsi="Times New Roman" w:cs="Times New Roman"/>
          <w:i/>
          <w:sz w:val="20"/>
          <w:szCs w:val="20"/>
        </w:rPr>
      </w:pPr>
    </w:p>
    <w:p w14:paraId="15FA9CD4" w14:textId="12DBE6E1">
      <w:pPr>
        <w:spacing w:after="0" w:line="240" w:lineRule="auto"/>
        <w:ind w:left="567"/>
        <w:jc w:val="both"/>
        <w:rPr>
          <w:rFonts w:ascii="Times New Roman" w:hAnsi="Times New Roman" w:cs="Times New Roman"/>
          <w:i/>
          <w:sz w:val="20"/>
          <w:szCs w:val="20"/>
        </w:rPr>
        <w:pStyle w:val="P68B1DB1-Normal20"/>
      </w:pPr>
      <w:r>
        <w:t xml:space="preserve">42. Vid denna bedömning kan den hänskjutande domstolen beakta bland annat den totala försäljningsvolymen av bekämpningsmedel som innehåller glyfosat i regionen Flandern och förändringen av inköpsvanorna för varje kategori av köpare, på grundval av hur ofta de köper produkten och hur stora kvantiteter som köps, samt av förändring såvitt avser inköpsorter och distributionskanaler. I detta sammanhang kan den hänskjutande domstolen ta hänsyn till dels i vilken utsträckning yrkesmässiga användare begär ersättning från enskilda som använder sig av yrkesmässiga användares tjänster, dels att enskilda användare numera erhåller glyfosatfria bekämpningsmedel i stället för bekämpningsmedel som innehåller detta ämne. ”</w:t>
      </w:r>
    </w:p>
    <w:p w14:paraId="4A5F3F04" w14:textId="77777777">
      <w:pPr>
        <w:spacing w:after="0" w:line="240" w:lineRule="auto"/>
        <w:ind w:left="567"/>
        <w:jc w:val="both"/>
      </w:pPr>
    </w:p>
    <w:p w14:paraId="430159AA" w14:textId="501CF88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6" w:history="1">
        <w:r>
          <w:rPr>
            <w:rStyle w:val="Hyperlink"/>
            <w:rFonts w:ascii="Times New Roman" w:hAnsi="Times New Roman" w:cs="Times New Roman" w:eastAsia="Times New Roman"/>
            <w:b/>
            <w:i/>
            <w:color w:val="0000FF"/>
            <w:szCs w:val="20"/>
          </w:rPr>
          <w:t xml:space="preserve">Domstolens dom av den 9 mars 2023</w:t>
        </w:r>
      </w:hyperlink>
      <w:r>
        <w:rPr>
          <w:rFonts w:ascii="Times New Roman" w:hAnsi="Times New Roman" w:cs="Times New Roman" w:eastAsia="Times New Roman"/>
          <w:b/>
          <w:i/>
          <w:szCs w:val="20"/>
        </w:rPr>
        <w:t xml:space="preserve"> i mål C-604/21, Vapo Atlantic, punkterna 40 och 41.</w:t>
      </w:r>
      <w:bookmarkEnd w:id="64"/>
    </w:p>
    <w:p w14:paraId="25D9A71A" w14:textId="77777777">
      <w:pPr>
        <w:widowControl w:val="0"/>
        <w:autoSpaceDE w:val="0"/>
        <w:autoSpaceDN w:val="0"/>
        <w:spacing w:after="0" w:line="240" w:lineRule="auto"/>
        <w:jc w:val="both"/>
        <w:rPr>
          <w:rFonts w:ascii="Times New Roman" w:hAnsi="Times New Roman" w:cs="Times New Roman" w:eastAsia="Times New Roman"/>
          <w:szCs w:val="20"/>
        </w:rPr>
      </w:pPr>
    </w:p>
    <w:p w14:paraId="68D99C30" w14:textId="07845CAB">
      <w:pPr>
        <w:widowControl w:val="0"/>
        <w:autoSpaceDE w:val="0"/>
        <w:autoSpaceDN w:val="0"/>
        <w:spacing w:after="0" w:line="240" w:lineRule="auto"/>
        <w:jc w:val="both"/>
        <w:outlineLvl w:val="1"/>
        <w:rPr>
          <w:rFonts w:ascii="Times New Roman" w:hAnsi="Times New Roman" w:cs="Times New Roman" w:eastAsia="Times New Roman"/>
          <w:bCs/>
          <w:iCs/>
          <w:szCs w:val="20"/>
        </w:rPr>
        <w:pStyle w:val="P68B1DB1-Normal14"/>
      </w:pPr>
      <w:bookmarkStart w:id="65" w:name="_Toc198043825"/>
      <w:r>
        <w:t xml:space="preserve">Nationell lagstiftning som ålägger aktörer som släpper ut motorbränslen för konsumtion att bidra till att uppnå målen för inblandning av biodrivmedel i motorbränslen och vars åsidosättande kan leda till ekonomiska sanktioner kan i hög grad påverka saluföringen av bränslen. Det utgör således ett ”annat krav”.</w:t>
      </w:r>
      <w:bookmarkEnd w:id="65"/>
    </w:p>
    <w:p w14:paraId="397991C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pPr>
        <w:pStyle w:val="P68B1DB1-Normal20"/>
        <w:widowControl w:val="0"/>
        <w:autoSpaceDE w:val="0"/>
        <w:autoSpaceDN w:val="0"/>
        <w:spacing w:after="0" w:line="240" w:lineRule="auto"/>
        <w:ind w:left="567"/>
        <w:jc w:val="both"/>
        <w:outlineLvl w:val="1"/>
      </w:pPr>
      <w:bookmarkStart w:id="66" w:name="_Toc198043826"/>
      <w:r>
        <w:t xml:space="preserve">”40. I förevarande fall avser den hänskjutande domstolens frågor en nationell lagstiftning enligt vilken ekonomiska aktörer som släpper ut motorbränslen för konsumtion, med undantag för gasol och naturgas, är skyldiga att bidra till uppfyllandet av målen för inblandning av biodrivmedel i de årliga mängder motorbränsle som de släpper ut för konsumtion, det vill säga ett mål på 10 % för år 2020. Även om det i den nationella lagstiftningen varken preciseras vilken typ av vägbränsle som avses eller fastställs hur stor den fysiskt tillsatta andelen biodrivmedel i vägbränslen ska vara eller vilken typ av biodrivmedel som ska tillsättas, finner domstolen att det krav som föreskrivs där, som antagits för att skydda miljön, påverkar vägbränslenas livscykel efter utsläppandet på marknaden och på ett väsentligt sätt kan påverka produktens saluföring, eftersom ett åsidosättande av den skyldighet att tillsätta biodrivmedel som där föreskrivs kan leda till åläggandet av en skyldighet att utge ekonomisk ersättning.</w:t>
      </w:r>
      <w:bookmarkEnd w:id="66"/>
    </w:p>
    <w:p w14:paraId="4CEBAF3A" w14:textId="77777777">
      <w:pPr>
        <w:pStyle w:val="P68B1DB1-Normal20"/>
        <w:widowControl w:val="0"/>
        <w:autoSpaceDE w:val="0"/>
        <w:autoSpaceDN w:val="0"/>
        <w:spacing w:after="0" w:line="240" w:lineRule="auto"/>
        <w:ind w:left="567"/>
        <w:jc w:val="both"/>
        <w:outlineLvl w:val="1"/>
      </w:pPr>
    </w:p>
    <w:p w14:paraId="08AE2C99" w14:textId="38734870">
      <w:pPr>
        <w:pStyle w:val="P68B1DB1-Normal20"/>
        <w:widowControl w:val="0"/>
        <w:autoSpaceDE w:val="0"/>
        <w:autoSpaceDN w:val="0"/>
        <w:spacing w:after="0" w:line="240" w:lineRule="auto"/>
        <w:ind w:left="567"/>
        <w:jc w:val="both"/>
        <w:outlineLvl w:val="1"/>
        <w:rPr>
          <w:iCs/>
        </w:rPr>
      </w:pPr>
      <w:bookmarkStart w:id="67" w:name="_Toc198043827"/>
      <w:r>
        <w:t xml:space="preserve">41. Av detta följer att en nationell lagstiftning som fastställer ett mål om att 10 % av biobränslena ska ingå i de drivmedel som en ekonomisk aktör släppt ut för konsumtion för år 2020 omfattas av begreppet ”andra krav” i den mening som avses i artikel 1.4 i direktiv 98/34 och således utgör en ’teknisk föreskrift’ i den mening som avses i artikel 1.11 i detta direktiv. ”</w:t>
      </w:r>
      <w:bookmarkEnd w:id="67"/>
    </w:p>
    <w:p w14:paraId="6064CE7D" w14:textId="77777777">
      <w:pPr>
        <w:pStyle w:val="P68B1DB1-BodyText10"/>
        <w:rPr>
          <w:bCs/>
        </w:rPr>
      </w:pPr>
    </w:p>
    <w:p w14:paraId="3F05E4B7" w14:textId="77777777">
      <w:pPr>
        <w:spacing w:after="0" w:line="278" w:lineRule="auto"/>
        <w:rPr>
          <w:rFonts w:ascii="Times New Roman" w:hAnsi="Times New Roman" w:cs="Times New Roman" w:eastAsia="Times New Roman"/>
          <w:b/>
          <w:sz w:val="24"/>
          <w:szCs w:val="20"/>
        </w:rPr>
      </w:pPr>
      <w:r>
        <w:br w:type="page"/>
      </w:r>
    </w:p>
    <w:p w14:paraId="39F57DA0" w14:textId="51AFFAF0">
      <w:pPr>
        <w:pStyle w:val="P68B1DB1-Heading24"/>
        <w:numPr>
          <w:ilvl w:val="0"/>
          <w:numId w:val="35"/>
        </w:numPr>
        <w:spacing w:before="0" w:after="0"/>
        <w:jc w:val="center"/>
        <w:rPr>
          <w:bCs/>
          <w:color w:val="auto"/>
        </w:rPr>
      </w:pPr>
      <w:bookmarkStart w:id="68" w:name="_Ref196314214"/>
      <w:bookmarkStart w:id="69" w:name="_Toc203035669"/>
      <w:r>
        <w:t>Tjänsteföreskrifter</w:t>
      </w:r>
      <w:bookmarkEnd w:id="5"/>
      <w:bookmarkEnd w:id="68"/>
      <w:bookmarkEnd w:id="69"/>
    </w:p>
    <w:p w14:paraId="19E12A03" w14:textId="77777777">
      <w:pPr>
        <w:pStyle w:val="BodyText"/>
      </w:pPr>
    </w:p>
    <w:p w14:paraId="6D8B2150" w14:textId="77777777">
      <w:pPr>
        <w:pStyle w:val="P68B1DB1-BodyText11"/>
        <w:ind w:left="567"/>
        <w:rPr>
          <w:iCs/>
        </w:rPr>
      </w:pPr>
      <w:r>
        <w:t xml:space="preserve">”föreskrift för tjänster: ett krav av allmän karaktär som rör rätten att starta och utöva tjänsteverksamhet i den mening som avses i led b, särskilt bestämmelser om tjänsteleverantören, tjänsterna och tjänstemottagaren, med undantag för regler som inte specifikt avser de tjänster som definieras i den punkten. </w:t>
      </w:r>
    </w:p>
    <w:p w14:paraId="7C9B8AC3" w14:textId="77777777">
      <w:pPr>
        <w:pStyle w:val="P68B1DB1-BodyText11"/>
        <w:ind w:left="567"/>
        <w:rPr>
          <w:iCs/>
        </w:rPr>
      </w:pPr>
    </w:p>
    <w:p w14:paraId="46FCE36C" w14:textId="0D89DACC">
      <w:pPr>
        <w:pStyle w:val="P68B1DB1-BodyText11"/>
        <w:ind w:left="567"/>
        <w:rPr>
          <w:iCs/>
        </w:rPr>
      </w:pPr>
      <w:r>
        <w:t xml:space="preserve">Vid tillämpningen av denna definition </w:t>
      </w:r>
    </w:p>
    <w:p w14:paraId="0FA17B64" w14:textId="77777777">
      <w:pPr>
        <w:pStyle w:val="P68B1DB1-BodyText11"/>
        <w:ind w:left="567"/>
        <w:rPr>
          <w:iCs/>
        </w:rPr>
      </w:pPr>
    </w:p>
    <w:p w14:paraId="5287D99C" w14:textId="40B4253E">
      <w:pPr>
        <w:pStyle w:val="P68B1DB1-BodyText11"/>
        <w:numPr>
          <w:ilvl w:val="0"/>
          <w:numId w:val="30"/>
        </w:numPr>
        <w:rPr>
          <w:iCs/>
        </w:rPr>
      </w:pPr>
      <w:r>
        <w:t xml:space="preserve">ska en föreskrift anses särskilt avse informationssamhällets tjänster om föreskriften enligt motiveringen och enligt texten i den normativa delen har till särskilt syfte och föremål att, i sin helhet eller i vissa bestämmelser, uttryckligen och riktat reglera sådana tjänster, </w:t>
      </w:r>
    </w:p>
    <w:p w14:paraId="112BC54B" w14:textId="13ACB17B">
      <w:pPr>
        <w:pStyle w:val="P68B1DB1-BodyText11"/>
        <w:numPr>
          <w:ilvl w:val="0"/>
          <w:numId w:val="30"/>
        </w:numPr>
        <w:rPr>
          <w:iCs/>
        </w:rPr>
      </w:pPr>
      <w:r>
        <w:t xml:space="preserve">en regel ska inte anses vara specifikt inriktad på informationssamhällets tjänster om den endast berör sådana tjänster på ett underförstått eller underordnat sätt. ”</w:t>
      </w:r>
    </w:p>
    <w:p w14:paraId="573C811F" w14:textId="77777777">
      <w:pPr>
        <w:pStyle w:val="BodyText"/>
        <w:ind w:left="567"/>
        <w:rPr>
          <w:i/>
          <w:iCs/>
        </w:rPr>
      </w:pPr>
    </w:p>
    <w:p w14:paraId="2735376A" w14:textId="709F0465">
      <w:pPr>
        <w:pStyle w:val="BodyText"/>
        <w:ind w:left="1440"/>
        <w:jc w:val="right"/>
      </w:pPr>
      <w:r>
        <w:t xml:space="preserve">(Artikel 1.1 e i direktiv (EU) 2015/1535).</w:t>
      </w:r>
    </w:p>
    <w:p w14:paraId="2412BA9D" w14:textId="7742CFA6">
      <w:pPr>
        <w:spacing w:after="0" w:line="240" w:lineRule="auto"/>
      </w:pPr>
    </w:p>
    <w:p w14:paraId="047B2ADB" w14:textId="17E336C2">
      <w:pPr>
        <w:spacing w:after="0" w:line="240" w:lineRule="auto"/>
        <w:ind w:left="567"/>
        <w:jc w:val="both"/>
        <w:rPr>
          <w:rFonts w:ascii="Times New Roman" w:hAnsi="Times New Roman" w:cs="Times New Roman"/>
          <w:i/>
          <w:sz w:val="24"/>
          <w:szCs w:val="24"/>
        </w:rPr>
        <w:pStyle w:val="P68B1DB1-Normal12"/>
      </w:pPr>
      <w:r>
        <w:t xml:space="preserve">”tjänst: alla informationssamhällets tjänster, det vill säga tjänster som normalt utförs mot ersättning, på distans, på elektronisk väg och på individuell begäran av en tjänstemottagare. </w:t>
      </w:r>
    </w:p>
    <w:p w14:paraId="0A07BEF1" w14:textId="77777777">
      <w:pPr>
        <w:spacing w:after="0" w:line="240" w:lineRule="auto"/>
        <w:ind w:left="567"/>
        <w:jc w:val="both"/>
        <w:rPr>
          <w:rFonts w:ascii="Times New Roman" w:hAnsi="Times New Roman" w:cs="Times New Roman"/>
          <w:i/>
          <w:sz w:val="24"/>
          <w:szCs w:val="24"/>
        </w:rPr>
      </w:pPr>
    </w:p>
    <w:p w14:paraId="0427D520" w14:textId="77777777">
      <w:pPr>
        <w:spacing w:after="0" w:line="240" w:lineRule="auto"/>
        <w:ind w:left="567"/>
        <w:jc w:val="both"/>
        <w:rPr>
          <w:rFonts w:ascii="Times New Roman" w:hAnsi="Times New Roman" w:cs="Times New Roman"/>
          <w:i/>
          <w:sz w:val="24"/>
          <w:szCs w:val="24"/>
        </w:rPr>
        <w:pStyle w:val="P68B1DB1-Normal12"/>
      </w:pPr>
      <w:r>
        <w:t xml:space="preserve">Vid tillämpningen av denna definition </w:t>
      </w:r>
    </w:p>
    <w:p w14:paraId="14B11324" w14:textId="77777777">
      <w:pPr>
        <w:spacing w:after="0" w:line="240" w:lineRule="auto"/>
        <w:ind w:left="567"/>
        <w:jc w:val="both"/>
        <w:rPr>
          <w:rFonts w:ascii="Times New Roman" w:hAnsi="Times New Roman" w:cs="Times New Roman"/>
          <w:i/>
          <w:sz w:val="24"/>
          <w:szCs w:val="24"/>
        </w:rPr>
      </w:pPr>
    </w:p>
    <w:p w14:paraId="0727DDA2" w14:textId="77777777">
      <w:pPr>
        <w:spacing w:after="0" w:line="240" w:lineRule="auto"/>
        <w:ind w:left="1440"/>
        <w:jc w:val="both"/>
        <w:rPr>
          <w:rFonts w:ascii="Times New Roman" w:hAnsi="Times New Roman" w:cs="Times New Roman"/>
          <w:i/>
          <w:sz w:val="24"/>
          <w:szCs w:val="24"/>
        </w:rPr>
        <w:pStyle w:val="P68B1DB1-Normal12"/>
      </w:pPr>
      <w:r>
        <w:t xml:space="preserve">i) på distans: tjänsten tillhandahålls utan att parterna är närvarande samtidigt. </w:t>
      </w:r>
    </w:p>
    <w:p w14:paraId="21A0956B" w14:textId="56365680">
      <w:pPr>
        <w:spacing w:after="0" w:line="240" w:lineRule="auto"/>
        <w:ind w:left="1440"/>
        <w:jc w:val="both"/>
        <w:rPr>
          <w:rFonts w:ascii="Times New Roman" w:hAnsi="Times New Roman" w:cs="Times New Roman"/>
          <w:i/>
          <w:sz w:val="24"/>
          <w:szCs w:val="24"/>
        </w:rPr>
        <w:pStyle w:val="P68B1DB1-Normal12"/>
      </w:pPr>
      <w:r>
        <w:t xml:space="preserve">II) på elektronisk väg: en tjänst som ursprungligen sänds och tas emot vid slutpunkten med hjälp av elektronisk utrustning för behandling (inbegripet digital komprimering) och lagring av data, och som i sin helhet sänds, befordras och tas emot via tråd, radio, optiska medel eller andra elektromagnetiska medel. </w:t>
      </w:r>
    </w:p>
    <w:p w14:paraId="5C56E529" w14:textId="12F1F1E7">
      <w:pPr>
        <w:spacing w:after="0" w:line="240" w:lineRule="auto"/>
        <w:ind w:left="1440"/>
        <w:jc w:val="both"/>
        <w:rPr>
          <w:rFonts w:ascii="Times New Roman" w:hAnsi="Times New Roman" w:cs="Times New Roman"/>
          <w:i/>
          <w:sz w:val="24"/>
          <w:szCs w:val="24"/>
        </w:rPr>
        <w:pStyle w:val="P68B1DB1-Normal12"/>
      </w:pPr>
      <w:r>
        <w:t xml:space="preserve">III) på individuell begäran av en tjänstemottagare: tjänsten tillhandahålls genom överföring av uppgifter på individuell begäran. </w:t>
      </w:r>
    </w:p>
    <w:p w14:paraId="514F222E" w14:textId="77777777">
      <w:pPr>
        <w:spacing w:after="0" w:line="240" w:lineRule="auto"/>
        <w:jc w:val="both"/>
        <w:rPr>
          <w:rFonts w:ascii="Times New Roman" w:hAnsi="Times New Roman" w:cs="Times New Roman"/>
          <w:i/>
          <w:sz w:val="24"/>
          <w:szCs w:val="24"/>
        </w:rPr>
      </w:pPr>
    </w:p>
    <w:p w14:paraId="11E4DACC" w14:textId="7501B95E">
      <w:pPr>
        <w:spacing w:after="0" w:line="240" w:lineRule="auto"/>
        <w:ind w:left="567"/>
        <w:jc w:val="both"/>
        <w:rPr>
          <w:rFonts w:ascii="Times New Roman" w:hAnsi="Times New Roman" w:cs="Times New Roman"/>
          <w:i/>
          <w:sz w:val="24"/>
          <w:szCs w:val="24"/>
        </w:rPr>
        <w:pStyle w:val="P68B1DB1-Normal12"/>
      </w:pPr>
      <w:r>
        <w:t xml:space="preserve">En vägledande förteckning över tjänster som inte omfattas av denna definition finns i bilaga I. ”</w:t>
      </w:r>
    </w:p>
    <w:p w14:paraId="1FF17DD0" w14:textId="77777777">
      <w:pPr>
        <w:spacing w:after="0" w:line="240" w:lineRule="auto"/>
        <w:ind w:left="567"/>
        <w:jc w:val="both"/>
        <w:rPr>
          <w:rFonts w:ascii="Times New Roman" w:hAnsi="Times New Roman" w:cs="Times New Roman"/>
          <w:i/>
          <w:iCs/>
          <w:sz w:val="24"/>
          <w:szCs w:val="24"/>
        </w:rPr>
      </w:pPr>
    </w:p>
    <w:p w14:paraId="6EAE1680" w14:textId="066C5520">
      <w:pPr>
        <w:pStyle w:val="BodyText"/>
        <w:ind w:left="1440"/>
        <w:jc w:val="right"/>
      </w:pPr>
      <w:r>
        <w:t xml:space="preserve">(Artikel 1.1 b i direktiv (EU) 2015/1535).</w:t>
      </w:r>
    </w:p>
    <w:p w14:paraId="3979F0D8" w14:textId="77777777">
      <w:pPr>
        <w:spacing w:after="0" w:line="240" w:lineRule="auto"/>
        <w:ind w:left="567"/>
        <w:jc w:val="both"/>
        <w:rPr>
          <w:rFonts w:ascii="Times New Roman" w:hAnsi="Times New Roman" w:cs="Times New Roman"/>
          <w:i/>
          <w:iCs/>
          <w:sz w:val="24"/>
          <w:szCs w:val="24"/>
        </w:rPr>
      </w:pPr>
    </w:p>
    <w:p w14:paraId="325579F5" w14:textId="5717D74C">
      <w:pPr>
        <w:pStyle w:val="P68B1DB1-Normal12"/>
        <w:spacing w:after="0" w:line="240" w:lineRule="auto"/>
        <w:ind w:left="567"/>
        <w:jc w:val="both"/>
        <w:rPr>
          <w:iCs/>
        </w:rPr>
      </w:pPr>
      <w:r>
        <w:t xml:space="preserve">”Vägledande förteckning över tjänster som inte omfattas av artikel 1.1 b andra stycket </w:t>
      </w:r>
    </w:p>
    <w:p w14:paraId="2833D888" w14:textId="77777777">
      <w:pPr>
        <w:spacing w:after="0" w:line="240" w:lineRule="auto"/>
        <w:ind w:left="567"/>
        <w:jc w:val="both"/>
        <w:rPr>
          <w:rFonts w:ascii="Times New Roman" w:hAnsi="Times New Roman" w:cs="Times New Roman"/>
          <w:i/>
          <w:iCs/>
          <w:sz w:val="24"/>
          <w:szCs w:val="24"/>
        </w:rPr>
      </w:pPr>
    </w:p>
    <w:p w14:paraId="45BC8C0F" w14:textId="59EDD8A8">
      <w:pPr>
        <w:pStyle w:val="P68B1DB1-ListParagraph21"/>
        <w:numPr>
          <w:ilvl w:val="0"/>
          <w:numId w:val="33"/>
        </w:numPr>
        <w:spacing w:after="0" w:line="240" w:lineRule="auto"/>
        <w:jc w:val="center"/>
        <w:rPr>
          <w:rFonts w:ascii="Times New Roman" w:hAnsi="Times New Roman" w:cs="Times New Roman"/>
          <w:i/>
          <w:sz w:val="24"/>
          <w:szCs w:val="24"/>
        </w:rPr>
      </w:pPr>
      <w:r>
        <w:t xml:space="preserve">Tjänster som inte tillhandahålls på distans</w:t>
      </w:r>
    </w:p>
    <w:p w14:paraId="0869B267" w14:textId="77777777">
      <w:pPr>
        <w:pStyle w:val="ListParagraph"/>
        <w:spacing w:after="0" w:line="240" w:lineRule="auto"/>
        <w:ind w:left="927"/>
        <w:rPr>
          <w:rFonts w:ascii="Times New Roman" w:hAnsi="Times New Roman" w:cs="Times New Roman"/>
          <w:i/>
          <w:sz w:val="24"/>
          <w:szCs w:val="24"/>
        </w:rPr>
      </w:pPr>
    </w:p>
    <w:p w14:paraId="15316F3F" w14:textId="637F4A7C">
      <w:pPr>
        <w:spacing w:after="0" w:line="240" w:lineRule="auto"/>
        <w:ind w:left="567"/>
        <w:rPr>
          <w:rFonts w:ascii="Times New Roman" w:hAnsi="Times New Roman" w:cs="Times New Roman"/>
          <w:i/>
          <w:sz w:val="24"/>
          <w:szCs w:val="24"/>
        </w:rPr>
        <w:pStyle w:val="P68B1DB1-Normal12"/>
      </w:pPr>
      <w:r>
        <w:t xml:space="preserve">Tjänster som utförs samtidigt som den som tillhandahåller dem och den som tar emot dem är fysiskt närvarande, även om elektronisk utrustning används. </w:t>
      </w:r>
    </w:p>
    <w:p w14:paraId="3362CCDE" w14:textId="74A453DA">
      <w:pPr>
        <w:spacing w:after="0" w:line="240" w:lineRule="auto"/>
        <w:ind w:left="1287"/>
        <w:rPr>
          <w:rFonts w:ascii="Times New Roman" w:hAnsi="Times New Roman" w:cs="Times New Roman"/>
          <w:i/>
          <w:sz w:val="24"/>
          <w:szCs w:val="24"/>
        </w:rPr>
        <w:pStyle w:val="P68B1DB1-Normal12"/>
      </w:pPr>
      <w:r>
        <w:t xml:space="preserve">a) Läkarundersökningar eller behandling vid en läkares kirurgi med hjälp av elektronisk utrustning där patienten är fysiskt närvarande. </w:t>
      </w:r>
    </w:p>
    <w:p w14:paraId="705A25A8" w14:textId="77777777">
      <w:pPr>
        <w:spacing w:after="0" w:line="240" w:lineRule="auto"/>
        <w:ind w:left="567" w:firstLine="720"/>
        <w:rPr>
          <w:rFonts w:ascii="Times New Roman" w:hAnsi="Times New Roman" w:cs="Times New Roman"/>
          <w:i/>
          <w:sz w:val="24"/>
          <w:szCs w:val="24"/>
        </w:rPr>
        <w:pStyle w:val="P68B1DB1-Normal12"/>
      </w:pPr>
      <w:r>
        <w:t xml:space="preserve">b) konsultation av en elektronisk katalog i en butik med kunden på plats. </w:t>
      </w:r>
    </w:p>
    <w:p w14:paraId="7DA6C469" w14:textId="5F31D5B1">
      <w:pPr>
        <w:spacing w:after="0" w:line="240" w:lineRule="auto"/>
        <w:ind w:left="1287"/>
        <w:rPr>
          <w:rFonts w:ascii="Times New Roman" w:hAnsi="Times New Roman" w:cs="Times New Roman"/>
          <w:i/>
          <w:sz w:val="24"/>
          <w:szCs w:val="24"/>
        </w:rPr>
        <w:pStyle w:val="P68B1DB1-Normal12"/>
      </w:pPr>
      <w:r>
        <w:t xml:space="preserve">c) Flygbiljettbokning hos en resebyrå i kundens fysiska närvaro med hjälp av ett nätverk av datorer. </w:t>
      </w:r>
    </w:p>
    <w:p w14:paraId="01C9EFAD" w14:textId="77777777">
      <w:pPr>
        <w:spacing w:after="0" w:line="240" w:lineRule="auto"/>
        <w:ind w:left="1287"/>
        <w:rPr>
          <w:rFonts w:ascii="Times New Roman" w:hAnsi="Times New Roman" w:cs="Times New Roman"/>
          <w:i/>
          <w:sz w:val="24"/>
          <w:szCs w:val="24"/>
        </w:rPr>
        <w:pStyle w:val="P68B1DB1-Normal12"/>
      </w:pPr>
      <w:r>
        <w:t xml:space="preserve">d) Elektroniska spel som tillhandahålls i en videospelare där kunden är fysiskt närvarande. </w:t>
      </w:r>
    </w:p>
    <w:p w14:paraId="487F2005" w14:textId="77777777">
      <w:pPr>
        <w:spacing w:after="0" w:line="240" w:lineRule="auto"/>
        <w:ind w:left="567"/>
        <w:rPr>
          <w:rFonts w:ascii="Times New Roman" w:hAnsi="Times New Roman" w:cs="Times New Roman"/>
          <w:i/>
          <w:sz w:val="24"/>
          <w:szCs w:val="24"/>
        </w:rPr>
      </w:pPr>
    </w:p>
    <w:p w14:paraId="3AFC7951" w14:textId="251CDA9A">
      <w:pPr>
        <w:pStyle w:val="P68B1DB1-ListParagraph21"/>
        <w:numPr>
          <w:ilvl w:val="0"/>
          <w:numId w:val="33"/>
        </w:numPr>
        <w:spacing w:after="0" w:line="240" w:lineRule="auto"/>
        <w:jc w:val="center"/>
        <w:rPr>
          <w:rFonts w:ascii="Times New Roman" w:hAnsi="Times New Roman" w:cs="Times New Roman"/>
          <w:i/>
          <w:sz w:val="24"/>
          <w:szCs w:val="24"/>
        </w:rPr>
      </w:pPr>
      <w:r>
        <w:t xml:space="preserve">Tjänster som inte tillhandahålls på elektronisk väg</w:t>
      </w:r>
    </w:p>
    <w:p w14:paraId="7F20B717" w14:textId="77777777">
      <w:pPr>
        <w:pStyle w:val="ListParagraph"/>
        <w:spacing w:after="0" w:line="240" w:lineRule="auto"/>
        <w:ind w:left="927"/>
        <w:rPr>
          <w:rFonts w:ascii="Times New Roman" w:hAnsi="Times New Roman" w:cs="Times New Roman"/>
          <w:i/>
          <w:sz w:val="24"/>
          <w:szCs w:val="24"/>
        </w:rPr>
      </w:pPr>
    </w:p>
    <w:p w14:paraId="02C6FE7C" w14:textId="77777777">
      <w:pPr>
        <w:spacing w:after="0" w:line="240" w:lineRule="auto"/>
        <w:ind w:left="567"/>
        <w:rPr>
          <w:rFonts w:ascii="Times New Roman" w:hAnsi="Times New Roman" w:cs="Times New Roman"/>
          <w:i/>
          <w:sz w:val="24"/>
          <w:szCs w:val="24"/>
        </w:rPr>
        <w:pStyle w:val="P68B1DB1-Normal12"/>
      </w:pPr>
      <w:r>
        <w:t xml:space="preserve">— tjänster som har ett materiellt innehåll även om de innebär att elektronisk utrustning används. </w:t>
      </w:r>
    </w:p>
    <w:p w14:paraId="271D8E4D" w14:textId="77777777">
      <w:pPr>
        <w:spacing w:after="0" w:line="240" w:lineRule="auto"/>
        <w:ind w:left="567" w:firstLine="720"/>
        <w:rPr>
          <w:rFonts w:ascii="Times New Roman" w:hAnsi="Times New Roman" w:cs="Times New Roman"/>
          <w:i/>
          <w:sz w:val="24"/>
          <w:szCs w:val="24"/>
        </w:rPr>
        <w:pStyle w:val="P68B1DB1-Normal12"/>
      </w:pPr>
      <w:r>
        <w:t xml:space="preserve">a) Automatiska kontanter eller biljettautomater (sedlar, tågbiljetter). </w:t>
      </w:r>
    </w:p>
    <w:p w14:paraId="07693B6B" w14:textId="1A59726A">
      <w:pPr>
        <w:spacing w:after="0" w:line="240" w:lineRule="auto"/>
        <w:ind w:left="1287"/>
        <w:rPr>
          <w:rFonts w:ascii="Times New Roman" w:hAnsi="Times New Roman" w:cs="Times New Roman"/>
          <w:i/>
          <w:sz w:val="24"/>
          <w:szCs w:val="24"/>
        </w:rPr>
        <w:pStyle w:val="P68B1DB1-Normal12"/>
      </w:pPr>
      <w:r>
        <w:t xml:space="preserve">b) tillträde till vägnät, parkeringsplatser osv., avgifter för användning, även om det finns elektronisk utrustning vid ingången/utfarten som kontrollerar tillträdet och/eller säkerställer korrekt betalning. </w:t>
      </w:r>
    </w:p>
    <w:p w14:paraId="6B193BE7" w14:textId="77777777">
      <w:pPr>
        <w:spacing w:after="0" w:line="240" w:lineRule="auto"/>
        <w:ind w:left="567"/>
        <w:rPr>
          <w:rFonts w:ascii="Times New Roman" w:hAnsi="Times New Roman" w:cs="Times New Roman"/>
          <w:i/>
          <w:sz w:val="24"/>
          <w:szCs w:val="24"/>
        </w:rPr>
        <w:pStyle w:val="P68B1DB1-Normal12"/>
      </w:pPr>
      <w:r>
        <w:t xml:space="preserve">— offlinetjänster: distribution av cd-rom eller programvara på disketter. </w:t>
      </w:r>
    </w:p>
    <w:p w14:paraId="421C0A6C" w14:textId="77777777">
      <w:pPr>
        <w:spacing w:after="0" w:line="240" w:lineRule="auto"/>
        <w:ind w:left="567"/>
        <w:rPr>
          <w:rFonts w:ascii="Times New Roman" w:hAnsi="Times New Roman" w:cs="Times New Roman"/>
          <w:i/>
          <w:sz w:val="24"/>
          <w:szCs w:val="24"/>
        </w:rPr>
        <w:pStyle w:val="P68B1DB1-Normal12"/>
      </w:pPr>
      <w:r>
        <w:t xml:space="preserve">— tjänster som inte tillhandahålls genom elektronisk lagring och databehandling. </w:t>
      </w:r>
    </w:p>
    <w:p w14:paraId="48C8B4AA" w14:textId="77777777">
      <w:pPr>
        <w:spacing w:after="0" w:line="240" w:lineRule="auto"/>
        <w:ind w:left="567" w:firstLine="720"/>
        <w:rPr>
          <w:rFonts w:ascii="Times New Roman" w:hAnsi="Times New Roman" w:cs="Times New Roman"/>
          <w:i/>
          <w:sz w:val="24"/>
          <w:szCs w:val="24"/>
        </w:rPr>
        <w:pStyle w:val="P68B1DB1-Normal12"/>
      </w:pPr>
      <w:r>
        <w:t xml:space="preserve">a) taltelefonitjänster. </w:t>
      </w:r>
    </w:p>
    <w:p w14:paraId="56C7B905" w14:textId="77777777">
      <w:pPr>
        <w:spacing w:after="0" w:line="240" w:lineRule="auto"/>
        <w:ind w:left="567" w:firstLine="720"/>
        <w:rPr>
          <w:rFonts w:ascii="Times New Roman" w:hAnsi="Times New Roman" w:cs="Times New Roman"/>
          <w:i/>
          <w:sz w:val="24"/>
          <w:szCs w:val="24"/>
        </w:rPr>
        <w:pStyle w:val="P68B1DB1-Normal12"/>
      </w:pPr>
      <w:r>
        <w:t xml:space="preserve">b) telefax-/telextjänster. </w:t>
      </w:r>
    </w:p>
    <w:p w14:paraId="4711D7CC" w14:textId="77777777">
      <w:pPr>
        <w:spacing w:after="0" w:line="240" w:lineRule="auto"/>
        <w:ind w:left="567" w:firstLine="720"/>
        <w:rPr>
          <w:rFonts w:ascii="Times New Roman" w:hAnsi="Times New Roman" w:cs="Times New Roman"/>
          <w:i/>
          <w:sz w:val="24"/>
          <w:szCs w:val="24"/>
        </w:rPr>
        <w:pStyle w:val="P68B1DB1-Normal12"/>
      </w:pPr>
      <w:r>
        <w:t xml:space="preserve">c) Tjänster som tillhandahålls via taltelefoni eller fax. </w:t>
      </w:r>
    </w:p>
    <w:p w14:paraId="129084EE" w14:textId="77777777">
      <w:pPr>
        <w:spacing w:after="0" w:line="240" w:lineRule="auto"/>
        <w:ind w:left="567" w:firstLine="720"/>
        <w:rPr>
          <w:rFonts w:ascii="Times New Roman" w:hAnsi="Times New Roman" w:cs="Times New Roman"/>
          <w:i/>
          <w:sz w:val="24"/>
          <w:szCs w:val="24"/>
        </w:rPr>
        <w:pStyle w:val="P68B1DB1-Normal12"/>
      </w:pPr>
      <w:r>
        <w:t xml:space="preserve">d) Telefon- och telefaxkonsultation med läkare. </w:t>
      </w:r>
    </w:p>
    <w:p w14:paraId="4D484D71" w14:textId="77777777">
      <w:pPr>
        <w:spacing w:after="0" w:line="240" w:lineRule="auto"/>
        <w:ind w:left="567" w:firstLine="720"/>
        <w:rPr>
          <w:rFonts w:ascii="Times New Roman" w:hAnsi="Times New Roman" w:cs="Times New Roman"/>
          <w:i/>
          <w:sz w:val="24"/>
          <w:szCs w:val="24"/>
        </w:rPr>
        <w:pStyle w:val="P68B1DB1-Normal12"/>
      </w:pPr>
      <w:r>
        <w:t xml:space="preserve">e) Telefon- eller telefaxkonsultation av en advokat. </w:t>
      </w:r>
    </w:p>
    <w:p w14:paraId="69CFBD9E" w14:textId="77777777">
      <w:pPr>
        <w:spacing w:after="0" w:line="240" w:lineRule="auto"/>
        <w:ind w:left="567" w:firstLine="720"/>
        <w:rPr>
          <w:rFonts w:ascii="Times New Roman" w:hAnsi="Times New Roman" w:cs="Times New Roman"/>
          <w:i/>
          <w:sz w:val="24"/>
          <w:szCs w:val="24"/>
        </w:rPr>
        <w:pStyle w:val="P68B1DB1-Normal12"/>
      </w:pPr>
      <w:r>
        <w:t xml:space="preserve">f) Direkt telefon- och telefaxförsäljning. </w:t>
      </w:r>
    </w:p>
    <w:p w14:paraId="7998BDE8" w14:textId="77777777">
      <w:pPr>
        <w:spacing w:after="0" w:line="240" w:lineRule="auto"/>
        <w:ind w:left="567" w:firstLine="720"/>
        <w:rPr>
          <w:rFonts w:ascii="Times New Roman" w:hAnsi="Times New Roman" w:cs="Times New Roman"/>
          <w:i/>
          <w:sz w:val="24"/>
          <w:szCs w:val="24"/>
        </w:rPr>
      </w:pPr>
    </w:p>
    <w:p w14:paraId="61AA40DF" w14:textId="73BA62B1">
      <w:pPr>
        <w:spacing w:after="0" w:line="240" w:lineRule="auto"/>
        <w:ind w:left="567"/>
        <w:jc w:val="center"/>
        <w:rPr>
          <w:rFonts w:ascii="Times New Roman" w:hAnsi="Times New Roman" w:cs="Times New Roman"/>
          <w:i/>
          <w:sz w:val="24"/>
          <w:szCs w:val="24"/>
        </w:rPr>
        <w:pStyle w:val="P68B1DB1-Normal12"/>
      </w:pPr>
      <w:r>
        <w:t xml:space="preserve">3. Tjänster som inte tillhandahålls på individuell begäran av en mottagare av tjänster</w:t>
      </w:r>
    </w:p>
    <w:p w14:paraId="36C37D64" w14:textId="77777777">
      <w:pPr>
        <w:spacing w:after="0" w:line="240" w:lineRule="auto"/>
        <w:ind w:left="567"/>
        <w:jc w:val="center"/>
        <w:rPr>
          <w:rFonts w:ascii="Times New Roman" w:hAnsi="Times New Roman" w:cs="Times New Roman"/>
          <w:i/>
          <w:sz w:val="24"/>
          <w:szCs w:val="24"/>
        </w:rPr>
      </w:pPr>
    </w:p>
    <w:p w14:paraId="79A4497E" w14:textId="5069126A">
      <w:pPr>
        <w:spacing w:after="0" w:line="240" w:lineRule="auto"/>
        <w:ind w:left="567"/>
        <w:rPr>
          <w:rFonts w:ascii="Times New Roman" w:hAnsi="Times New Roman" w:cs="Times New Roman"/>
          <w:i/>
          <w:sz w:val="24"/>
          <w:szCs w:val="24"/>
        </w:rPr>
        <w:pStyle w:val="P68B1DB1-Normal12"/>
      </w:pPr>
      <w:r>
        <w:t xml:space="preserve">Tjänster som tillhandahålls genom översändning av uppgifter utan individuell begäran och som är avsedda för samtidigt mottagande av ett obegränsat antal mottagare (punkt till flerpunktsöverföring). </w:t>
      </w:r>
    </w:p>
    <w:p w14:paraId="7348FF90" w14:textId="622E29E3">
      <w:pPr>
        <w:spacing w:after="0" w:line="240" w:lineRule="auto"/>
        <w:ind w:left="1287"/>
        <w:rPr>
          <w:rFonts w:ascii="Times New Roman" w:hAnsi="Times New Roman" w:cs="Times New Roman"/>
          <w:i/>
          <w:sz w:val="24"/>
          <w:szCs w:val="24"/>
        </w:rPr>
        <w:pStyle w:val="P68B1DB1-Normal12"/>
      </w:pPr>
      <w:r>
        <w:t xml:space="preserve">a) TV-sändningstjänster (inbegripet beställtjänster) som omfattas av artikel 1.1 e i direktiv 2010/13/EU. </w:t>
      </w:r>
    </w:p>
    <w:p w14:paraId="52812E73" w14:textId="77777777">
      <w:pPr>
        <w:spacing w:after="0" w:line="240" w:lineRule="auto"/>
        <w:ind w:left="567" w:firstLine="720"/>
        <w:rPr>
          <w:rFonts w:ascii="Times New Roman" w:hAnsi="Times New Roman" w:cs="Times New Roman"/>
          <w:i/>
          <w:sz w:val="24"/>
          <w:szCs w:val="24"/>
        </w:rPr>
        <w:pStyle w:val="P68B1DB1-Normal12"/>
      </w:pPr>
      <w:r>
        <w:t xml:space="preserve">b) Radiosändningstjänster. </w:t>
      </w:r>
    </w:p>
    <w:p w14:paraId="50FD6B17" w14:textId="6C6940F1">
      <w:pPr>
        <w:spacing w:after="0" w:line="240" w:lineRule="auto"/>
        <w:ind w:left="567" w:firstLine="720"/>
        <w:pStyle w:val="P68B1DB1-Normal12"/>
      </w:pPr>
      <w:r>
        <w:t xml:space="preserve">(c) (televisionerad) text-text. ”</w:t>
      </w:r>
    </w:p>
    <w:p w14:paraId="4CB8A09D" w14:textId="49490E91">
      <w:pPr>
        <w:pStyle w:val="BodyText"/>
        <w:ind w:left="1440"/>
        <w:jc w:val="right"/>
      </w:pPr>
      <w:r>
        <w:t xml:space="preserve">(Bilaga I till direktiv (EU) 2015/1535)</w:t>
      </w:r>
    </w:p>
    <w:p w14:paraId="4AFCA90D" w14:textId="77777777">
      <w:pPr>
        <w:spacing w:after="0" w:line="240" w:lineRule="auto"/>
      </w:pPr>
    </w:p>
    <w:p w14:paraId="27152DAF" w14:textId="403C1BD4">
      <w:pPr>
        <w:widowControl w:val="0"/>
        <w:autoSpaceDE w:val="0"/>
        <w:autoSpaceDN w:val="0"/>
        <w:spacing w:after="0" w:line="240" w:lineRule="auto"/>
        <w:jc w:val="both"/>
        <w:rPr>
          <w:rFonts w:ascii="Times New Roman" w:hAnsi="Times New Roman" w:cs="Times New Roman" w:eastAsia="Times New Roman"/>
          <w:i/>
          <w:iCs/>
          <w:sz w:val="20"/>
          <w:szCs w:val="16"/>
        </w:rPr>
      </w:pPr>
      <w:hyperlink r:id="rId47" w:history="1">
        <w:r>
          <w:rPr>
            <w:rStyle w:val="Hyperlink"/>
            <w:rFonts w:ascii="Times New Roman" w:hAnsi="Times New Roman" w:cs="Times New Roman" w:eastAsia="Times New Roman"/>
            <w:b/>
            <w:i/>
            <w:color w:val="0000FF"/>
            <w:szCs w:val="20"/>
          </w:rPr>
          <w:t xml:space="preserve">Dom av den 2 juni 2005</w:t>
        </w:r>
      </w:hyperlink>
      <w:r>
        <w:rPr>
          <w:rFonts w:ascii="Times New Roman" w:hAnsi="Times New Roman" w:cs="Times New Roman" w:eastAsia="Times New Roman"/>
          <w:b/>
          <w:i/>
          <w:szCs w:val="20"/>
        </w:rPr>
        <w:t xml:space="preserve">, C-89/04, Mediakabel BV, punkterna 38 och 39</w:t>
      </w:r>
    </w:p>
    <w:p w14:paraId="72864DF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0D3FE7F" w14:textId="7CBF6B01">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En tv-sändningstjänst som tillhandahålls på abonnentens begäran, men för vilken filmens frekvens och tidpunkt bestäms av leverantören, utgör inte en ”informationssamhällets tjänst”, eftersom innehållet väljs och planeras av leverantören och därför inte tillhandahålls på individuell begäran av mottagaren.</w:t>
      </w:r>
    </w:p>
    <w:p w14:paraId="35F17E14"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DC4243A" w14:textId="1EBB386A">
      <w:pPr>
        <w:pStyle w:val="P68B1DB1-Normal15"/>
        <w:widowControl w:val="0"/>
        <w:autoSpaceDE w:val="0"/>
        <w:autoSpaceDN w:val="0"/>
        <w:spacing w:after="0" w:line="240" w:lineRule="auto"/>
        <w:ind w:left="567"/>
        <w:jc w:val="both"/>
      </w:pPr>
      <w:r>
        <w:t xml:space="preserve">”38. Även om en sådan tjänst uppfyller de två första kriterierna för begreppet informationssamhällets tjänst i den mening som avses i artikel 1.2 i direktiv 98/34, nämligen att den tillhandahålls på distans och delvis sänds med hjälp av elektronisk utrustning, uppfyller den inte det tredje kriteriet för nämnda begrepp, enligt vilket den berörda tjänsten ska tillhandahållas ”på individuell begäran av en tjänstemottagare”. Listan över de filmer som erbjuds inom ramen för en tjänst som Filmtime upprättas av tjänsteleverantören. Filmutbudet riktas till samtliga abonnenter på samma villkor, antingen genom tidningar eller genom information på TV-skärmen, och filmerna är tillgängliga på sändningstider som bestäms av denna leverantör. Den personliga nyckel som ger tillgång till filmerna utgör endast ett medel att avkoda bilderna, vars signaler sänds samtidigt till samtliga abonnenter.</w:t>
      </w:r>
    </w:p>
    <w:p w14:paraId="68AEB66F" w14:textId="77777777">
      <w:pPr>
        <w:pStyle w:val="P68B1DB1-Normal15"/>
        <w:widowControl w:val="0"/>
        <w:autoSpaceDE w:val="0"/>
        <w:autoSpaceDN w:val="0"/>
        <w:spacing w:after="0" w:line="240" w:lineRule="auto"/>
        <w:ind w:left="567"/>
        <w:jc w:val="both"/>
      </w:pPr>
    </w:p>
    <w:p w14:paraId="145EEF38" w14:textId="74B1BC98">
      <w:pPr>
        <w:pStyle w:val="P68B1DB1-Normal15"/>
        <w:widowControl w:val="0"/>
        <w:autoSpaceDE w:val="0"/>
        <w:autoSpaceDN w:val="0"/>
        <w:spacing w:after="0" w:line="240" w:lineRule="auto"/>
        <w:ind w:left="567"/>
        <w:jc w:val="both"/>
        <w:rPr>
          <w:iCs/>
        </w:rPr>
      </w:pPr>
      <w:r>
        <w:t xml:space="preserve">39. En sådan tjänst är således inte individuellt beställd av en enstaka mottagare som har ett fritt val bland programmen inom en interaktiv ram. Det ska anses vara en tjänst som är nära beställ-tv och som tillhandahålls på ”punkt-multipunkt-basis” och inte ”på individuell begäran av en tjänstemottagare”. ”</w:t>
      </w:r>
    </w:p>
    <w:p w14:paraId="5E8F8952" w14:textId="190BF10B">
      <w:pPr>
        <w:widowControl w:val="0"/>
        <w:autoSpaceDE w:val="0"/>
        <w:autoSpaceDN w:val="0"/>
        <w:spacing w:after="0" w:line="240" w:lineRule="auto"/>
        <w:ind w:left="567"/>
        <w:jc w:val="both"/>
      </w:pPr>
    </w:p>
    <w:p w14:paraId="6027638F" w14:textId="40792564">
      <w:pPr>
        <w:pStyle w:val="P68B1DB1-Normal13"/>
        <w:widowControl w:val="0"/>
        <w:autoSpaceDE w:val="0"/>
        <w:autoSpaceDN w:val="0"/>
        <w:spacing w:after="0" w:line="240" w:lineRule="auto"/>
        <w:jc w:val="both"/>
        <w:outlineLvl w:val="1"/>
      </w:pPr>
      <w:hyperlink r:id="rId48" w:history="1">
        <w:r>
          <w:rPr>
            <w:color w:val="0000FF"/>
            <w:u w:val="single"/>
          </w:rPr>
          <w:t xml:space="preserve">Domstolens dom av den 2 februari 2016</w:t>
        </w:r>
      </w:hyperlink>
      <w:r>
        <w:t xml:space="preserve"> i mål C-336/14, Ince, punkterna 75 och 76.</w:t>
      </w:r>
      <w:bookmarkEnd w:id="70"/>
    </w:p>
    <w:p w14:paraId="62235723"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32F669F1" w14:textId="7D474CDE">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Style w:val="P68B1DB1-Normal14"/>
      </w:pPr>
      <w:r>
        <w:t xml:space="preserve">Nationella bestämmelser som begränsar utbudet av hasardspel online eller förbjuder onlinereklam för sådana spel kan betraktas som ”regler för tjänster”, eftersom de rör en ”informationssamhällets tjänst”. Bestämmelser om krav på förhandstillstånd för aktörer som anordnar hasardspel eller om förbud mot att bevilja privata aktörer ett sådant tillstånd rör däremot villkoren för etablering av företag och utgör därför inte ”regler för tjänster”.</w:t>
      </w:r>
    </w:p>
    <w:p w14:paraId="156FC50A"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26E8979D" w14:textId="42272F10">
      <w:pPr>
        <w:pStyle w:val="P68B1DB1-Normal15"/>
        <w:widowControl w:val="0"/>
        <w:autoSpaceDE w:val="0"/>
        <w:autoSpaceDN w:val="0"/>
        <w:spacing w:after="0" w:line="240" w:lineRule="auto"/>
        <w:ind w:left="567"/>
        <w:jc w:val="both"/>
      </w:pPr>
      <w:r>
        <w:t xml:space="preserve">”75. [...] vissa av fördragets bestämmelser om spel kan kvalificeras som ”föreskrifter för tjänster”, i den mån de avser en ”informationssamhällets tjänst” i den mening som avses i artikel 1.2 i direktiv 98/34. Bland dessa bestämmelser återfinns förbudet mot att erbjuda hasardspel på internet enligt 4 § (4) i fördraget om hasardspel, de undantag från detta förbud som anges i 25 § (6) i detta fördrag, de begränsningar som införts för att erbjuda sportvadhållning via telemedietjänster enligt 21 (2) § i fördraget och förbudet mot att sända reklam för hasardspel på internet eller via telekommunikationsutrustning enligt 5 (3) § i nämnda fördrag.</w:t>
      </w:r>
    </w:p>
    <w:p w14:paraId="440D35CE" w14:textId="77777777">
      <w:pPr>
        <w:pStyle w:val="P68B1DB1-Normal15"/>
        <w:widowControl w:val="0"/>
        <w:autoSpaceDE w:val="0"/>
        <w:autoSpaceDN w:val="0"/>
        <w:spacing w:after="0" w:line="240" w:lineRule="auto"/>
        <w:ind w:left="567"/>
        <w:jc w:val="both"/>
      </w:pPr>
    </w:p>
    <w:p w14:paraId="7CF19AC0" w14:textId="0AA0DFE8">
      <w:pPr>
        <w:pStyle w:val="P68B1DB1-Normal15"/>
        <w:widowControl w:val="0"/>
        <w:autoSpaceDE w:val="0"/>
        <w:autoSpaceDN w:val="0"/>
        <w:spacing w:after="0" w:line="240" w:lineRule="auto"/>
        <w:ind w:left="567"/>
        <w:jc w:val="both"/>
        <w:rPr>
          <w:iCs/>
        </w:rPr>
      </w:pPr>
      <w:r>
        <w:t xml:space="preserve">76. När det däremot gäller andra bestämmelser i fördraget om hasardspel än de som avser en ”informationssamhällets tjänst”, i den mening som avses i artikel 1.2 i direktiv 98/34, såsom de bestämmelser som inför skyldigheten att erhålla tillstånd att anordna eller samla in sportvadhållning och omöjligheten att utfärda ett sådant tillstånd till privata aktörer, utgör dessa inte ”tekniska föreskrifter” i den mening som avses i artikel 1.11 i direktivet. Nationella bestämmelser som endast fastställer villkor för etablering eller tillhandahållande av tjänster av företag, såsom bestämmelser enligt vilka det krävs förhandstillstånd för att utöva en verksamhet, utgör inte tekniska föreskrifter i den mening som avses i denna bestämmelse (se, för ett liknande resonemang, dom Lindberg, C-267/03, Dubli, punkt 87). ”</w:t>
      </w:r>
    </w:p>
    <w:p w14:paraId="284BC1DD" w14:textId="77777777">
      <w:pPr>
        <w:spacing w:after="0" w:line="240" w:lineRule="auto"/>
      </w:pPr>
    </w:p>
    <w:p w14:paraId="792D1FCB" w14:textId="5D8C5452">
      <w:pPr>
        <w:pStyle w:val="P68B1DB1-Normal13"/>
        <w:widowControl w:val="0"/>
        <w:autoSpaceDE w:val="0"/>
        <w:autoSpaceDN w:val="0"/>
        <w:spacing w:after="0" w:line="240" w:lineRule="auto"/>
        <w:jc w:val="both"/>
        <w:outlineLvl w:val="1"/>
      </w:pPr>
      <w:hyperlink r:id="rId49" w:history="1">
        <w:r>
          <w:rPr>
            <w:color w:val="0000FF"/>
            <w:u w:val="single"/>
          </w:rPr>
          <w:t xml:space="preserve">Domstolens dom av den 13 oktober 2016</w:t>
        </w:r>
      </w:hyperlink>
      <w:r>
        <w:t xml:space="preserve"> i mål C 303/15, Naczelnik Urzędu Celnego I w.</w:t>
        <w:noBreakHyphen/>
        <w:t xml:space="preserve">, punkt 24.</w:t>
      </w:r>
      <w:bookmarkEnd w:id="71"/>
    </w:p>
    <w:p w14:paraId="5329A61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0996FF96" w14:textId="3530BD3E">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En bestämmelse enligt vilken utövandet av spelverksamhet är beroende av att ett kasino har tillstånd att bedriva verksamhet utgör inte en ”föreskrift för tjänster”, eftersom den inte avser en ”informationssamhällets tjänst”.</w:t>
      </w:r>
    </w:p>
    <w:p w14:paraId="1E1EAAA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7469D564" w14:textId="52BCBAAC">
      <w:pPr>
        <w:pStyle w:val="P68B1DB1-Normal15"/>
        <w:widowControl w:val="0"/>
        <w:tabs>
          <w:tab w:val="left" w:pos="396"/>
          <w:tab w:val="left" w:pos="399"/>
        </w:tabs>
        <w:autoSpaceDE w:val="0"/>
        <w:autoSpaceDN w:val="0"/>
        <w:spacing w:after="0" w:line="240" w:lineRule="auto"/>
        <w:ind w:left="567" w:hanging="142"/>
        <w:jc w:val="both"/>
        <w:rPr>
          <w:iCs/>
        </w:rPr>
      </w:pPr>
      <w:r>
        <w:t>”</w:t>
      </w:r>
      <w:bookmarkStart w:id="72" w:name="point24"/>
      <w:r>
        <w:t>24</w:t>
      </w:r>
      <w:bookmarkEnd w:id="72"/>
      <w:r>
        <w:t xml:space="preserve">. [...] denna bestämmelse kan inte hänföras till kategorin ”bestämmelser om [informationssamhällets] tjänster”, i den mening som avses i artikel 1.5 i direktiv 98/34, eftersom den inte avser en ’informationssamhällets tjänst’ i den mening som avses i artikel 1.2 i direktivet. ”</w:t>
      </w:r>
    </w:p>
    <w:p w14:paraId="2022FC13" w14:textId="77777777">
      <w:pPr>
        <w:spacing w:after="0" w:line="240" w:lineRule="auto"/>
      </w:pPr>
    </w:p>
    <w:bookmarkStart w:id="73" w:name="_Hlk202362486"/>
    <w:p w14:paraId="3ED876F3" w14:textId="767BC230">
      <w:pPr>
        <w:pStyle w:val="P68B1DB1-Normal13"/>
        <w:widowControl w:val="0"/>
        <w:autoSpaceDE w:val="0"/>
        <w:autoSpaceDN w:val="0"/>
        <w:spacing w:after="0" w:line="240" w:lineRule="auto"/>
        <w:jc w:val="both"/>
        <w:outlineLvl w:val="1"/>
      </w:pPr>
      <w:r>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Pr>
          <w:color w:val="0000FF"/>
          <w:u w:val="single"/>
        </w:rPr>
        <w:t xml:space="preserve">Dom av den 20 december 2017 i mål C 255/16</w:t>
      </w:r>
      <w:r>
        <w:rPr>
          <w:color w:val="0000FF"/>
          <w:u w:val="single"/>
        </w:rPr>
        <w:fldChar w:fldCharType="end"/>
        <w:noBreakHyphen/>
        <w:t xml:space="preserve">, Falbert m.fl., punkterna 27–29, 32 och 33</w:t>
      </w:r>
      <w:bookmarkEnd w:id="74"/>
    </w:p>
    <w:bookmarkEnd w:id="73"/>
    <w:p w14:paraId="1158306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227D8B" w14:textId="4F8DA22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Nationella bestämmelser om spel- eller reklamtjänster kan utgöra ”föreskrifter för tjänster” om de direkt avser tjänster som tillhandahålls på distans, på elektronisk väg och på individuell begäran av mottagaren. Även om det i ordalydelsen i sådana bestämmelser inte görs någon åtskillnad mellan onlinetjänster och offlinetjänster, kan deras syfte med avseende på ”informationssamhällets tjänster” utläsas av skälen eller </w:t>
      </w:r>
      <w:r>
        <w:rPr>
          <w:i/>
        </w:rPr>
        <w:t>förarbetena</w:t>
      </w:r>
      <w:r>
        <w:t>.</w:t>
      </w:r>
    </w:p>
    <w:p w14:paraId="7F177100" w14:textId="77777777">
      <w:pPr>
        <w:widowControl w:val="0"/>
        <w:autoSpaceDE w:val="0"/>
        <w:autoSpaceDN w:val="0"/>
        <w:spacing w:after="0" w:line="240" w:lineRule="auto"/>
        <w:jc w:val="both"/>
        <w:rPr>
          <w:rFonts w:ascii="Times New Roman" w:hAnsi="Times New Roman" w:cs="Times New Roman" w:eastAsia="Times New Roman"/>
          <w:szCs w:val="20"/>
        </w:rPr>
      </w:pPr>
    </w:p>
    <w:p w14:paraId="7F9B9A73" w14:textId="7410A16D">
      <w:pPr>
        <w:pStyle w:val="P68B1DB1-Normal15"/>
        <w:widowControl w:val="0"/>
        <w:autoSpaceDE w:val="0"/>
        <w:autoSpaceDN w:val="0"/>
        <w:spacing w:after="0" w:line="240" w:lineRule="auto"/>
        <w:ind w:left="567"/>
        <w:jc w:val="both"/>
      </w:pPr>
      <w:r>
        <w:t xml:space="preserve">”27. Det ska erinras om att begreppet ”teknisk föreskrift” enligt artikel 1.2 i direktivet endast omfattar föreskrifter som avser informationssamhällets tjänster, det vill säga alla tjänster som tillhandahålls på distans på elektronisk väg och på individuell begäran av en tjänstemottagare (se dom av den 13 oktober 2016, M. och S., C-303/15, EU:C:21:28, punkt, och dom av den 1 februari 2017, Município de Palmela, C-144/16, Dubli, punkt).</w:t>
      </w:r>
    </w:p>
    <w:p w14:paraId="0F8135B3" w14:textId="77777777">
      <w:pPr>
        <w:pStyle w:val="P68B1DB1-Normal15"/>
        <w:widowControl w:val="0"/>
        <w:autoSpaceDE w:val="0"/>
        <w:autoSpaceDN w:val="0"/>
        <w:spacing w:after="0" w:line="240" w:lineRule="auto"/>
        <w:ind w:left="567"/>
        <w:jc w:val="both"/>
      </w:pPr>
    </w:p>
    <w:p w14:paraId="6AF5DAAF" w14:textId="403D67A9">
      <w:pPr>
        <w:pStyle w:val="P68B1DB1-Normal15"/>
        <w:widowControl w:val="0"/>
        <w:autoSpaceDE w:val="0"/>
        <w:autoSpaceDN w:val="0"/>
        <w:spacing w:after="0" w:line="240" w:lineRule="auto"/>
        <w:ind w:left="567"/>
        <w:jc w:val="both"/>
      </w:pPr>
      <w:r>
        <w:t xml:space="preserve">28. Det ska i detta hänseende påpekas att 10 § (3) (3) i lagen om hasardspel i princip avser två typer av tjänster, nämligen dels reklamtjänster, som omedelbart omfattas av sanktioner enligt denna bestämmelse, dels speltjänster som omfattas av reklamförbudet och som utgör huvudföremålet för spellagen, läst i sin helhet.</w:t>
      </w:r>
    </w:p>
    <w:p w14:paraId="74D3506D" w14:textId="77777777">
      <w:pPr>
        <w:pStyle w:val="P68B1DB1-Normal15"/>
        <w:widowControl w:val="0"/>
        <w:autoSpaceDE w:val="0"/>
        <w:autoSpaceDN w:val="0"/>
        <w:spacing w:after="0" w:line="240" w:lineRule="auto"/>
        <w:ind w:left="567"/>
        <w:jc w:val="both"/>
      </w:pPr>
    </w:p>
    <w:p w14:paraId="5664402E" w14:textId="11E23D14">
      <w:pPr>
        <w:pStyle w:val="P68B1DB1-Normal15"/>
        <w:widowControl w:val="0"/>
        <w:autoSpaceDE w:val="0"/>
        <w:autoSpaceDN w:val="0"/>
        <w:spacing w:after="0" w:line="240" w:lineRule="auto"/>
        <w:ind w:left="567"/>
        <w:jc w:val="both"/>
        <w:rPr>
          <w:iCs/>
        </w:rPr>
      </w:pPr>
      <w:r>
        <w:t xml:space="preserve">29. Såväl reklamtjänster som speltjänster, i den mån de tillhandahålls bland annat på elektronisk väg (online), utgör informationssamhällets tjänster i den mening som avses i artikel 1.2 i direktiv 98/34 och de bestämmelser som rör dessa tjänster, vilka följaktligen kan anses utgöra ”föreskrifter för tjänster” i den mening som avses i artikel 1.5 i direktiv 98/34. ”</w:t>
      </w:r>
    </w:p>
    <w:p w14:paraId="5EFEFCC0" w14:textId="77777777">
      <w:pPr>
        <w:widowControl w:val="0"/>
        <w:autoSpaceDE w:val="0"/>
        <w:autoSpaceDN w:val="0"/>
        <w:spacing w:after="0" w:line="240" w:lineRule="auto"/>
        <w:ind w:left="567"/>
        <w:jc w:val="both"/>
        <w:rPr>
          <w:rFonts w:ascii="Times New Roman" w:hAnsi="Times New Roman" w:cs="Times New Roman" w:eastAsia="Times New Roman"/>
          <w:i/>
          <w:iCs/>
          <w:szCs w:val="20"/>
        </w:rPr>
      </w:pPr>
    </w:p>
    <w:p w14:paraId="41A42BF7" w14:textId="5C64577C">
      <w:pPr>
        <w:pStyle w:val="P68B1DB1-Normal15"/>
        <w:widowControl w:val="0"/>
        <w:autoSpaceDE w:val="0"/>
        <w:autoSpaceDN w:val="0"/>
        <w:spacing w:after="0" w:line="240" w:lineRule="auto"/>
        <w:ind w:left="567"/>
        <w:jc w:val="both"/>
      </w:pPr>
      <w:r>
        <w:t xml:space="preserve">”32. Det ska i detta hänseende för det första påpekas att enligt artikel 1.5 första strecksatsen i direktiv 98/34 ska frågan huruvida en bestämmelse särskilt avser informationssamhällets tjänster bedömas mot bakgrund av såväl motiveringen som bestämmelsens ordalydelse. Av samma bestämmelse framgår dessutom att det inte krävs att den aktuella regeln i sin helhet ”har till särskilt syfte och föremål” att reglera informationssamhällets tjänster, eftersom det är tillräckligt att denna regel i vissa delar har detta syfte eller föremål.</w:t>
      </w:r>
    </w:p>
    <w:p w14:paraId="52376DA8" w14:textId="77777777">
      <w:pPr>
        <w:pStyle w:val="P68B1DB1-Normal15"/>
        <w:widowControl w:val="0"/>
        <w:autoSpaceDE w:val="0"/>
        <w:autoSpaceDN w:val="0"/>
        <w:spacing w:after="0" w:line="240" w:lineRule="auto"/>
        <w:ind w:left="567"/>
        <w:jc w:val="both"/>
      </w:pPr>
    </w:p>
    <w:p w14:paraId="0315D791" w14:textId="4196282E">
      <w:pPr>
        <w:pStyle w:val="P68B1DB1-Normal15"/>
        <w:widowControl w:val="0"/>
        <w:autoSpaceDE w:val="0"/>
        <w:autoSpaceDN w:val="0"/>
        <w:spacing w:after="0" w:line="240" w:lineRule="auto"/>
        <w:ind w:left="567"/>
        <w:jc w:val="both"/>
        <w:rPr>
          <w:iCs/>
        </w:rPr>
      </w:pPr>
      <w:r>
        <w:t xml:space="preserve">33. Om det således inte enbart framgår av ordalydelsen i en nationell bestämmelse att den åtminstone delvis syftar till att reglera informationssamhällets tjänster – såsom i förevarande fall, där det i ordalydelsen inte görs någon åtskillnad mellan tjänster som tillhandahålls offline och tjänster som tillhandahålls online – kan detta syfte inte desto mindre utan vidare framgå av de skäl som angetts för bestämmelsen – återigen som i förevarande fall enligt de relevanta nationella tolkningsbestämmelserna, vilka bland annat gör det möjligt att ge vägledning i förarbetena till bestämmelsen. ”</w:t>
      </w:r>
    </w:p>
    <w:p w14:paraId="4FC111DB" w14:textId="77777777">
      <w:pPr>
        <w:spacing w:after="0" w:line="240" w:lineRule="auto"/>
      </w:pPr>
    </w:p>
    <w:p w14:paraId="61BC4E90" w14:textId="11306B2B">
      <w:pPr>
        <w:pStyle w:val="P68B1DB1-Normal13"/>
        <w:widowControl w:val="0"/>
        <w:autoSpaceDE w:val="0"/>
        <w:autoSpaceDN w:val="0"/>
        <w:spacing w:after="0" w:line="240" w:lineRule="auto"/>
        <w:jc w:val="both"/>
        <w:outlineLvl w:val="1"/>
      </w:pPr>
      <w:hyperlink r:id="rId50" w:history="1">
        <w:r>
          <w:rPr>
            <w:color w:val="0000FF"/>
            <w:u w:val="single"/>
          </w:rPr>
          <w:t xml:space="preserve">Dom av den 20 december 2017</w:t>
        </w:r>
      </w:hyperlink>
      <w:r>
        <w:t xml:space="preserve">, Asociación Profesional Elite Taxi</w:t>
        <w:noBreakHyphen/>
        <w:t xml:space="preserve">, C 434/15, punkterna 37 och 39–41</w:t>
      </w:r>
      <w:bookmarkEnd w:id="75"/>
    </w:p>
    <w:p w14:paraId="101ED87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7072DE" w14:textId="5D866F13">
      <w:pPr>
        <w:widowControl w:val="0"/>
        <w:tabs>
          <w:tab w:val="left" w:pos="446"/>
        </w:tabs>
        <w:autoSpaceDE w:val="0"/>
        <w:autoSpaceDN w:val="0"/>
        <w:spacing w:after="0" w:line="240" w:lineRule="auto"/>
        <w:jc w:val="both"/>
        <w:rPr>
          <w:rFonts w:ascii="Times New Roman" w:hAnsi="Times New Roman" w:cs="Times New Roman" w:eastAsia="Times New Roman"/>
          <w:szCs w:val="20"/>
        </w:rPr>
        <w:pStyle w:val="P68B1DB1-Normal14"/>
      </w:pPr>
      <w:r>
        <w:t xml:space="preserve">En förmedlingstjänst som, via en smarttelefon och mot ersättning, kopplar samman förare som inte är yrkesförare som använder sina egna fordon med personer som söker stadstransporter ska anses ha ett nära samband med en transporttjänst och därmed klassificeras som en ”tjänst på transportområdet” (inte som en ”informationssamhällets tjänst”).</w:t>
      </w:r>
    </w:p>
    <w:p w14:paraId="39437988" w14:textId="77777777">
      <w:pPr>
        <w:widowControl w:val="0"/>
        <w:tabs>
          <w:tab w:val="left" w:pos="446"/>
        </w:tabs>
        <w:autoSpaceDE w:val="0"/>
        <w:autoSpaceDN w:val="0"/>
        <w:spacing w:after="0" w:line="240" w:lineRule="auto"/>
        <w:jc w:val="both"/>
        <w:rPr>
          <w:rFonts w:ascii="Times New Roman" w:hAnsi="Times New Roman" w:cs="Times New Roman" w:eastAsia="Times New Roman"/>
          <w:szCs w:val="20"/>
        </w:rPr>
      </w:pPr>
    </w:p>
    <w:p w14:paraId="2DF36F50" w14:textId="0FDBA667">
      <w:pPr>
        <w:pStyle w:val="P68B1DB1-Normal15"/>
        <w:widowControl w:val="0"/>
        <w:tabs>
          <w:tab w:val="left" w:pos="446"/>
        </w:tabs>
        <w:autoSpaceDE w:val="0"/>
        <w:autoSpaceDN w:val="0"/>
        <w:spacing w:after="0" w:line="240" w:lineRule="auto"/>
        <w:ind w:left="567"/>
        <w:jc w:val="both"/>
        <w:rPr>
          <w:iCs/>
        </w:rPr>
      </w:pPr>
      <w:r>
        <w:t>”</w:t>
      </w:r>
      <w:bookmarkStart w:id="76" w:name="point37"/>
      <w:r>
        <w:t>37</w:t>
      </w:r>
      <w:bookmarkEnd w:id="76"/>
      <w:r>
        <w:t xml:space="preserve">. Det ska emellertid påpekas att en sådan tjänst som den som är i fråga i målet vid den nationella domstolen är mer än en förmedlingstjänst som består i att med hjälp av en applikation för smarttelefoner koppla samman en förare som inte är yrkesförare med sitt eget fordon med en person som vill resa i tätort. ”</w:t>
      </w:r>
    </w:p>
    <w:p w14:paraId="6F022088" w14:textId="77777777">
      <w:pPr>
        <w:widowControl w:val="0"/>
        <w:tabs>
          <w:tab w:val="left" w:pos="446"/>
        </w:tabs>
        <w:autoSpaceDE w:val="0"/>
        <w:autoSpaceDN w:val="0"/>
        <w:spacing w:after="0" w:line="240" w:lineRule="auto"/>
        <w:ind w:left="567"/>
        <w:jc w:val="both"/>
        <w:rPr>
          <w:rFonts w:ascii="Times New Roman" w:hAnsi="Times New Roman" w:cs="Times New Roman" w:eastAsia="Times New Roman"/>
          <w:i/>
          <w:iCs/>
          <w:sz w:val="20"/>
          <w:szCs w:val="16"/>
        </w:rPr>
      </w:pPr>
    </w:p>
    <w:p w14:paraId="311F194E" w14:textId="26FAB3A7">
      <w:pPr>
        <w:pStyle w:val="P68B1DB1-Normal15"/>
        <w:widowControl w:val="0"/>
        <w:tabs>
          <w:tab w:val="left" w:pos="446"/>
        </w:tabs>
        <w:autoSpaceDE w:val="0"/>
        <w:autoSpaceDN w:val="0"/>
        <w:spacing w:after="0" w:line="240" w:lineRule="auto"/>
        <w:ind w:left="567"/>
        <w:jc w:val="both"/>
      </w:pPr>
      <w:r>
        <w:t xml:space="preserve">”39. Det framgår av de uppgifter som domstolen förfogar över att Ubers förmedlingstjänst bygger på rekrytering av förare som inte är yrkesförare och som använder sina egna fordon, vilka bolaget förser med en applikation utan vilken dessa förare inte skulle förmås att tillhandahålla transporttjänster och utan vilken de personer som önskar företa en resa inom en tätort inte skulle ha möjlighet att utnyttja förarnas tjänster. Dessutom utövar Uber ett bestämmande inflytande över villkoren för tillhandahållandet av förarnas tjänster. Det ska på den sista punkten konstateras att Uber med hjälp av applikationen med samma namn fastställer åtminstone maximipriset för körningen, att bolaget uppbär betalning från kunden innan det betalar ut en del till fordonets förare, som inte är yrkesförare, och att det gör vissa kontroller av fordonens och förarnas egenskaper samt förarnas beteenden, som i förekommande fall kan utgöra grund för uteslutning av förare.</w:t>
      </w:r>
    </w:p>
    <w:p w14:paraId="111A8FD1" w14:textId="77777777">
      <w:pPr>
        <w:pStyle w:val="P68B1DB1-Normal15"/>
        <w:widowControl w:val="0"/>
        <w:tabs>
          <w:tab w:val="left" w:pos="446"/>
        </w:tabs>
        <w:autoSpaceDE w:val="0"/>
        <w:autoSpaceDN w:val="0"/>
        <w:spacing w:after="0" w:line="240" w:lineRule="auto"/>
        <w:ind w:left="567"/>
        <w:jc w:val="both"/>
      </w:pPr>
    </w:p>
    <w:p w14:paraId="430C0D88" w14:textId="0D13D8D2">
      <w:pPr>
        <w:pStyle w:val="P68B1DB1-Normal15"/>
        <w:widowControl w:val="0"/>
        <w:tabs>
          <w:tab w:val="left" w:pos="446"/>
        </w:tabs>
        <w:autoSpaceDE w:val="0"/>
        <w:autoSpaceDN w:val="0"/>
        <w:spacing w:after="0" w:line="240" w:lineRule="auto"/>
        <w:ind w:left="567"/>
        <w:jc w:val="both"/>
      </w:pPr>
      <w:r>
        <w:t xml:space="preserve">40. Denna förmedlingstjänst ska således anses utgöra en integrerad del av en övergripande tjänst vars huvudbeståndsdel är en transporttjänst och ska följaktligen inte kvalificeras som ”informationssamhällets tjänster” i den mening som avses i artikel 1.2 i direktiv 98/34, till vilken det hänvisas i artikel 2 a i direktiv 2000/31, utan som ”en tjänst på transportområdet” i den mening som avses i artikel 2.2 d i direktiv 2006/123.</w:t>
      </w:r>
    </w:p>
    <w:p w14:paraId="406FF49F" w14:textId="77777777">
      <w:pPr>
        <w:pStyle w:val="P68B1DB1-Normal15"/>
        <w:widowControl w:val="0"/>
        <w:tabs>
          <w:tab w:val="left" w:pos="446"/>
        </w:tabs>
        <w:autoSpaceDE w:val="0"/>
        <w:autoSpaceDN w:val="0"/>
        <w:spacing w:after="0" w:line="240" w:lineRule="auto"/>
        <w:ind w:left="567"/>
        <w:jc w:val="both"/>
      </w:pPr>
    </w:p>
    <w:p w14:paraId="048208D6" w14:textId="0944F089">
      <w:pPr>
        <w:pStyle w:val="P68B1DB1-Normal15"/>
        <w:widowControl w:val="0"/>
        <w:tabs>
          <w:tab w:val="left" w:pos="446"/>
        </w:tabs>
        <w:autoSpaceDE w:val="0"/>
        <w:autoSpaceDN w:val="0"/>
        <w:spacing w:after="0" w:line="240" w:lineRule="auto"/>
        <w:ind w:left="567"/>
        <w:jc w:val="both"/>
        <w:rPr>
          <w:iCs/>
        </w:rPr>
      </w:pPr>
      <w:r>
        <w:t xml:space="preserve">41. Denna kvalificering bekräftas av domstolens praxis, enligt vilken begreppet ”tjänster på transportområdet” inte bara omfattar transporttjänster i sig utan även varje tjänst som till sin natur är knuten till varje fysisk förflyttning av personer eller varor från en plats till en annan med transportmedel (se, för ett liknande resonemang, dom av den 15 oktober 2015, Grupo Itevelesa m.fl., C-168/14, punkterna 45 och 46, och yttrande 2/15 (frihandelsavtalet med Singapore) av den 16 maj 2017, punkt 61). ”</w:t>
      </w:r>
    </w:p>
    <w:p w14:paraId="058FA7B6" w14:textId="77777777">
      <w:pPr>
        <w:spacing w:after="0" w:line="240" w:lineRule="auto"/>
      </w:pPr>
    </w:p>
    <w:p w14:paraId="21433E65" w14:textId="390C959B">
      <w:pPr>
        <w:pStyle w:val="P68B1DB1-Normal13"/>
        <w:widowControl w:val="0"/>
        <w:autoSpaceDE w:val="0"/>
        <w:autoSpaceDN w:val="0"/>
        <w:spacing w:after="0" w:line="240" w:lineRule="auto"/>
        <w:jc w:val="both"/>
        <w:outlineLvl w:val="1"/>
      </w:pPr>
      <w:hyperlink r:id="rId51" w:history="1">
        <w:r>
          <w:rPr>
            <w:color w:val="0000FF"/>
            <w:u w:val="single"/>
          </w:rPr>
          <w:t xml:space="preserve">Dom av den 10 april 2018</w:t>
        </w:r>
      </w:hyperlink>
      <w:r>
        <w:t xml:space="preserve"> i mål C 320/16,</w:t>
        <w:noBreakHyphen/>
        <w:t xml:space="preserve">Uber France, punkterna 21 och 22.</w:t>
      </w:r>
      <w:bookmarkEnd w:id="77"/>
    </w:p>
    <w:p w14:paraId="2BBD650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1778BB" w14:textId="6B5C30AB">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En bestämmelse i nationell rätt som föreskriver straffrättsliga påföljder för att organisera ett system för att knyta kunder till förare utan nödvändigt tillstånd avser en ”tjänst på transportområdet” (och inte en ”informationssamhällets tjänst”) i den mån den förmedlingstjänst som den är tillämplig på utgör en integrerad del av en övergripande tjänst vars huvudkomponent är transporttjänsten.</w:t>
      </w:r>
    </w:p>
    <w:p w14:paraId="484E7398" w14:textId="77777777">
      <w:pPr>
        <w:widowControl w:val="0"/>
        <w:autoSpaceDE w:val="0"/>
        <w:autoSpaceDN w:val="0"/>
        <w:spacing w:after="0" w:line="240" w:lineRule="auto"/>
        <w:jc w:val="both"/>
        <w:rPr>
          <w:rFonts w:ascii="Times New Roman" w:hAnsi="Times New Roman" w:cs="Times New Roman" w:eastAsia="Times New Roman"/>
          <w:szCs w:val="20"/>
        </w:rPr>
      </w:pPr>
    </w:p>
    <w:p w14:paraId="279EDA7F" w14:textId="32F45CF2">
      <w:pPr>
        <w:pStyle w:val="P68B1DB1-Normal15"/>
        <w:widowControl w:val="0"/>
        <w:autoSpaceDE w:val="0"/>
        <w:autoSpaceDN w:val="0"/>
        <w:spacing w:after="0" w:line="240" w:lineRule="auto"/>
        <w:ind w:left="567"/>
        <w:jc w:val="both"/>
      </w:pPr>
      <w:r>
        <w:t xml:space="preserve">”21. [...] domstolen fann att det berörda bolagets förmedlingstjänst till sin natur hade ett samband med detta bolags erbjudande om tjänster för kollektivtrafik i städer, eftersom detta bolag för det första tillhandahöll en ansökan utan vilken chaufförerna inte skulle ha tvingats tillhandahålla transporttjänster, och de personer som önskade företa en stadsresa inte skulle ha använt de tjänster som dessa förare tillhandahöll, och för det andra utövade bolaget ett avgörande inflytande över villkoren för dessa förares tillhandahållande av tjänster. bland annat genom att fastställa det högsta priset, genom att ta ut detta pris från kunden innan en del av priset betalas till fordonets förare som inte är yrkesförare, och genom att utöva en viss kontroll över fordonens kvalitet, förarna och deras beteende, vilket i förekommande fall skulle kunna leda till att de utesluts (se, för ett liknande resonemang, dom av den 20 december 2017, Asociación Profesional Elite Taxi, C-434/15, punkterna 38 och 39).</w:t>
      </w:r>
    </w:p>
    <w:p w14:paraId="14310B36" w14:textId="77777777">
      <w:pPr>
        <w:pStyle w:val="P68B1DB1-Normal15"/>
        <w:widowControl w:val="0"/>
        <w:autoSpaceDE w:val="0"/>
        <w:autoSpaceDN w:val="0"/>
        <w:spacing w:after="0" w:line="240" w:lineRule="auto"/>
        <w:ind w:left="567"/>
        <w:jc w:val="both"/>
      </w:pPr>
    </w:p>
    <w:p w14:paraId="5AB6B3C6" w14:textId="7B9B1FC8">
      <w:pPr>
        <w:pStyle w:val="P68B1DB1-Normal15"/>
        <w:widowControl w:val="0"/>
        <w:autoSpaceDE w:val="0"/>
        <w:autoSpaceDN w:val="0"/>
        <w:spacing w:after="0" w:line="240" w:lineRule="auto"/>
        <w:ind w:left="567"/>
        <w:jc w:val="both"/>
        <w:rPr>
          <w:iCs/>
        </w:rPr>
      </w:pPr>
      <w:r>
        <w:t xml:space="preserve">22. På grundval av dessa omständigheter fann domstolen att den förmedlingstjänst som var i fråga i det målet skulle anses utgöra en integrerad del av en övergripande tjänst vars huvudbeståndsdel var en transporttjänst och följaktligen inte skulle kvalificeras som en ”informationssamhällets tjänst” i den mening som avses i artikel 1.2 i direktiv 98/34, utan som en ”tjänst på transportområdet” i den mening som avses i artikel 2.2 d i direktiv 2006/123 (se, för ett liknande resonemang, dom av den 20 december 2017, Asociación Profesional Elite Taxi, C-434/15, punkt 40). ”</w:t>
      </w:r>
    </w:p>
    <w:p w14:paraId="061F40AB" w14:textId="77777777">
      <w:pPr>
        <w:spacing w:after="0" w:line="240" w:lineRule="auto"/>
      </w:pPr>
    </w:p>
    <w:p w14:paraId="3262279E" w14:textId="468F0EDF">
      <w:pPr>
        <w:pStyle w:val="P68B1DB1-Normal13"/>
        <w:widowControl w:val="0"/>
        <w:autoSpaceDE w:val="0"/>
        <w:autoSpaceDN w:val="0"/>
        <w:spacing w:after="0" w:line="240" w:lineRule="auto"/>
        <w:jc w:val="both"/>
        <w:outlineLvl w:val="1"/>
      </w:pPr>
      <w:hyperlink r:id="rId52" w:history="1">
        <w:r>
          <w:rPr>
            <w:color w:val="0000FF"/>
            <w:u w:val="single"/>
          </w:rPr>
          <w:t xml:space="preserve">Dom av den 26 september 2018</w:t>
        </w:r>
      </w:hyperlink>
      <w:r>
        <w:t xml:space="preserve"> i mål C-137/17, Van Gennip m.fl., punkterna 42 och 43.</w:t>
      </w:r>
      <w:bookmarkEnd w:id="78"/>
    </w:p>
    <w:p w14:paraId="7A96B26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0CD5B8C" w14:textId="4108D99A">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Nationella bestämmelser enligt vilka saluföringen av produkter villkoras av att köparen innehar ett tillstånd omfattas inte av begreppet ”föreskrift för tjänster”, eftersom de inte avser ”informationssamhällets tjänster”.</w:t>
      </w:r>
    </w:p>
    <w:p w14:paraId="5542E2DA"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725B02E1" w14:textId="700F7E6F">
      <w:pPr>
        <w:pStyle w:val="P68B1DB1-Normal15"/>
        <w:widowControl w:val="0"/>
        <w:tabs>
          <w:tab w:val="left" w:pos="404"/>
        </w:tabs>
        <w:autoSpaceDE w:val="0"/>
        <w:autoSpaceDN w:val="0"/>
        <w:spacing w:after="0" w:line="240" w:lineRule="auto"/>
        <w:ind w:left="567"/>
        <w:jc w:val="both"/>
      </w:pPr>
      <w:r>
        <w:t xml:space="preserve">”42. Vad för det tredje gäller kategorin ”föreskrift för tjänster”, ska det erinras om att enligt artikel 1.5 i direktiv 98/34 utgör en sådan bestämmelse ett allmänt krav på tillträde till och utövande av tjänster som avses i artikel 1.2 i direktivet, vilket avser ”alla informationssamhällets tjänster, det vill säga tjänster som normalt utförs mot ersättning på distans, på elektronisk väg och på individuell begäran av en tjänstemottagare” (dom av den 4 februari 2016, Ince, C-336/14, Dubli, punkt 74).</w:t>
      </w:r>
    </w:p>
    <w:p w14:paraId="288A6CC6" w14:textId="77777777">
      <w:pPr>
        <w:pStyle w:val="P68B1DB1-Normal15"/>
        <w:widowControl w:val="0"/>
        <w:tabs>
          <w:tab w:val="left" w:pos="404"/>
        </w:tabs>
        <w:autoSpaceDE w:val="0"/>
        <w:autoSpaceDN w:val="0"/>
        <w:spacing w:after="0" w:line="240" w:lineRule="auto"/>
        <w:ind w:left="567"/>
        <w:jc w:val="both"/>
      </w:pPr>
    </w:p>
    <w:p w14:paraId="3C78C196" w14:textId="64CBA9D2">
      <w:pPr>
        <w:pStyle w:val="P68B1DB1-Normal15"/>
        <w:widowControl w:val="0"/>
        <w:tabs>
          <w:tab w:val="left" w:pos="404"/>
        </w:tabs>
        <w:autoSpaceDE w:val="0"/>
        <w:autoSpaceDN w:val="0"/>
        <w:spacing w:after="0" w:line="240" w:lineRule="auto"/>
        <w:ind w:left="567"/>
        <w:jc w:val="both"/>
        <w:rPr>
          <w:iCs/>
        </w:rPr>
      </w:pPr>
      <w:r>
        <w:t xml:space="preserve">43. Det kan, såsom generaladvokaten har påpekat i punkt 73 i sitt förslag till avgörande, konstateras att den lagstiftning som är aktuell i det nationella målet inte rör informationssamhällets tjänster i den mening som avses i artikel 1 led 2 i direktiv 98/34. Denna lagstiftning Denna lagstiftning kan således inte omfattas av kategorin ”föreskrifter för tjänster” i den mening som avses i artikel 1.5 i direktivet. ”</w:t>
      </w:r>
    </w:p>
    <w:p w14:paraId="09A4A6F8" w14:textId="77777777">
      <w:pPr>
        <w:spacing w:after="0" w:line="240" w:lineRule="auto"/>
      </w:pPr>
    </w:p>
    <w:p w14:paraId="037D644A" w14:textId="0A9F4072">
      <w:pPr>
        <w:pStyle w:val="P68B1DB1-Normal13"/>
        <w:widowControl w:val="0"/>
        <w:autoSpaceDE w:val="0"/>
        <w:autoSpaceDN w:val="0"/>
        <w:spacing w:after="0" w:line="240" w:lineRule="auto"/>
        <w:jc w:val="both"/>
        <w:outlineLvl w:val="1"/>
      </w:pPr>
      <w:hyperlink r:id="rId53" w:history="1">
        <w:r>
          <w:rPr>
            <w:color w:val="0000FF"/>
            <w:u w:val="single"/>
          </w:rPr>
          <w:t xml:space="preserve">Dom av den 12 september 2019</w:t>
        </w:r>
      </w:hyperlink>
      <w:r>
        <w:t xml:space="preserve"> i mål C-299/17, VG Media, punkterna 32, 33 och 36</w:t>
      </w:r>
      <w:bookmarkEnd w:id="79"/>
    </w:p>
    <w:p w14:paraId="7C7D0A2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D8C5548"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En nationell bestämmelse som förbjuder kommersiella sökmotorleverantörer och leverantörer av kommersiella innehållstjänster att göra tidningar tillgängliga för allmänheten utgör en ”teknisk föreskrift” och ska anmälas till kommissionen.</w:t>
      </w:r>
    </w:p>
    <w:p w14:paraId="0BB0ABF6" w14:textId="77777777">
      <w:pPr>
        <w:widowControl w:val="0"/>
        <w:autoSpaceDE w:val="0"/>
        <w:autoSpaceDN w:val="0"/>
        <w:spacing w:after="0" w:line="240" w:lineRule="auto"/>
        <w:jc w:val="both"/>
        <w:rPr>
          <w:rFonts w:ascii="Times New Roman" w:hAnsi="Times New Roman" w:cs="Times New Roman" w:eastAsia="Times New Roman"/>
          <w:szCs w:val="20"/>
        </w:rPr>
      </w:pPr>
    </w:p>
    <w:p w14:paraId="358DF62E" w14:textId="3E77F068">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En regel anses vara specifikt inriktad på ”informationssamhällets tjänster” om vissa bestämmelser har detta syfte, även om det inte är regelns enda syfte. Detta syfte kan härledas ur de angivna skälen till bestämmelsen, vilka kan återfinnas i förarbetena, även om de inte uttryckligen framgår av själva bestämmelsens ordalydelse.</w:t>
      </w:r>
    </w:p>
    <w:p w14:paraId="2BFD5FE9" w14:textId="77777777">
      <w:pPr>
        <w:widowControl w:val="0"/>
        <w:autoSpaceDE w:val="0"/>
        <w:autoSpaceDN w:val="0"/>
        <w:spacing w:after="0" w:line="240" w:lineRule="auto"/>
        <w:jc w:val="both"/>
        <w:rPr>
          <w:rFonts w:ascii="Times New Roman" w:hAnsi="Times New Roman" w:cs="Times New Roman" w:eastAsia="Times New Roman"/>
          <w:szCs w:val="20"/>
        </w:rPr>
      </w:pPr>
    </w:p>
    <w:p w14:paraId="2032E553" w14:textId="2A9A7661">
      <w:pPr>
        <w:pStyle w:val="P68B1DB1-Normal15"/>
        <w:widowControl w:val="0"/>
        <w:autoSpaceDE w:val="0"/>
        <w:autoSpaceDN w:val="0"/>
        <w:spacing w:after="0" w:line="240" w:lineRule="auto"/>
        <w:ind w:left="567"/>
        <w:jc w:val="both"/>
      </w:pPr>
      <w:r>
        <w:t xml:space="preserve">”32. Det ska i detta hänseende erinras om att enligt artikel 1.5 första strecksatsen i direktivet ska en bestämmelse anses särskilt avse informationssamhällets tjänster, med beaktande av såväl motiveringen som artikeldelen. Enligt samma bestämmelse krävs det inte heller att ”det särskilda syftet och syftet” med hela den aktuella bestämmelsen är att reglera informationssamhällets tjänster, eftersom det är tillräckligt att bestämmelsen eftersträvar detta syfte eller syfte i vissa av dess bestämmelser (dom av den 20 december 2017, Falbert m.fl., C-255/16, Dubli, punkt 32).</w:t>
      </w:r>
    </w:p>
    <w:p w14:paraId="5B946C01" w14:textId="77777777">
      <w:pPr>
        <w:pStyle w:val="P68B1DB1-Normal15"/>
        <w:widowControl w:val="0"/>
        <w:autoSpaceDE w:val="0"/>
        <w:autoSpaceDN w:val="0"/>
        <w:spacing w:after="0" w:line="240" w:lineRule="auto"/>
        <w:ind w:left="567"/>
        <w:jc w:val="both"/>
      </w:pPr>
    </w:p>
    <w:p w14:paraId="6C09ADB6" w14:textId="15077D61">
      <w:pPr>
        <w:pStyle w:val="P68B1DB1-Normal15"/>
        <w:widowControl w:val="0"/>
        <w:autoSpaceDE w:val="0"/>
        <w:autoSpaceDN w:val="0"/>
        <w:spacing w:after="0" w:line="240" w:lineRule="auto"/>
        <w:ind w:left="567"/>
        <w:jc w:val="both"/>
        <w:rPr>
          <w:iCs/>
        </w:rPr>
      </w:pPr>
      <w:r>
        <w:t xml:space="preserve">33. Även om det inte enbart framgår av ordalydelsen i en nationell bestämmelse att den åtminstone delvis syftar till att specifikt reglera informationssamhällets tjänster, kan detta syfte inte desto mindre utan vidare framgå av de skäl som angetts för bestämmelsen, såsom de framgår, i enlighet med relevanta nationella tolkningsregler i detta avseende, bland annat av förarbetena till bestämmelsen (se, för ett liknande resonemang, dom av den 20 december 2017, Falbert m.fl., C-255/16, Dubli, punkt 33). ”</w:t>
      </w:r>
    </w:p>
    <w:p w14:paraId="4A5A1EDF"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7E5F1F4F" w14:textId="288395A0">
      <w:pPr>
        <w:pStyle w:val="P68B1DB1-Normal15"/>
        <w:widowControl w:val="0"/>
        <w:autoSpaceDE w:val="0"/>
        <w:autoSpaceDN w:val="0"/>
        <w:spacing w:after="0" w:line="240" w:lineRule="auto"/>
        <w:ind w:left="567"/>
        <w:jc w:val="both"/>
        <w:rPr>
          <w:iCs/>
        </w:rPr>
      </w:pPr>
      <w:r>
        <w:t>”</w:t>
      </w:r>
      <w:bookmarkStart w:id="80" w:name="point36"/>
      <w:r>
        <w:t>36</w:t>
      </w:r>
      <w:bookmarkEnd w:id="80"/>
      <w:r>
        <w:t xml:space="preserve">. Även om den hänskjutande domstolen inte har lämnat några klara anvisningar om det specifika syftet med och föremålet för den nationella lagstiftning som är i fråga i det nationella målet, framgår det emellertid av den tyska regeringens yttranden under förhandlingen vid domstolen att ändringen av UrhG specifikt avsåg tillhandahållare av sökmotorer på internet. Vidare har parterna i det nationella målet och kommissionen angett i sina skriftliga yttranden att syftet med denna lagstiftning var att skydda de legitima intressena för pressutgivarna i den digitala världen. Det framgår således att huvudföremålet för och syftet med den nationella bestämmelse som är i fråga i det nationella målet var att skydda dessa utgivare mot intrång i upphovsrätten genom sökmotorer på internet. I detta sammanhang förefaller skyddet ha ansetts nödvändigt endast för systematiska överträdelser av onlineutgivares verk av leverantörer av informationssamhällets tjänster. ”</w:t>
      </w:r>
    </w:p>
    <w:p w14:paraId="5918FFD9" w14:textId="77777777">
      <w:pPr>
        <w:spacing w:after="0" w:line="240" w:lineRule="auto"/>
      </w:pPr>
    </w:p>
    <w:p w14:paraId="76F47905" w14:textId="651D9AB2">
      <w:pPr>
        <w:pStyle w:val="P68B1DB1-Normal13"/>
        <w:spacing w:after="0" w:line="240" w:lineRule="auto"/>
      </w:pPr>
      <w:hyperlink r:id="rId54" w:history="1">
        <w:r>
          <w:rPr>
            <w:color w:val="0000FF"/>
            <w:u w:val="single"/>
          </w:rPr>
          <w:t xml:space="preserve">Dom av den 19 december 2019</w:t>
        </w:r>
      </w:hyperlink>
      <w:r>
        <w:t xml:space="preserve"> i mål C 390/18</w:t>
        <w:noBreakHyphen/>
        <w:t xml:space="preserve">, Airbnb Ireland, punkterna 64–68 och 99</w:t>
      </w:r>
    </w:p>
    <w:p w14:paraId="1BD3BE16" w14:textId="77777777">
      <w:pPr>
        <w:widowControl w:val="0"/>
        <w:autoSpaceDE w:val="0"/>
        <w:autoSpaceDN w:val="0"/>
        <w:spacing w:after="0" w:line="240" w:lineRule="auto"/>
        <w:jc w:val="both"/>
        <w:rPr>
          <w:rFonts w:ascii="Times New Roman" w:hAnsi="Times New Roman" w:cs="Times New Roman" w:eastAsia="Times New Roman"/>
          <w:szCs w:val="20"/>
        </w:rPr>
      </w:pPr>
    </w:p>
    <w:p w14:paraId="5CA625E2"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En förmedlingstjänst som kopplar samman kunder med värdar som erbjuder korttidsuthyrning via en elektronisk plattform utgör, samtidigt som den tillhandahåller kompletterande tjänster, en ”informationssamhällets tjänst”, eftersom de kompletterande tjänsterna inte ger något betydande inflytande över tillhandahållandet av inkvarteringstjänsterna.</w:t>
      </w:r>
    </w:p>
    <w:p w14:paraId="6D083E5E" w14:textId="77777777">
      <w:pPr>
        <w:widowControl w:val="0"/>
        <w:autoSpaceDE w:val="0"/>
        <w:autoSpaceDN w:val="0"/>
        <w:spacing w:after="0" w:line="240" w:lineRule="auto"/>
        <w:jc w:val="both"/>
        <w:rPr>
          <w:rFonts w:ascii="Times New Roman" w:hAnsi="Times New Roman" w:cs="Times New Roman" w:eastAsia="Times New Roman"/>
          <w:szCs w:val="20"/>
        </w:rPr>
      </w:pPr>
    </w:p>
    <w:p w14:paraId="42B56B92" w14:textId="704D923C">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För att en tjänst ska klassificeras som en ”informationssamhällets tjänst” måste den kumulativt uppfylla följande fyra villkor: det ska tillhandahållas mot ersättning, på distans, på elektronisk väg och på individuell begäran av mottagaren.</w:t>
      </w:r>
    </w:p>
    <w:p w14:paraId="1136EA60" w14:textId="77777777">
      <w:pPr>
        <w:widowControl w:val="0"/>
        <w:autoSpaceDE w:val="0"/>
        <w:autoSpaceDN w:val="0"/>
        <w:spacing w:after="0" w:line="240" w:lineRule="auto"/>
        <w:jc w:val="both"/>
        <w:rPr>
          <w:rFonts w:ascii="Times New Roman" w:hAnsi="Times New Roman" w:cs="Times New Roman" w:eastAsia="Times New Roman"/>
          <w:szCs w:val="20"/>
        </w:rPr>
      </w:pPr>
    </w:p>
    <w:p w14:paraId="6389A1A6" w14:textId="0A8C6391">
      <w:pPr>
        <w:pStyle w:val="P68B1DB1-Normal15"/>
        <w:widowControl w:val="0"/>
        <w:autoSpaceDE w:val="0"/>
        <w:autoSpaceDN w:val="0"/>
        <w:spacing w:after="0" w:line="240" w:lineRule="auto"/>
        <w:ind w:left="567"/>
        <w:jc w:val="both"/>
      </w:pPr>
      <w:r>
        <w:t xml:space="preserve">”64. Inte ens sammantagna kan de tjänster, oavsett om de är valfria eller inte, vilka tillhandahålls av Airbnb Ireland och som nämnts i punkterna 59–63 ovan, föranleda någon annan bedömning än att den förmedlingstjänst som detta bolag tillhandahåller är avskiljbar, och följaktligen ska anses vara en av ”informationssamhällets tjänster”, utan att därigenom väsentligen förändra tjänstens specifika kännetecken. Det skulle för övrigt vara paradoxalt om sådana accessoriska mervärdestjänster som en elektronisk plattform erbjuder sina kunder, bland annat för att skilja sig från sina konkurrenter, i avsaknad av ytterligare omständigheter, skulle kunna leda till en ändring av beskaffenheten, och följaktligen den rättsliga kvalificeringen, av den verksamhet som bedrivs via denna plattform, såsom generaladvokaten har påpekat i punkt 46 i sitt förslag till avgörande.</w:t>
      </w:r>
    </w:p>
    <w:p w14:paraId="320B5232" w14:textId="77777777">
      <w:pPr>
        <w:pStyle w:val="P68B1DB1-Normal15"/>
        <w:widowControl w:val="0"/>
        <w:autoSpaceDE w:val="0"/>
        <w:autoSpaceDN w:val="0"/>
        <w:spacing w:after="0" w:line="240" w:lineRule="auto"/>
        <w:ind w:left="567"/>
        <w:jc w:val="both"/>
      </w:pPr>
    </w:p>
    <w:p w14:paraId="775D096C" w14:textId="35786B0F">
      <w:pPr>
        <w:pStyle w:val="P68B1DB1-Normal15"/>
        <w:widowControl w:val="0"/>
        <w:autoSpaceDE w:val="0"/>
        <w:autoSpaceDN w:val="0"/>
        <w:spacing w:after="0" w:line="240" w:lineRule="auto"/>
        <w:ind w:left="567"/>
        <w:jc w:val="both"/>
      </w:pPr>
      <w:r>
        <w:t xml:space="preserve">65. Dessutom, och i motsats till vad AHTOP och den franska regeringen har hävdat, kan reglerna för driften av en sådan förmedlingstjänst som Airbnb tillhandahåller inte likställas med reglerna för den förmedlingstjänst som gav upphov till dom av den 20 december 2017, Asociación Profesional Elite Taxi (C-434/15, punkt 39), och dom av den 10 april 2018, Uber France (C-320/16, punkt 21).</w:t>
      </w:r>
    </w:p>
    <w:p w14:paraId="473F7C74" w14:textId="77777777">
      <w:pPr>
        <w:pStyle w:val="P68B1DB1-Normal15"/>
        <w:widowControl w:val="0"/>
        <w:autoSpaceDE w:val="0"/>
        <w:autoSpaceDN w:val="0"/>
        <w:spacing w:after="0" w:line="240" w:lineRule="auto"/>
        <w:ind w:left="567"/>
        <w:jc w:val="both"/>
      </w:pPr>
    </w:p>
    <w:p w14:paraId="699650AB" w14:textId="336149BD">
      <w:pPr>
        <w:pStyle w:val="P68B1DB1-Normal15"/>
        <w:widowControl w:val="0"/>
        <w:autoSpaceDE w:val="0"/>
        <w:autoSpaceDN w:val="0"/>
        <w:spacing w:after="0" w:line="240" w:lineRule="auto"/>
        <w:ind w:left="567"/>
        <w:jc w:val="both"/>
      </w:pPr>
      <w:r>
        <w:t xml:space="preserve">66. Utöver den omständigheten att nämnda domar rörde det specifika sammanhang som utgörs av lokal persontransport på vilken artikel 58.1 FEUF är tillämplig och att de tjänster som tillhandahålls av Airbnb Ireland inte är jämförbara med de tjänster som var i fråga i de mål som avgjordes genom de domar som nämns i föregående punkt, är det inte på grundval av de accessoriska tjänster som anges i punkterna 59–63 ovan visat att det förelegat en kontrollnivå som motsvarar den som domstolen konstaterade förelåg i nämnda domar.</w:t>
      </w:r>
    </w:p>
    <w:p w14:paraId="46A1AADB" w14:textId="77777777">
      <w:pPr>
        <w:pStyle w:val="P68B1DB1-Normal15"/>
        <w:widowControl w:val="0"/>
        <w:autoSpaceDE w:val="0"/>
        <w:autoSpaceDN w:val="0"/>
        <w:spacing w:after="0" w:line="240" w:lineRule="auto"/>
        <w:ind w:left="567"/>
        <w:jc w:val="both"/>
      </w:pPr>
    </w:p>
    <w:p w14:paraId="43245B44" w14:textId="73F9E124">
      <w:pPr>
        <w:pStyle w:val="P68B1DB1-Normal15"/>
        <w:widowControl w:val="0"/>
        <w:autoSpaceDE w:val="0"/>
        <w:autoSpaceDN w:val="0"/>
        <w:spacing w:after="0" w:line="240" w:lineRule="auto"/>
        <w:ind w:left="567"/>
        <w:jc w:val="both"/>
      </w:pPr>
      <w:r>
        <w:t xml:space="preserve">67. Domstolen preciserade således i dessa domar att Uber utövade ett avgörande inflytande över villkoren för tillhandahållande av transporttjänster av förare som inte är yrkesförare på grundval av den ansökan som bolaget ställt till deras förfogande (dom av den 20 december 2017, Asociación Profesional Elite Taxi, C-434/15, Dubli, punkt 39, och dom av den 10 april 2018, Uber France, C-320/16, Dubli, punkt 21).</w:t>
      </w:r>
    </w:p>
    <w:p w14:paraId="64CE1305" w14:textId="77777777">
      <w:pPr>
        <w:pStyle w:val="P68B1DB1-Normal15"/>
        <w:widowControl w:val="0"/>
        <w:autoSpaceDE w:val="0"/>
        <w:autoSpaceDN w:val="0"/>
        <w:spacing w:after="0" w:line="240" w:lineRule="auto"/>
        <w:ind w:left="567"/>
        <w:jc w:val="both"/>
      </w:pPr>
    </w:p>
    <w:p w14:paraId="44EC953C" w14:textId="0BF6EC00">
      <w:pPr>
        <w:pStyle w:val="P68B1DB1-Normal15"/>
        <w:widowControl w:val="0"/>
        <w:autoSpaceDE w:val="0"/>
        <w:autoSpaceDN w:val="0"/>
        <w:spacing w:after="0" w:line="240" w:lineRule="auto"/>
        <w:ind w:left="567"/>
        <w:jc w:val="both"/>
      </w:pPr>
      <w:r>
        <w:t xml:space="preserve">68. De omständigheter som den hänskjutande domstolen har nämnt och som det erinrats om i punkt 19 ovan visar inte att Airbnb Ireland utövar ett sådant avgörande inflytande över villkoren för tillhandahållandet av de inkvarteringstjänster som dess förmedlingstjänst avser, i synnerhet som Airbnb Ireland inte direkt eller indirekt bestämmer det hyrespris som tas ut, såsom har fastställts i punkterna 56 och 62 i förevarande dom, och än mindre väljer värdarna eller de bostäder som ska hyras på dess plattform. ”</w:t>
      </w:r>
    </w:p>
    <w:p w14:paraId="4325E66E"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2005D651" w14:textId="190F88B2">
      <w:pPr>
        <w:pStyle w:val="P68B1DB1-Normal15"/>
        <w:widowControl w:val="0"/>
        <w:autoSpaceDE w:val="0"/>
        <w:autoSpaceDN w:val="0"/>
        <w:spacing w:after="0" w:line="240" w:lineRule="auto"/>
        <w:ind w:left="567"/>
        <w:jc w:val="both"/>
        <w:rPr>
          <w:iCs/>
        </w:rPr>
      </w:pPr>
      <w:r>
        <w:t>”</w:t>
      </w:r>
      <w:bookmarkStart w:id="81" w:name="point99"/>
      <w:r>
        <w:t>99</w:t>
      </w:r>
      <w:bookmarkEnd w:id="81"/>
      <w:r>
        <w:t xml:space="preserve">. Med hänsyn till att Republiken Frankrike inte har anmält Hoguet-lagen och med hänsyn till att villkoren i artikel 3.4 i direktiv 2000/31, vilka det erinrats om i punkterna 84 och 85 ovan, är kumulativa, finner domstolen att denna lag under alla omständigheter inte kan tillämpas på en enskild person som befinner sig i en sådan situation som Airbnb Ireland i det nationella målet, oberoende av huruvida denna lag uppfyller de övriga villkoren i denna bestämmelse. ”</w:t>
      </w:r>
    </w:p>
    <w:p w14:paraId="261461B1" w14:textId="77777777">
      <w:pPr>
        <w:spacing w:after="0" w:line="240" w:lineRule="auto"/>
      </w:pPr>
    </w:p>
    <w:p w14:paraId="602C58A9" w14:textId="0E3EBA31">
      <w:pPr>
        <w:pStyle w:val="P68B1DB1-Normal13"/>
        <w:widowControl w:val="0"/>
        <w:autoSpaceDE w:val="0"/>
        <w:autoSpaceDN w:val="0"/>
        <w:spacing w:after="0" w:line="240" w:lineRule="auto"/>
        <w:jc w:val="both"/>
        <w:outlineLvl w:val="1"/>
      </w:pPr>
      <w:hyperlink r:id="rId55" w:history="1">
        <w:r>
          <w:rPr>
            <w:color w:val="0000FF"/>
            <w:u w:val="single"/>
          </w:rPr>
          <w:t xml:space="preserve">Dom av den 22 oktober 2020</w:t>
        </w:r>
      </w:hyperlink>
      <w:r>
        <w:t xml:space="preserve">, Sportingbet och Internet Opportunity Entertainment,</w:t>
        <w:noBreakHyphen/>
        <w:t xml:space="preserve">C 275/19, punkterna 47–49.</w:t>
      </w:r>
      <w:bookmarkEnd w:id="82"/>
    </w:p>
    <w:p w14:paraId="2052450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2E09A3" w14:textId="049CB57F">
      <w:pPr>
        <w:pStyle w:val="P68B1DB1-Normal14"/>
        <w:widowControl w:val="0"/>
        <w:autoSpaceDE w:val="0"/>
        <w:autoSpaceDN w:val="0"/>
        <w:spacing w:after="0" w:line="240" w:lineRule="auto"/>
        <w:jc w:val="both"/>
        <w:outlineLvl w:val="1"/>
      </w:pPr>
      <w:bookmarkStart w:id="83" w:name="_Toc198043836"/>
      <w:r>
        <w:t xml:space="preserve">En lagstiftning som ger ett offentligt organ ensamrätt att bedriva vissa hasardspel, däribland på internet, omfattas av definitionen av ”föreskrifter för tjänster” i den mån de avser en av informationssamhällets tjänster.</w:t>
      </w:r>
      <w:bookmarkEnd w:id="83"/>
    </w:p>
    <w:p w14:paraId="7434769F"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312EA22E" w14:textId="5FE50AED">
      <w:pPr>
        <w:pStyle w:val="P68B1DB1-Normal15"/>
        <w:widowControl w:val="0"/>
        <w:autoSpaceDE w:val="0"/>
        <w:autoSpaceDN w:val="0"/>
        <w:spacing w:after="0" w:line="240" w:lineRule="auto"/>
        <w:ind w:left="567"/>
        <w:jc w:val="both"/>
        <w:outlineLvl w:val="1"/>
        <w:rPr>
          <w:bCs/>
        </w:rPr>
      </w:pPr>
      <w:bookmarkStart w:id="84" w:name="_Toc198043837"/>
      <w:r>
        <w:t xml:space="preserve">”47. Enligt artikel 1.5 i direktivet utgörs ”föreskrifter för tjänster” av alla allmänna krav som rör rätten att starta och utöva sådan tjänsteverksamhet som avses i artikel 1.2 i direktivet, däribland ”alla informationssamhällets tjänster, det vill säga tjänster som normalt utförs mot ersättning på distans, på elektronisk väg och på individuell begäran av en tjänstemottagare”.</w:t>
      </w:r>
      <w:bookmarkEnd w:id="84"/>
    </w:p>
    <w:p w14:paraId="65107F99" w14:textId="77777777">
      <w:pPr>
        <w:pStyle w:val="P68B1DB1-Normal15"/>
        <w:widowControl w:val="0"/>
        <w:autoSpaceDE w:val="0"/>
        <w:autoSpaceDN w:val="0"/>
        <w:spacing w:after="0" w:line="240" w:lineRule="auto"/>
        <w:ind w:left="567"/>
        <w:jc w:val="both"/>
        <w:outlineLvl w:val="1"/>
        <w:rPr>
          <w:bCs/>
        </w:rPr>
      </w:pPr>
    </w:p>
    <w:p w14:paraId="44FBF5F6" w14:textId="02996DEF">
      <w:pPr>
        <w:pStyle w:val="P68B1DB1-Normal15"/>
        <w:widowControl w:val="0"/>
        <w:autoSpaceDE w:val="0"/>
        <w:autoSpaceDN w:val="0"/>
        <w:spacing w:after="0" w:line="240" w:lineRule="auto"/>
        <w:ind w:left="567"/>
        <w:jc w:val="both"/>
        <w:outlineLvl w:val="1"/>
        <w:rPr>
          <w:bCs/>
        </w:rPr>
      </w:pPr>
      <w:bookmarkStart w:id="85" w:name="_Toc198043838"/>
      <w:r>
        <w:t xml:space="preserve">48. Domstolen har i detta avseende redan slagit fast att bestämmelser om förbudet mot att erbjuda hasardspel på internet, undantagen från detta förbud, begränsningarna för att erbjuda sportvadhållning på internet och förbudet mot att sända reklam för hasardspel på internet kan kvalificeras som ”föreskrifter för tjänster” i den mening som avses i artikel 1.5 i direktiv 98/34, i den mån de avser en ”informationssamhällets tjänst” i den mening som avses i artikel 1.2 i direktivet (se, analogt, dom av den 4 februari 2016, Ince, C-336/14, Dubli, punkt 75).</w:t>
      </w:r>
      <w:bookmarkEnd w:id="85"/>
    </w:p>
    <w:p w14:paraId="1117AEFE" w14:textId="77777777">
      <w:pPr>
        <w:pStyle w:val="P68B1DB1-Normal15"/>
        <w:widowControl w:val="0"/>
        <w:autoSpaceDE w:val="0"/>
        <w:autoSpaceDN w:val="0"/>
        <w:spacing w:after="0" w:line="240" w:lineRule="auto"/>
        <w:ind w:left="567"/>
        <w:jc w:val="both"/>
        <w:outlineLvl w:val="1"/>
        <w:rPr>
          <w:bCs/>
        </w:rPr>
      </w:pPr>
    </w:p>
    <w:p w14:paraId="6626E676" w14:textId="509677C9">
      <w:pPr>
        <w:pStyle w:val="P68B1DB1-Normal15"/>
        <w:widowControl w:val="0"/>
        <w:autoSpaceDE w:val="0"/>
        <w:autoSpaceDN w:val="0"/>
        <w:spacing w:after="0" w:line="240" w:lineRule="auto"/>
        <w:ind w:left="567"/>
        <w:jc w:val="both"/>
        <w:outlineLvl w:val="1"/>
        <w:rPr>
          <w:bCs/>
        </w:rPr>
      </w:pPr>
      <w:bookmarkStart w:id="86" w:name="_Toc198043839"/>
      <w:r>
        <w:t xml:space="preserve">49. I förevarande fall avser bestämmelserna i artiklarna 2 och 3 i lagdekret nr 282/2003 specifikt informationssamhällets tjänster. Till följd av att Santa Casa tilldelats ensamrätt att bedriva hasardspel på internet förbjuder dessa bestämmelser dessutom alla ekonomiska aktörer att tillhandahålla dessa tjänster, med undantag för Santa Casa. ”</w:t>
      </w:r>
      <w:bookmarkEnd w:id="86"/>
    </w:p>
    <w:p w14:paraId="4D056F67" w14:textId="77777777">
      <w:pPr>
        <w:spacing w:after="0" w:line="240" w:lineRule="auto"/>
      </w:pPr>
    </w:p>
    <w:p w14:paraId="07196289" w14:textId="29A89F4E">
      <w:pPr>
        <w:pStyle w:val="P68B1DB1-Normal13"/>
        <w:widowControl w:val="0"/>
        <w:autoSpaceDE w:val="0"/>
        <w:autoSpaceDN w:val="0"/>
        <w:spacing w:after="0" w:line="240" w:lineRule="auto"/>
        <w:jc w:val="both"/>
        <w:outlineLvl w:val="1"/>
      </w:pPr>
      <w:hyperlink r:id="rId56" w:history="1">
        <w:r>
          <w:rPr>
            <w:color w:val="0000FF"/>
            <w:u w:val="single"/>
          </w:rPr>
          <w:t xml:space="preserve">Dom av den 3 december 2020</w:t>
        </w:r>
      </w:hyperlink>
      <w:r>
        <w:t xml:space="preserve">, Star Taxi App</w:t>
        <w:noBreakHyphen/>
        <w:t xml:space="preserve">, C 62/19, punkterna 52–54 och 64–66</w:t>
      </w:r>
      <w:bookmarkEnd w:id="87"/>
    </w:p>
    <w:p w14:paraId="73E5D15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B75F1E" w14:textId="4E123154">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En förmedlingstjänst som endast kopplar samman kunder med redan auktoriserade taxiförare – utan att själv organisera transporttjänsten, välja förare, fastställa priser eller utöva kontroll över fordon eller förare – ingår i kategorin ”informationssamhällets tjänster”.</w:t>
      </w:r>
    </w:p>
    <w:p w14:paraId="53C8E268" w14:textId="77777777">
      <w:pPr>
        <w:widowControl w:val="0"/>
        <w:tabs>
          <w:tab w:val="left" w:pos="437"/>
        </w:tabs>
        <w:autoSpaceDE w:val="0"/>
        <w:autoSpaceDN w:val="0"/>
        <w:spacing w:after="0" w:line="240" w:lineRule="auto"/>
        <w:ind w:hanging="142"/>
        <w:jc w:val="both"/>
        <w:rPr>
          <w:rFonts w:ascii="Times New Roman" w:hAnsi="Times New Roman" w:cs="Times New Roman" w:eastAsia="Times New Roman"/>
          <w:szCs w:val="20"/>
        </w:rPr>
      </w:pPr>
    </w:p>
    <w:p w14:paraId="6B04D4DF" w14:textId="22C1A495">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Dessutom kan en lagstiftning som inte specifikt avser sådana tjänster, utan utan åtskillnad är tillämplig på alla former av dirigering, inbegripet per telefon eller via en applikation, inte kvalificeras som en ”regel för tjänster”.</w:t>
      </w:r>
    </w:p>
    <w:p w14:paraId="03141058"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7BBE402" w14:textId="02641065">
      <w:pPr>
        <w:pStyle w:val="P68B1DB1-Normal15"/>
        <w:widowControl w:val="0"/>
        <w:tabs>
          <w:tab w:val="left" w:pos="437"/>
        </w:tabs>
        <w:autoSpaceDE w:val="0"/>
        <w:autoSpaceDN w:val="0"/>
        <w:spacing w:after="0" w:line="240" w:lineRule="auto"/>
        <w:ind w:left="567"/>
        <w:jc w:val="both"/>
      </w:pPr>
      <w:r>
        <w:t xml:space="preserve">”52. För det första framgår det av beslutet om hänskjutande att den tjänst som är aktuell i det nationella målet, till skillnad från den förmedlingstjänst som var aktuell i det mål som avgjordes genom domen av den 20 december 2017, Asociación Profesional Elite Taxi (C-434/15), som erbjöd och tillhandahöll tillgängliga stadstransporttjänster som utfördes av förare som inte var yrkesförare som tidigare var frånvarande från marknaden, är begränsad, såsom generaladvokaten har påpekat i punkt 49 i sitt förslag till avgörande, till att endast knyta personer som önskar företa stadstransporter till kontakt med godkända taxichaufförer som redan bedriver denna verksamhet och för vilka förmedlingstjänsten endast är ett av flera sätt att förvärva kunder, och inte en metod som de på något sätt är skyldiga att använda.</w:t>
      </w:r>
    </w:p>
    <w:p w14:paraId="0E270EA6" w14:textId="77777777">
      <w:pPr>
        <w:pStyle w:val="P68B1DB1-Normal15"/>
        <w:widowControl w:val="0"/>
        <w:tabs>
          <w:tab w:val="left" w:pos="437"/>
        </w:tabs>
        <w:autoSpaceDE w:val="0"/>
        <w:autoSpaceDN w:val="0"/>
        <w:spacing w:after="0" w:line="240" w:lineRule="auto"/>
        <w:ind w:left="567"/>
        <w:jc w:val="both"/>
      </w:pPr>
    </w:p>
    <w:p w14:paraId="0B69BBB1" w14:textId="47B62163">
      <w:pPr>
        <w:pStyle w:val="P68B1DB1-Normal15"/>
        <w:widowControl w:val="0"/>
        <w:tabs>
          <w:tab w:val="left" w:pos="437"/>
        </w:tabs>
        <w:autoSpaceDE w:val="0"/>
        <w:autoSpaceDN w:val="0"/>
        <w:spacing w:after="0" w:line="240" w:lineRule="auto"/>
        <w:ind w:left="567"/>
        <w:jc w:val="both"/>
      </w:pPr>
      <w:r>
        <w:t xml:space="preserve">53. För det andra kan en sådan förmedlingstjänst inte anses på ett övergripande sätt sköta administrationen av den efterföljande tjänsten bestående i resan inom en tätort i allmänhet, eftersom tjänsteleverantören inte väljer taxiförarna, och varken fastställer eller uppbär priset för körningen, och inte heller utövar någon kontroll av fordonens och förarnas kvalitet eller de sistnämndas beteende.</w:t>
      </w:r>
    </w:p>
    <w:p w14:paraId="7252306B" w14:textId="77777777">
      <w:pPr>
        <w:pStyle w:val="P68B1DB1-Normal15"/>
        <w:widowControl w:val="0"/>
        <w:tabs>
          <w:tab w:val="left" w:pos="437"/>
        </w:tabs>
        <w:autoSpaceDE w:val="0"/>
        <w:autoSpaceDN w:val="0"/>
        <w:spacing w:after="0" w:line="240" w:lineRule="auto"/>
        <w:ind w:left="567"/>
        <w:jc w:val="both"/>
      </w:pPr>
    </w:p>
    <w:p w14:paraId="40C8D3C8" w14:textId="75B913AD">
      <w:pPr>
        <w:pStyle w:val="P68B1DB1-Normal15"/>
        <w:widowControl w:val="0"/>
        <w:tabs>
          <w:tab w:val="left" w:pos="437"/>
        </w:tabs>
        <w:autoSpaceDE w:val="0"/>
        <w:autoSpaceDN w:val="0"/>
        <w:spacing w:after="0" w:line="240" w:lineRule="auto"/>
        <w:ind w:left="567"/>
        <w:jc w:val="both"/>
        <w:rPr>
          <w:iCs/>
        </w:rPr>
      </w:pPr>
      <w:r>
        <w:t xml:space="preserve">54. Härav följer att en sådan förmedlingstjänst som den som tillhandahålls av Star Taxi App inte kan anses utgöra en integrerad del av en övergripande tjänst vars huvudbeståndsdel är en transporttjänst och följaktligen ska kvalificeras som en ’informationssamhällets tjänst’ i den mening som avses i artikel 2 a i direktiv 2000/31. ”</w:t>
      </w:r>
    </w:p>
    <w:p w14:paraId="737174FF" w14:textId="77777777">
      <w:pPr>
        <w:widowControl w:val="0"/>
        <w:tabs>
          <w:tab w:val="left" w:pos="437"/>
        </w:tabs>
        <w:autoSpaceDE w:val="0"/>
        <w:autoSpaceDN w:val="0"/>
        <w:spacing w:after="0" w:line="240" w:lineRule="auto"/>
        <w:ind w:left="567" w:hanging="142"/>
        <w:jc w:val="both"/>
        <w:rPr>
          <w:rFonts w:ascii="Times New Roman" w:hAnsi="Times New Roman" w:cs="Times New Roman" w:eastAsia="Times New Roman"/>
          <w:i/>
          <w:iCs/>
          <w:sz w:val="20"/>
          <w:szCs w:val="16"/>
        </w:rPr>
      </w:pPr>
    </w:p>
    <w:p w14:paraId="2D6C8DFE" w14:textId="7A0EB2A0">
      <w:pPr>
        <w:pStyle w:val="P68B1DB1-Normal15"/>
        <w:widowControl w:val="0"/>
        <w:tabs>
          <w:tab w:val="left" w:pos="437"/>
        </w:tabs>
        <w:autoSpaceDE w:val="0"/>
        <w:autoSpaceDN w:val="0"/>
        <w:spacing w:after="0" w:line="240" w:lineRule="auto"/>
        <w:ind w:left="567"/>
        <w:jc w:val="both"/>
      </w:pPr>
      <w:r>
        <w:t xml:space="preserve">”64. I förevarande fall framgår det av beslutet om hänskjutande att de rumänska föreskrifter som är aktuella i det nationella målet, oavsett om det rör sig om lag nr 38/2003 eller om beslut nr 178/2008, över huvud taget inte nämner informationssamhällets tjänster. Vidare avser artikel 3, artikel 21.1 och (31) samt artikel 41.21 i bilaga I till beslut nr 178/2008 utan åtskillnad alla typer av dirigeringstjänster, oavsett om de tillhandahålls per telefon eller på något annat sätt, såsom en programvaruapplikation.</w:t>
      </w:r>
    </w:p>
    <w:p w14:paraId="38902729" w14:textId="77777777">
      <w:pPr>
        <w:pStyle w:val="P68B1DB1-Normal15"/>
        <w:widowControl w:val="0"/>
        <w:tabs>
          <w:tab w:val="left" w:pos="437"/>
        </w:tabs>
        <w:autoSpaceDE w:val="0"/>
        <w:autoSpaceDN w:val="0"/>
        <w:spacing w:after="0" w:line="240" w:lineRule="auto"/>
        <w:ind w:left="567"/>
        <w:jc w:val="both"/>
      </w:pPr>
    </w:p>
    <w:p w14:paraId="0D3B1A3A" w14:textId="72AECFA4">
      <w:pPr>
        <w:pStyle w:val="P68B1DB1-Normal15"/>
        <w:widowControl w:val="0"/>
        <w:tabs>
          <w:tab w:val="left" w:pos="437"/>
        </w:tabs>
        <w:autoSpaceDE w:val="0"/>
        <w:autoSpaceDN w:val="0"/>
        <w:spacing w:after="0" w:line="240" w:lineRule="auto"/>
        <w:ind w:left="567"/>
        <w:jc w:val="both"/>
      </w:pPr>
      <w:r>
        <w:t xml:space="preserve">65. Såsom generaladvokaten har påpekat i punkt 108 i sitt förslag till avgörande innebär lag nr 38/2003 dessutom en skyldighet för leverantörer av taxiförmedlingstjänster som bedriver sin verksamhet med hjälp av en applikation för smarttelefoner att på samma sätt som för alla andra aktörer som tillhandahåller taxiförmedlingstjänster, inneha utrustning – i förevarande fall radiosändare/mottagare – som helt saknar nytta på grund av den teknik som används för att tillhandahålla denna tjänst.</w:t>
      </w:r>
    </w:p>
    <w:p w14:paraId="2F69DDBE" w14:textId="77777777">
      <w:pPr>
        <w:pStyle w:val="P68B1DB1-Normal15"/>
        <w:widowControl w:val="0"/>
        <w:tabs>
          <w:tab w:val="left" w:pos="437"/>
        </w:tabs>
        <w:autoSpaceDE w:val="0"/>
        <w:autoSpaceDN w:val="0"/>
        <w:spacing w:after="0" w:line="240" w:lineRule="auto"/>
        <w:ind w:left="567"/>
        <w:jc w:val="both"/>
      </w:pPr>
    </w:p>
    <w:p w14:paraId="7495A598" w14:textId="143B7510">
      <w:pPr>
        <w:pStyle w:val="P68B1DB1-Normal15"/>
        <w:widowControl w:val="0"/>
        <w:tabs>
          <w:tab w:val="left" w:pos="437"/>
        </w:tabs>
        <w:autoSpaceDE w:val="0"/>
        <w:autoSpaceDN w:val="0"/>
        <w:spacing w:after="0" w:line="240" w:lineRule="auto"/>
        <w:ind w:left="567"/>
        <w:jc w:val="both"/>
        <w:rPr>
          <w:iCs/>
        </w:rPr>
      </w:pPr>
      <w:r>
        <w:t xml:space="preserve">66. Eftersom sådana föreskrifter som de som är i fråga i målet vid den nationella domstolen inte specifikt avser informationssamhällets tjänster, berör föreskrifterna dessa tjänster endast indirekt eller accessoriskt. En sådan bestämmelse kan således inte anses utgöra en ’föreskrift för tjänster’ i den mening som avses i artikel 1.1 e i direktiv 2015/1535 och följaktligen inte heller som en ’teknisk föreskrift’ i den mening som avses i artikel 1.1 f i detta direktiv. ”</w:t>
      </w:r>
    </w:p>
    <w:p w14:paraId="74769673" w14:textId="77777777">
      <w:pPr>
        <w:widowControl w:val="0"/>
        <w:tabs>
          <w:tab w:val="left" w:pos="437"/>
        </w:tabs>
        <w:autoSpaceDE w:val="0"/>
        <w:autoSpaceDN w:val="0"/>
        <w:spacing w:after="0" w:line="240" w:lineRule="auto"/>
        <w:jc w:val="both"/>
        <w:rPr>
          <w:rFonts w:ascii="Times New Roman" w:hAnsi="Times New Roman" w:cs="Times New Roman" w:eastAsia="Times New Roman"/>
          <w:i/>
          <w:iCs/>
          <w:sz w:val="20"/>
          <w:szCs w:val="16"/>
        </w:rPr>
      </w:pPr>
    </w:p>
    <w:p w14:paraId="4ECE591C" w14:textId="291CA601">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7" w:history="1">
        <w:r>
          <w:rPr>
            <w:rStyle w:val="Hyperlink"/>
            <w:rFonts w:ascii="Times New Roman" w:hAnsi="Times New Roman" w:cs="Times New Roman" w:eastAsia="Times New Roman"/>
            <w:b/>
            <w:i/>
            <w:color w:val="0000FF"/>
            <w:szCs w:val="20"/>
          </w:rPr>
          <w:t xml:space="preserve">Dom av den 29 februari 2024</w:t>
        </w:r>
      </w:hyperlink>
      <w:r>
        <w:rPr>
          <w:rFonts w:ascii="Times New Roman" w:hAnsi="Times New Roman" w:cs="Times New Roman" w:eastAsia="Times New Roman"/>
          <w:b/>
          <w:i/>
          <w:szCs w:val="20"/>
        </w:rPr>
        <w:t xml:space="preserve"> i mål C-606/21, Doctipharma SAS, punkterna 26–30 och 34–36</w:t>
      </w:r>
      <w:bookmarkEnd w:id="88"/>
    </w:p>
    <w:p w14:paraId="5D3D60EF"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3D0A5D9F" w14:textId="5B25CF88">
      <w:pPr>
        <w:pStyle w:val="P68B1DB1-BodyText22"/>
      </w:pPr>
      <w:r>
        <w:t xml:space="preserve">Ersättning för en tjänst som tillhandahålls av en tjänsteleverantör inom ramen för en ekonomisk verksamhet behöver inte nödvändigtvis betalas av förmånstagarna. Detta gäller för en tjänst som tillhandahålls på en webbplats och som består i att koppla samman apotekare och kunder för försäljning av läkemedel, när tjänsten ersätts av de apotekare som abonnerar på dess plattform på grundval av en fast avgift.</w:t>
      </w:r>
    </w:p>
    <w:p w14:paraId="60E238C1" w14:textId="77777777">
      <w:pPr>
        <w:pStyle w:val="P68B1DB1-BodyText22"/>
      </w:pPr>
    </w:p>
    <w:p w14:paraId="16BCA1E5" w14:textId="5221BD03">
      <w:pPr>
        <w:pStyle w:val="P68B1DB1-BodyText22"/>
      </w:pPr>
      <w:r>
        <w:t xml:space="preserve">En sådan tjänst utgör inte en del av en övergripande tjänst vars huvuddel omfattas av en annan rättslig kvalificering än av ”informationssamhällets tjänster”.</w:t>
      </w:r>
    </w:p>
    <w:p w14:paraId="5D9B8556" w14:textId="77777777">
      <w:pPr>
        <w:pStyle w:val="BodyText"/>
      </w:pPr>
      <w:r>
        <w:t xml:space="preserve"> </w:t>
      </w:r>
    </w:p>
    <w:p w14:paraId="06EE7590" w14:textId="40E0F47A">
      <w:pPr>
        <w:pStyle w:val="P68B1DB1-Normal20"/>
        <w:widowControl w:val="0"/>
        <w:autoSpaceDE w:val="0"/>
        <w:autoSpaceDN w:val="0"/>
        <w:spacing w:after="0" w:line="240" w:lineRule="auto"/>
        <w:ind w:left="567"/>
        <w:jc w:val="both"/>
        <w:outlineLvl w:val="1"/>
        <w:rPr>
          <w:iCs/>
        </w:rPr>
      </w:pPr>
      <w:bookmarkStart w:id="89" w:name="_Toc198043843"/>
      <w:r>
        <w:t xml:space="preserve">”26. I artikel 1.2 i direktiv 98/34 och artikel 1.1 b i direktiv 2015/1535 definieras begreppet ”informationssamhällets tjänster” som ”varje tjänst som normalt utförs mot ersättning på distans, på elektronisk väg och på individuell begäran av en tjänstemottagare”.</w:t>
      </w:r>
      <w:bookmarkEnd w:id="89"/>
    </w:p>
    <w:p w14:paraId="0520C499" w14:textId="77777777">
      <w:pPr>
        <w:pStyle w:val="P68B1DB1-Normal20"/>
        <w:widowControl w:val="0"/>
        <w:autoSpaceDE w:val="0"/>
        <w:autoSpaceDN w:val="0"/>
        <w:spacing w:after="0" w:line="240" w:lineRule="auto"/>
        <w:ind w:left="567"/>
        <w:jc w:val="both"/>
        <w:outlineLvl w:val="1"/>
        <w:rPr>
          <w:iCs/>
        </w:rPr>
      </w:pPr>
    </w:p>
    <w:p w14:paraId="5522C64C" w14:textId="2B939575">
      <w:pPr>
        <w:pStyle w:val="P68B1DB1-Normal20"/>
        <w:widowControl w:val="0"/>
        <w:autoSpaceDE w:val="0"/>
        <w:autoSpaceDN w:val="0"/>
        <w:spacing w:after="0" w:line="240" w:lineRule="auto"/>
        <w:ind w:left="567"/>
        <w:jc w:val="both"/>
        <w:outlineLvl w:val="1"/>
        <w:rPr>
          <w:iCs/>
        </w:rPr>
      </w:pPr>
      <w:bookmarkStart w:id="90" w:name="_Toc198043844"/>
      <w:r>
        <w:t xml:space="preserve">27. Vad gäller det första villkoret i dessa bestämmelser ska det i förevarande fall erinras om att det följer av fast rättspraxis att ersättning för en tjänst som tillhandahålls av en tjänsteleverantör inom ramen för en ekonomisk verksamhet inte nödvändigtvis behöver betalas av förmånstagarna (se, för ett liknande resonemang, dom av den 15 september 2016, Mc Fadden, C-484/14, EU:C:41:36, punkt, och dom av den 4 maj 2017, Vanderborght, C-339/15, punkt).</w:t>
      </w:r>
      <w:bookmarkEnd w:id="90"/>
    </w:p>
    <w:p w14:paraId="321E2B99" w14:textId="77777777">
      <w:pPr>
        <w:pStyle w:val="P68B1DB1-Normal20"/>
        <w:widowControl w:val="0"/>
        <w:autoSpaceDE w:val="0"/>
        <w:autoSpaceDN w:val="0"/>
        <w:spacing w:after="0" w:line="240" w:lineRule="auto"/>
        <w:ind w:left="567"/>
        <w:jc w:val="both"/>
        <w:outlineLvl w:val="1"/>
        <w:rPr>
          <w:iCs/>
        </w:rPr>
      </w:pPr>
    </w:p>
    <w:p w14:paraId="4A7B6C31" w14:textId="12F86ADD">
      <w:pPr>
        <w:pStyle w:val="P68B1DB1-Normal20"/>
        <w:widowControl w:val="0"/>
        <w:autoSpaceDE w:val="0"/>
        <w:autoSpaceDN w:val="0"/>
        <w:spacing w:after="0" w:line="240" w:lineRule="auto"/>
        <w:ind w:left="567"/>
        <w:jc w:val="both"/>
        <w:outlineLvl w:val="1"/>
        <w:rPr>
          <w:iCs/>
        </w:rPr>
      </w:pPr>
      <w:bookmarkStart w:id="91" w:name="_Toc198043845"/>
      <w:r>
        <w:t xml:space="preserve">28. För att en sådan tjänst som den som är aktuell i det nationella målet ska anses omfattas av begreppet ”informationssamhällets tjänster”, i den mening som avses i artikel 1.2 i direktiv 98/34 och artikel 1.1 b i direktiv 2015/1535, saknar det således betydelse huruvida denna tjänst tillhandahålls kostnadsfritt till den person som köper det receptfria läkemedlet, om den medför att den som tillhandahåller tjänsten och varje apotekare som använder denna tjänst ingår ett avtal om tillhandahållande av tjänster som innebär betalning.</w:t>
      </w:r>
      <w:bookmarkEnd w:id="91"/>
    </w:p>
    <w:p w14:paraId="7BF264F2" w14:textId="77777777">
      <w:pPr>
        <w:pStyle w:val="P68B1DB1-Normal20"/>
        <w:widowControl w:val="0"/>
        <w:autoSpaceDE w:val="0"/>
        <w:autoSpaceDN w:val="0"/>
        <w:spacing w:after="0" w:line="240" w:lineRule="auto"/>
        <w:ind w:left="567"/>
        <w:jc w:val="both"/>
        <w:outlineLvl w:val="1"/>
        <w:rPr>
          <w:iCs/>
        </w:rPr>
      </w:pPr>
    </w:p>
    <w:p w14:paraId="1D178D41" w14:textId="602A287A">
      <w:pPr>
        <w:pStyle w:val="P68B1DB1-Normal20"/>
        <w:widowControl w:val="0"/>
        <w:autoSpaceDE w:val="0"/>
        <w:autoSpaceDN w:val="0"/>
        <w:spacing w:after="0" w:line="240" w:lineRule="auto"/>
        <w:ind w:left="567"/>
        <w:jc w:val="both"/>
        <w:outlineLvl w:val="1"/>
        <w:rPr>
          <w:iCs/>
        </w:rPr>
      </w:pPr>
      <w:bookmarkStart w:id="92" w:name="_Toc198043846"/>
      <w:r>
        <w:t xml:space="preserve">29. Det saknar likaså betydelse i detta hänseende att Doctipharma, såsom bolaget själv har angett, enligt de allmänna försäljningsvillkoren fick ersättning från de apotekare som abonnerade på dess plattform på grundval av en fast avgift. Det saknar även betydelse, såsom den franska regeringen har angett, att den tjänst som Doctipharma tillhandahöll var föremål för ett månatligt abonnemang som betalades till Doctipharma av apotekarna och för en återbetalning av en procentandel av försäljningsbeloppet, vilken avräknades av plattformen.</w:t>
      </w:r>
      <w:bookmarkEnd w:id="92"/>
    </w:p>
    <w:p w14:paraId="2B92BB79" w14:textId="77777777">
      <w:pPr>
        <w:pStyle w:val="P68B1DB1-Normal20"/>
        <w:widowControl w:val="0"/>
        <w:autoSpaceDE w:val="0"/>
        <w:autoSpaceDN w:val="0"/>
        <w:spacing w:after="0" w:line="240" w:lineRule="auto"/>
        <w:ind w:left="567"/>
        <w:jc w:val="both"/>
        <w:outlineLvl w:val="1"/>
        <w:rPr>
          <w:iCs/>
        </w:rPr>
      </w:pPr>
    </w:p>
    <w:p w14:paraId="7E01A0AB" w14:textId="05C25972">
      <w:pPr>
        <w:pStyle w:val="P68B1DB1-Normal20"/>
        <w:widowControl w:val="0"/>
        <w:autoSpaceDE w:val="0"/>
        <w:autoSpaceDN w:val="0"/>
        <w:spacing w:after="0" w:line="240" w:lineRule="auto"/>
        <w:ind w:left="567"/>
        <w:jc w:val="both"/>
        <w:outlineLvl w:val="1"/>
        <w:rPr>
          <w:iCs/>
        </w:rPr>
      </w:pPr>
      <w:bookmarkStart w:id="93" w:name="_Toc198043847"/>
      <w:r>
        <w:t xml:space="preserve">30. Härav följer, med förbehåll för de kontroller som det ankommer på den hänskjutande domstolen att göra, att den tjänst som är aktuell i det nationella målet under alla omständigheter ska anses ha tillhandahållits mot ersättning. ”</w:t>
      </w:r>
      <w:bookmarkEnd w:id="93"/>
    </w:p>
    <w:p w14:paraId="1F7DABA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01B24EB0" w14:textId="2D56DEB8">
      <w:pPr>
        <w:pStyle w:val="P68B1DB1-Normal20"/>
        <w:widowControl w:val="0"/>
        <w:autoSpaceDE w:val="0"/>
        <w:autoSpaceDN w:val="0"/>
        <w:spacing w:after="0" w:line="240" w:lineRule="auto"/>
        <w:ind w:left="567"/>
        <w:jc w:val="both"/>
        <w:outlineLvl w:val="1"/>
      </w:pPr>
      <w:bookmarkStart w:id="94" w:name="_Toc198043848"/>
      <w:r>
        <w:t xml:space="preserve">”34. Denna slutsats påverkas inte av den rättspraxis som EU-domstolen har slagit fast i dom av den 20 december 2017, Asociación Profesional Elite Taxi (C-434/15), dom av den 19 december 2019, Airbnb Ireland (C-390/18), och dom av den 3 december 2020, Star Taxi App (C-62/19).</w:t>
      </w:r>
      <w:bookmarkEnd w:id="94"/>
    </w:p>
    <w:p w14:paraId="30816B83" w14:textId="77777777">
      <w:pPr>
        <w:pStyle w:val="P68B1DB1-Normal20"/>
        <w:widowControl w:val="0"/>
        <w:autoSpaceDE w:val="0"/>
        <w:autoSpaceDN w:val="0"/>
        <w:spacing w:after="0" w:line="240" w:lineRule="auto"/>
        <w:ind w:left="567"/>
        <w:jc w:val="both"/>
        <w:outlineLvl w:val="1"/>
      </w:pPr>
    </w:p>
    <w:p w14:paraId="7006558F" w14:textId="15BDEB5C">
      <w:pPr>
        <w:pStyle w:val="P68B1DB1-Normal20"/>
        <w:widowControl w:val="0"/>
        <w:autoSpaceDE w:val="0"/>
        <w:autoSpaceDN w:val="0"/>
        <w:spacing w:after="0" w:line="240" w:lineRule="auto"/>
        <w:ind w:left="567"/>
        <w:jc w:val="both"/>
        <w:outlineLvl w:val="1"/>
      </w:pPr>
      <w:bookmarkStart w:id="95" w:name="_Toc198043849"/>
      <w:r>
        <w:t xml:space="preserve">35. Det följer av denna rättspraxis att en tjänst som syftar till att knyta kunder till leverantörer av en annan tjänst och som uppfyller samtliga villkor i artikel 1.2 i direktiv 98/34 och artikel 1.1 b i direktiv 2015/1535 ska kvalificeras som en ”informationssamhällets tjänst” när en sådan tjänst skiljer sig från den tjänst av annan art som tillhandahålls av dessa tjänsteleverantörer. Situationen ska emellertid vara annorlunda om det visar sig att denna tjänst, som kopplar samman säljare och kunder, utgör en integrerad del av en övergripande tjänst, vars huvuddel är föremål för en annan rättslig kvalificering än ”informationssamhällets tjänster” (dom av den 3 december 2020, Star Taxi App, C-62/19, Dubli, punkt 49 och där angiven rättspraxis).</w:t>
      </w:r>
      <w:bookmarkEnd w:id="95"/>
    </w:p>
    <w:p w14:paraId="3E0D3F0B" w14:textId="77777777">
      <w:pPr>
        <w:pStyle w:val="P68B1DB1-Normal20"/>
        <w:widowControl w:val="0"/>
        <w:autoSpaceDE w:val="0"/>
        <w:autoSpaceDN w:val="0"/>
        <w:spacing w:after="0" w:line="240" w:lineRule="auto"/>
        <w:ind w:left="567"/>
        <w:jc w:val="both"/>
        <w:outlineLvl w:val="1"/>
      </w:pPr>
    </w:p>
    <w:p w14:paraId="236402DB" w14:textId="039485E5">
      <w:pPr>
        <w:pStyle w:val="P68B1DB1-Normal20"/>
        <w:widowControl w:val="0"/>
        <w:autoSpaceDE w:val="0"/>
        <w:autoSpaceDN w:val="0"/>
        <w:spacing w:after="0" w:line="240" w:lineRule="auto"/>
        <w:ind w:left="567"/>
        <w:jc w:val="both"/>
        <w:outlineLvl w:val="1"/>
      </w:pPr>
      <w:bookmarkStart w:id="96" w:name="_Toc198043850"/>
      <w:r>
        <w:t xml:space="preserve">36. Såsom generaladvokaten har påpekat i punkterna 28 och 29 i sitt förslag till avgörande kan en tjänst som syftar till att koppla samman apotekare och kunder i syfte att sälja receptfria läkemedel från webbplatser tillhörande apotek som har tecknat sig för denna tjänst inte utgöra en integrerad del av en övergripande tjänst vars huvuddel inte kan kvalificeras som en ’informationssamhällets tjänst’. ”</w:t>
      </w:r>
      <w:bookmarkEnd w:id="96"/>
    </w:p>
    <w:p w14:paraId="066794C6" w14:textId="77777777">
      <w:pPr>
        <w:pStyle w:val="P68B1DB1-Normal20"/>
        <w:widowControl w:val="0"/>
        <w:autoSpaceDE w:val="0"/>
        <w:autoSpaceDN w:val="0"/>
        <w:spacing w:after="0" w:line="240" w:lineRule="auto"/>
        <w:jc w:val="both"/>
        <w:outlineLvl w:val="1"/>
      </w:pPr>
    </w:p>
    <w:p w14:paraId="3456AF7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8" w:history="1">
        <w:r>
          <w:rPr>
            <w:rStyle w:val="Hyperlink"/>
            <w:rFonts w:ascii="Times New Roman" w:hAnsi="Times New Roman" w:cs="Times New Roman" w:eastAsia="Times New Roman"/>
            <w:b/>
            <w:i/>
            <w:color w:val="0000FF"/>
            <w:szCs w:val="20"/>
          </w:rPr>
          <w:t xml:space="preserve">Dom av den 13 mars 2025</w:t>
        </w:r>
      </w:hyperlink>
      <w:r>
        <w:rPr>
          <w:rFonts w:ascii="Times New Roman" w:hAnsi="Times New Roman" w:cs="Times New Roman" w:eastAsia="Times New Roman"/>
          <w:b/>
          <w:i/>
          <w:szCs w:val="20"/>
        </w:rPr>
        <w:t xml:space="preserve">, Unigames UAB,</w:t>
        <w:noBreakHyphen/>
        <w:t xml:space="preserve">C 120/24, punkterna 38–42.</w:t>
      </w:r>
      <w:bookmarkEnd w:id="97"/>
    </w:p>
    <w:p w14:paraId="7C95759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0CCCFF25"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Förbudet mot att göra reklam för hasardspel på spelplatser avser inte en reklamtjänst som är oberoende av speltjänsten, utan en tjänst som inte kan skiljas från onlinespeltjänsten. För att avgöra om det rör sig om en ”regel för tjänster” är det följaktligen nödvändigt att först undersöka klassificeringen av onlinespeltjänster som ”informationssamhällets tjänster”.</w:t>
      </w:r>
    </w:p>
    <w:p w14:paraId="2F64E777"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D107C79" w14:textId="74EE0F8E">
      <w:pPr>
        <w:pStyle w:val="P68B1DB1-Normal15"/>
        <w:widowControl w:val="0"/>
        <w:tabs>
          <w:tab w:val="left" w:pos="437"/>
        </w:tabs>
        <w:autoSpaceDE w:val="0"/>
        <w:autoSpaceDN w:val="0"/>
        <w:spacing w:after="0" w:line="240" w:lineRule="auto"/>
        <w:ind w:left="567"/>
        <w:jc w:val="both"/>
        <w:rPr>
          <w:iCs/>
        </w:rPr>
      </w:pPr>
      <w:r>
        <w:t xml:space="preserve">”38. Övervägandena i punkterna 36 och 37 i förevarande dom</w:t>
      </w:r>
      <w:r>
        <w:rPr>
          <w:i w:val="0"/>
        </w:rPr>
        <w:t xml:space="preserve"> [enligt vilka onlinespeltjänster ska betraktas som ’informationssamhällets tjänster’] </w:t>
      </w:r>
      <w:r>
        <w:t xml:space="preserve">påverkas inte av den omständigheten att den information om hasardspel som spelaktören offentliggör på sin webbplats inte nödvändigtvis tillhandahålls ”på individuell begäran av en tjänstemottagare”. Detta offentliggörande av information kan, under sådana omständigheter som de som är aktuella i det nationella målet, inte anses utgöra en reklamtjänst eller en annan tjänst som tillhandahålls mottagare av onlinespeltjänster, utan utgör en verksamhet som är underordnad och oskiljaktig från de aktuella distansspelstjänsterna och som den har all sin ekonomiska betydelse av (se, analogt, dom av den 1 oktober 2020, A (Reklam och försäljning av läkemedel online), C-649/18, punkt 56). Det är således endast speltjänsterna i sig som måste uppfylla de relevanta villkoren för att omfattas av begreppet tjänst, i den mening som avses i artikel 1.1 b i direktiv 2015/1535, och det förbud som är aktuellt i det nationella målet, som avser ett sådant offentliggörande av information, måste för sin del uppfylla de specifika kriterier som föreskrivs i artikel 1.1 e i direktivet för att kunna anses utgöra en ”bestämmelse” om dessa tjänster, i den mening som avses i sistnämnda bestämmelse.</w:t>
      </w:r>
    </w:p>
    <w:p w14:paraId="0C84094C" w14:textId="77777777">
      <w:pPr>
        <w:pStyle w:val="P68B1DB1-Normal15"/>
        <w:widowControl w:val="0"/>
        <w:tabs>
          <w:tab w:val="left" w:pos="437"/>
        </w:tabs>
        <w:autoSpaceDE w:val="0"/>
        <w:autoSpaceDN w:val="0"/>
        <w:spacing w:after="0" w:line="240" w:lineRule="auto"/>
        <w:ind w:left="567"/>
        <w:jc w:val="both"/>
        <w:rPr>
          <w:iCs/>
        </w:rPr>
      </w:pPr>
    </w:p>
    <w:p w14:paraId="40656C32" w14:textId="179B1E83">
      <w:pPr>
        <w:pStyle w:val="P68B1DB1-Normal15"/>
        <w:widowControl w:val="0"/>
        <w:tabs>
          <w:tab w:val="left" w:pos="437"/>
        </w:tabs>
        <w:autoSpaceDE w:val="0"/>
        <w:autoSpaceDN w:val="0"/>
        <w:spacing w:after="0" w:line="240" w:lineRule="auto"/>
        <w:ind w:left="567"/>
        <w:jc w:val="both"/>
        <w:rPr>
          <w:iCs/>
        </w:rPr>
      </w:pPr>
      <w:r>
        <w:t xml:space="preserve">39. Även om det är utrett att det förbud som är i fråga i det nationella målet utgör ett ”krav av allmän karaktär” i den mening som avses i artikel 1.1 e i direktiv 2015/1535, ska det för det första prövas huruvida det kan anses ”avse upptagande och utövande av tjänsteverksamhet”. I denna bestämmelse anges att så är fallet bland annat vad gäller bestämmelser om tjänsteleverantören, tjänsterna och tjänstemottagaren.</w:t>
      </w:r>
    </w:p>
    <w:p w14:paraId="0DF48DDD" w14:textId="77777777">
      <w:pPr>
        <w:pStyle w:val="P68B1DB1-Normal15"/>
        <w:widowControl w:val="0"/>
        <w:tabs>
          <w:tab w:val="left" w:pos="437"/>
        </w:tabs>
        <w:autoSpaceDE w:val="0"/>
        <w:autoSpaceDN w:val="0"/>
        <w:spacing w:after="0" w:line="240" w:lineRule="auto"/>
        <w:ind w:left="567"/>
        <w:jc w:val="both"/>
        <w:rPr>
          <w:iCs/>
        </w:rPr>
      </w:pPr>
    </w:p>
    <w:p w14:paraId="79F306A3" w14:textId="7430EFC3">
      <w:pPr>
        <w:pStyle w:val="P68B1DB1-Normal15"/>
        <w:widowControl w:val="0"/>
        <w:tabs>
          <w:tab w:val="left" w:pos="437"/>
        </w:tabs>
        <w:autoSpaceDE w:val="0"/>
        <w:autoSpaceDN w:val="0"/>
        <w:spacing w:after="0" w:line="240" w:lineRule="auto"/>
        <w:ind w:left="567"/>
        <w:jc w:val="both"/>
        <w:rPr>
          <w:iCs/>
        </w:rPr>
      </w:pPr>
      <w:r>
        <w:t xml:space="preserve">40. Det ska i detta hänseende påpekas att artikel 10.19 i lagen om hasardspel kan omfattas av begreppet ”regel för tjänster”, eftersom det däri föreskrivs ett förbud mot att bland annat uppmuntra deltagande i hasardspel på distans och, i synnerhet, att offentliggöra information om hasardspel på en spelaktörs webbplats eller att utföra handlingar som främjar deltagande i hasardspel (se, för ett liknande resonemang, dom av den 22 oktober 2020, Sportingbet och Internet Opportunity Entertainment, C-275/19, punkt 48 och där angiven rättspraxis).</w:t>
      </w:r>
    </w:p>
    <w:p w14:paraId="7B52939F" w14:textId="77777777">
      <w:pPr>
        <w:pStyle w:val="P68B1DB1-Normal15"/>
        <w:widowControl w:val="0"/>
        <w:tabs>
          <w:tab w:val="left" w:pos="437"/>
        </w:tabs>
        <w:autoSpaceDE w:val="0"/>
        <w:autoSpaceDN w:val="0"/>
        <w:spacing w:after="0" w:line="240" w:lineRule="auto"/>
        <w:ind w:left="567"/>
        <w:jc w:val="both"/>
        <w:rPr>
          <w:iCs/>
        </w:rPr>
      </w:pPr>
    </w:p>
    <w:p w14:paraId="29F63712" w14:textId="4449F712">
      <w:pPr>
        <w:pStyle w:val="P68B1DB1-Normal15"/>
        <w:widowControl w:val="0"/>
        <w:tabs>
          <w:tab w:val="left" w:pos="437"/>
        </w:tabs>
        <w:autoSpaceDE w:val="0"/>
        <w:autoSpaceDN w:val="0"/>
        <w:spacing w:after="0" w:line="240" w:lineRule="auto"/>
        <w:ind w:left="567"/>
        <w:jc w:val="both"/>
        <w:rPr>
          <w:iCs/>
        </w:rPr>
      </w:pPr>
      <w:r>
        <w:t xml:space="preserve">41. Såsom framgår av själva ordalydelsen i artikel 1.1 e i direktiv 2015/1535 måste det förbud som är i fråga i det nationella målet, för att kvalificeras som en ”föreskrift för tjänster”, vara ”specifikt” avsett för informationssamhällets tjänster (se, för ett liknande resonemang, dom av den 12 september 2019, VG Media, C-299/17, Dubli, punkt 31).</w:t>
      </w:r>
    </w:p>
    <w:p w14:paraId="65AB6E33" w14:textId="77777777">
      <w:pPr>
        <w:pStyle w:val="P68B1DB1-Normal15"/>
        <w:widowControl w:val="0"/>
        <w:tabs>
          <w:tab w:val="left" w:pos="437"/>
        </w:tabs>
        <w:autoSpaceDE w:val="0"/>
        <w:autoSpaceDN w:val="0"/>
        <w:spacing w:after="0" w:line="240" w:lineRule="auto"/>
        <w:ind w:left="567"/>
        <w:jc w:val="both"/>
        <w:rPr>
          <w:iCs/>
        </w:rPr>
      </w:pPr>
    </w:p>
    <w:p w14:paraId="3176C455" w14:textId="3F47F94F">
      <w:pPr>
        <w:pStyle w:val="P68B1DB1-Normal15"/>
        <w:widowControl w:val="0"/>
        <w:tabs>
          <w:tab w:val="left" w:pos="437"/>
        </w:tabs>
        <w:autoSpaceDE w:val="0"/>
        <w:autoSpaceDN w:val="0"/>
        <w:spacing w:after="0" w:line="240" w:lineRule="auto"/>
        <w:ind w:left="567"/>
        <w:jc w:val="both"/>
        <w:rPr>
          <w:iCs/>
        </w:rPr>
      </w:pPr>
      <w:r>
        <w:t xml:space="preserve">42. I detta avseende framgår det av artikel 1.1 e andra stycket i) i direktiv 2015/1535 att kontrollen av att en bestämmelse särskilt avser informationssamhällets tjänster ska göras mot bakgrund av såväl bestämmelsens ordalydelse som det mål som eftersträvas med den. Enligt denna bestämmelse krävs det inte heller att ”det särskilda syftet och syftet” med samtliga bestämmelser i den aktuella bestämmelsen är att reglera informationssamhällets tjänster, utan det räcker att den eftersträvar detta syfte eller ändamål genom vissa av dess bestämmelser (se, för ett liknande resonemang, dom av den 12 september 2019, VG Media, C-299/17, EU:C:32, punkt och där angiven rättspraxis). Slutligen ska en bestämmelse enligt artikel 1.1 e andra stycket ii i direktivet inte anses specifikt avse informationssamhällets tjänster om den endast avser sådana tjänster på ett underförstått eller underordnat sätt. ”</w:t>
      </w:r>
    </w:p>
    <w:p w14:paraId="755B8A78" w14:textId="53DC1D1F">
      <w:pPr>
        <w:spacing w:after="0" w:line="278" w:lineRule="auto"/>
      </w:pPr>
      <w:r>
        <w:br w:type="page"/>
      </w:r>
    </w:p>
    <w:p w14:paraId="66BD9244" w14:textId="7BFF7921">
      <w:pPr>
        <w:pStyle w:val="P68B1DB1-Heading24"/>
        <w:numPr>
          <w:ilvl w:val="0"/>
          <w:numId w:val="35"/>
        </w:numPr>
        <w:spacing w:before="0" w:after="0"/>
        <w:jc w:val="center"/>
        <w:rPr>
          <w:bCs/>
          <w:color w:val="auto"/>
        </w:rPr>
      </w:pPr>
      <w:bookmarkStart w:id="98" w:name="_Ref194484584"/>
      <w:bookmarkStart w:id="99" w:name="_Toc203035670"/>
      <w:r>
        <w:t>Förbudsbestämmelser</w:t>
      </w:r>
      <w:bookmarkEnd w:id="98"/>
      <w:bookmarkEnd w:id="99"/>
    </w:p>
    <w:p w14:paraId="11A12362" w14:textId="77777777">
      <w:pPr>
        <w:pStyle w:val="BodyText"/>
      </w:pPr>
    </w:p>
    <w:p w14:paraId="6DD7108F" w14:textId="22E84863">
      <w:pPr>
        <w:pStyle w:val="P68B1DB1-BodyText11"/>
        <w:ind w:left="567"/>
        <w:rPr>
          <w:iCs/>
        </w:rPr>
      </w:pPr>
      <w:r>
        <w:t xml:space="preserve">”teknisk föreskrift: [...] medlemsstaternas lagar och andra författningar, med undantag av dem som anges i artikel 7, som förbjuder tillverkning, import, saluföring eller användning av en produkt eller som förbjuder tillhandahållande eller användning av en tjänst eller etablering som tjänsteleverantör.”</w:t>
      </w:r>
    </w:p>
    <w:p w14:paraId="6EA3335C" w14:textId="77777777">
      <w:pPr>
        <w:pStyle w:val="BodyText"/>
        <w:ind w:left="567"/>
        <w:rPr>
          <w:i/>
          <w:iCs/>
        </w:rPr>
      </w:pPr>
    </w:p>
    <w:p w14:paraId="05F6428B" w14:textId="3C27EE7A">
      <w:pPr>
        <w:pStyle w:val="BodyText"/>
        <w:ind w:left="1440"/>
        <w:jc w:val="right"/>
      </w:pPr>
      <w:r>
        <w:t xml:space="preserve">(artikel 1.1 f första meningen i direktiv (EU) 2015/1535)</w:t>
      </w:r>
    </w:p>
    <w:p w14:paraId="38D8F2AB" w14:textId="77777777">
      <w:pPr>
        <w:spacing w:after="0" w:line="240" w:lineRule="auto"/>
      </w:pPr>
    </w:p>
    <w:p w14:paraId="0D9AB62C" w14:textId="1C629A78">
      <w:pPr>
        <w:pStyle w:val="P68B1DB1-Normal13"/>
        <w:widowControl w:val="0"/>
        <w:autoSpaceDE w:val="0"/>
        <w:autoSpaceDN w:val="0"/>
        <w:spacing w:after="0" w:line="240" w:lineRule="auto"/>
        <w:jc w:val="both"/>
        <w:outlineLvl w:val="1"/>
      </w:pPr>
      <w:hyperlink r:id="rId59" w:history="1">
        <w:r>
          <w:rPr>
            <w:color w:val="0000FF"/>
            <w:u w:val="single"/>
          </w:rPr>
          <w:t xml:space="preserve">Domstolens dom av den 16 september 1996</w:t>
        </w:r>
      </w:hyperlink>
      <w:r>
        <w:t xml:space="preserve"> i mål C-279/94, kommissionen mot Italien, punkt 30.</w:t>
      </w:r>
      <w:bookmarkEnd w:id="100"/>
    </w:p>
    <w:p w14:paraId="034B7933"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01754A62" w14:textId="3AFCB111">
      <w:pPr>
        <w:pStyle w:val="P68B1DB1-Normal14"/>
        <w:widowControl w:val="0"/>
        <w:tabs>
          <w:tab w:val="left" w:pos="396"/>
          <w:tab w:val="left" w:pos="461"/>
        </w:tabs>
        <w:autoSpaceDE w:val="0"/>
        <w:autoSpaceDN w:val="0"/>
        <w:spacing w:after="0" w:line="240" w:lineRule="auto"/>
        <w:jc w:val="both"/>
      </w:pPr>
      <w:r>
        <w:t xml:space="preserve">Förbudet mot utsläppande på marknaden och användning av asbest är en anmälningspliktig ”teknisk föreskrift” som ska anmälas eftersom den förbjuder saluföring och användning av en produkt.</w:t>
      </w:r>
    </w:p>
    <w:p w14:paraId="0BB35591"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9E65C7B" w14:textId="4734296F">
      <w:pPr>
        <w:pStyle w:val="P68B1DB1-Normal15"/>
        <w:widowControl w:val="0"/>
        <w:tabs>
          <w:tab w:val="left" w:pos="396"/>
          <w:tab w:val="left" w:pos="461"/>
        </w:tabs>
        <w:autoSpaceDE w:val="0"/>
        <w:autoSpaceDN w:val="0"/>
        <w:spacing w:after="0" w:line="240" w:lineRule="auto"/>
        <w:ind w:left="567"/>
        <w:jc w:val="both"/>
        <w:rPr>
          <w:iCs/>
        </w:rPr>
      </w:pPr>
      <w:r>
        <w:t xml:space="preserve">”30. Vad beträffar artikel 1.2 i lag 257/92 ska det erinras om att denna bestämmelse innehåller ett förbud mot utvinning, import, export, marknadsföring och produktion av asbest, asbestprodukter och produkter som innehåller asbest, efter att en frist på ett år räknat från lagens ikraftträdande har löpt ut. En sådan bestämmelse utgör, genom att förbjuda saluföring och användning av asbest, en teknisk föreskrift som den italienska regeringen borde ha anmält i enlighet med artikel 8.1 första stycket i direktivet. ”</w:t>
      </w:r>
    </w:p>
    <w:p w14:paraId="4C0F9A2E" w14:textId="77777777">
      <w:pPr>
        <w:spacing w:after="0" w:line="240" w:lineRule="auto"/>
      </w:pPr>
    </w:p>
    <w:p w14:paraId="6933A43F" w14:textId="3FDFB590">
      <w:pPr>
        <w:pStyle w:val="P68B1DB1-Normal13"/>
        <w:widowControl w:val="0"/>
        <w:autoSpaceDE w:val="0"/>
        <w:autoSpaceDN w:val="0"/>
        <w:spacing w:after="0" w:line="240" w:lineRule="auto"/>
        <w:jc w:val="both"/>
        <w:outlineLvl w:val="1"/>
      </w:pPr>
      <w:hyperlink r:id="rId60" w:history="1">
        <w:r>
          <w:rPr>
            <w:rStyle w:val="Hyperlink"/>
            <w:color w:val="0000FF"/>
          </w:rPr>
          <w:t xml:space="preserve">Dom av den 21 april 2005</w:t>
        </w:r>
      </w:hyperlink>
      <w:r>
        <w:t xml:space="preserve"> i mål C-267/03, Lindberg, punkterna 75–77.</w:t>
      </w:r>
      <w:bookmarkEnd w:id="101"/>
    </w:p>
    <w:p w14:paraId="7D30FB0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1BE65B" w14:textId="4B7342F7">
      <w:pPr>
        <w:pStyle w:val="P68B1DB1-Normal14"/>
        <w:widowControl w:val="0"/>
        <w:tabs>
          <w:tab w:val="left" w:pos="396"/>
          <w:tab w:val="left" w:pos="425"/>
        </w:tabs>
        <w:autoSpaceDE w:val="0"/>
        <w:autoSpaceDN w:val="0"/>
        <w:spacing w:after="0" w:line="240" w:lineRule="auto"/>
        <w:jc w:val="both"/>
      </w:pPr>
      <w:r>
        <w:t xml:space="preserve">Ett nationellt förbud mot vissa hasardspel kan kvalificeras som en förbudsbestämmelse om det inte lämnar utrymme för någon annan användning av den berörda produkten än en rent marginell användning. Kvalificeringen som förbud beror däremot inte på hur förbudet påverkar de berörda produkternas sammansättning, art eller saluföring.</w:t>
      </w:r>
    </w:p>
    <w:p w14:paraId="58611995"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EBF5D94" w14:textId="0BC411D8">
      <w:pPr>
        <w:pStyle w:val="P68B1DB1-Normal15"/>
        <w:widowControl w:val="0"/>
        <w:tabs>
          <w:tab w:val="left" w:pos="396"/>
          <w:tab w:val="left" w:pos="425"/>
        </w:tabs>
        <w:autoSpaceDE w:val="0"/>
        <w:autoSpaceDN w:val="0"/>
        <w:spacing w:after="0" w:line="240" w:lineRule="auto"/>
        <w:ind w:left="567"/>
        <w:jc w:val="both"/>
      </w:pPr>
      <w:r>
        <w:t xml:space="preserve">”75. I detta avseende är det av betydelse att denna tredje kategori av tekniska föreskrifter, som definieras i artikel 1.9 i direktiv 83/189, till skillnad från den andra kategorin, som består av andra krav i den mening som avses i artikel 1.3 i direktiv, inte innehåller villkoret att förbudet i fråga ska vara sådant att det på ett påtagligt sätt påverkar produktens sammansättning, art eller saluföring.</w:t>
      </w:r>
    </w:p>
    <w:p w14:paraId="4E75D46D" w14:textId="77777777">
      <w:pPr>
        <w:pStyle w:val="P68B1DB1-Normal15"/>
        <w:widowControl w:val="0"/>
        <w:tabs>
          <w:tab w:val="left" w:pos="396"/>
          <w:tab w:val="left" w:pos="425"/>
        </w:tabs>
        <w:autoSpaceDE w:val="0"/>
        <w:autoSpaceDN w:val="0"/>
        <w:spacing w:after="0" w:line="240" w:lineRule="auto"/>
        <w:ind w:left="567"/>
        <w:jc w:val="both"/>
      </w:pPr>
    </w:p>
    <w:p w14:paraId="19633563" w14:textId="56C5A4E5">
      <w:pPr>
        <w:pStyle w:val="P68B1DB1-Normal15"/>
        <w:widowControl w:val="0"/>
        <w:tabs>
          <w:tab w:val="left" w:pos="396"/>
          <w:tab w:val="left" w:pos="425"/>
        </w:tabs>
        <w:autoSpaceDE w:val="0"/>
        <w:autoSpaceDN w:val="0"/>
        <w:spacing w:after="0" w:line="240" w:lineRule="auto"/>
        <w:ind w:left="567"/>
        <w:jc w:val="both"/>
      </w:pPr>
      <w:r>
        <w:t xml:space="preserve">76. Denna tredje kategori av tekniska föreskrifter avser förbud mot bland annat användning. Det ska därmed röra sig om bestämmelser vars räckvidd går klart längre än att endast begränsa viss möjlig användning av produkten i fråga och vilka följaktligen inte endast utgör en viss begränsning av produktens användning.</w:t>
      </w:r>
    </w:p>
    <w:p w14:paraId="0E03DE00" w14:textId="77777777">
      <w:pPr>
        <w:pStyle w:val="P68B1DB1-Normal15"/>
        <w:widowControl w:val="0"/>
        <w:tabs>
          <w:tab w:val="left" w:pos="396"/>
          <w:tab w:val="left" w:pos="425"/>
        </w:tabs>
        <w:autoSpaceDE w:val="0"/>
        <w:autoSpaceDN w:val="0"/>
        <w:spacing w:after="0" w:line="240" w:lineRule="auto"/>
        <w:ind w:left="567"/>
        <w:jc w:val="both"/>
      </w:pPr>
    </w:p>
    <w:p w14:paraId="2FD32D99" w14:textId="6701B778">
      <w:pPr>
        <w:pStyle w:val="P68B1DB1-Normal15"/>
        <w:widowControl w:val="0"/>
        <w:tabs>
          <w:tab w:val="left" w:pos="396"/>
          <w:tab w:val="left" w:pos="425"/>
        </w:tabs>
        <w:autoSpaceDE w:val="0"/>
        <w:autoSpaceDN w:val="0"/>
        <w:spacing w:after="0" w:line="240" w:lineRule="auto"/>
        <w:ind w:left="567"/>
        <w:jc w:val="both"/>
        <w:rPr>
          <w:iCs/>
        </w:rPr>
      </w:pPr>
      <w:r>
        <w:t xml:space="preserve">77. Såsom generaladvokaten har påpekat i punkt 70 i sitt förslag till avgörande avser denna kategori av tekniska föreskrifter särskilt nationella bestämmelser enligt vilka användning för ändamål som rimligen kan förväntas för produkten i fråga endast medges i rent marginell utsträckning. Det ankommer på den nationella domstolen att pröva huruvida förbudet i den nationella bestämmelse som är i fråga i målet vid den nationella domstolen utgör en sådan åtgärd. ”</w:t>
      </w:r>
    </w:p>
    <w:p w14:paraId="67FF74EE"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8FE6490" w14:textId="328430DD">
      <w:pPr>
        <w:pStyle w:val="P68B1DB1-Normal13"/>
        <w:widowControl w:val="0"/>
        <w:autoSpaceDE w:val="0"/>
        <w:autoSpaceDN w:val="0"/>
        <w:spacing w:after="0" w:line="240" w:lineRule="auto"/>
        <w:jc w:val="both"/>
        <w:outlineLvl w:val="1"/>
      </w:pPr>
      <w:hyperlink r:id="rId61" w:history="1">
        <w:r>
          <w:rPr>
            <w:color w:val="0000FF"/>
            <w:u w:val="single"/>
          </w:rPr>
          <w:t xml:space="preserve">Dom av den 8 september 2005</w:t>
        </w:r>
      </w:hyperlink>
      <w:r>
        <w:t xml:space="preserve"> i mål C-303/04, Lidl Italia, punkterna 12 och 13.</w:t>
      </w:r>
      <w:bookmarkEnd w:id="102"/>
    </w:p>
    <w:p w14:paraId="0264E5E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3D45D27" w14:textId="04452AA9">
      <w:pPr>
        <w:pStyle w:val="P68B1DB1-Normal14"/>
        <w:widowControl w:val="0"/>
        <w:tabs>
          <w:tab w:val="left" w:pos="393"/>
        </w:tabs>
        <w:autoSpaceDE w:val="0"/>
        <w:autoSpaceDN w:val="0"/>
        <w:spacing w:after="0" w:line="240" w:lineRule="auto"/>
        <w:jc w:val="both"/>
      </w:pPr>
      <w:r>
        <w:t xml:space="preserve">Ett nationellt förbud mot saluföring av produkter som inte tillverkas av vissa material utgör en bestämmelse som förbjuder tillverkning och saluföring av produkter.</w:t>
      </w:r>
    </w:p>
    <w:p w14:paraId="35068EA4"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4997783D" w14:textId="60D54546">
      <w:pPr>
        <w:pStyle w:val="P68B1DB1-Normal15"/>
        <w:widowControl w:val="0"/>
        <w:tabs>
          <w:tab w:val="left" w:pos="393"/>
        </w:tabs>
        <w:autoSpaceDE w:val="0"/>
        <w:autoSpaceDN w:val="0"/>
        <w:spacing w:after="0" w:line="240" w:lineRule="auto"/>
        <w:ind w:left="567"/>
        <w:jc w:val="both"/>
      </w:pPr>
      <w:r>
        <w:t xml:space="preserve">”12. enligt artikel 1.11 i direktiv 98/34 ska en nationell bestämmelse i en medlemsstat som förbjuder tillverkning, import, saluföring eller användning av en produkt betraktas som en kategori av teknisk föreskrift (se mål C-267/03, Lindberg, REG 2005, s. I-0000, punkt 54).</w:t>
      </w:r>
    </w:p>
    <w:p w14:paraId="52ECA4AF" w14:textId="77777777">
      <w:pPr>
        <w:pStyle w:val="P68B1DB1-Normal15"/>
        <w:widowControl w:val="0"/>
        <w:tabs>
          <w:tab w:val="left" w:pos="393"/>
        </w:tabs>
        <w:autoSpaceDE w:val="0"/>
        <w:autoSpaceDN w:val="0"/>
        <w:spacing w:after="0" w:line="240" w:lineRule="auto"/>
        <w:ind w:left="567"/>
        <w:jc w:val="both"/>
      </w:pPr>
    </w:p>
    <w:p w14:paraId="08984434" w14:textId="6B561E58">
      <w:pPr>
        <w:pStyle w:val="P68B1DB1-Normal15"/>
        <w:widowControl w:val="0"/>
        <w:tabs>
          <w:tab w:val="left" w:pos="393"/>
        </w:tabs>
        <w:autoSpaceDE w:val="0"/>
        <w:autoSpaceDN w:val="0"/>
        <w:spacing w:after="0" w:line="240" w:lineRule="auto"/>
        <w:ind w:left="567"/>
        <w:jc w:val="both"/>
        <w:rPr>
          <w:iCs/>
        </w:rPr>
      </w:pPr>
      <w:r>
        <w:t xml:space="preserve">13. I förevarande fall är det tillräckligt att konstatera att artikel 19.2 i lag nr 93/2001 är en sådan bestämmelse. Enligt denna bestämmelse utgör tillverkning och saluföring av bomullspinnar som inte uppvisar de nämnda egenskaperna, det vill säga de som inte helt tillverkas av biologiskt nedbrytbara material i enlighet med UNI 10785-normerna, överträdelser som medför administrativa sanktioner. ”</w:t>
      </w:r>
    </w:p>
    <w:p w14:paraId="7E80215F"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717B4ED" w14:textId="65166FE4">
      <w:pPr>
        <w:pStyle w:val="P68B1DB1-Normal13"/>
        <w:widowControl w:val="0"/>
        <w:autoSpaceDE w:val="0"/>
        <w:autoSpaceDN w:val="0"/>
        <w:spacing w:after="0" w:line="240" w:lineRule="auto"/>
        <w:jc w:val="both"/>
        <w:outlineLvl w:val="1"/>
      </w:pPr>
      <w:hyperlink r:id="rId62" w:history="1">
        <w:r>
          <w:rPr>
            <w:color w:val="0000FF"/>
            <w:u w:val="single"/>
          </w:rPr>
          <w:t xml:space="preserve">Domstolens dom av den 26 oktober 2006</w:t>
        </w:r>
      </w:hyperlink>
      <w:r>
        <w:t xml:space="preserve"> i mål C-65/05, kommissionen mot Grekland, punkt 61.</w:t>
      </w:r>
      <w:bookmarkEnd w:id="103"/>
    </w:p>
    <w:p w14:paraId="1384E7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CAE2532" w14:textId="2EC175AF">
      <w:pPr>
        <w:pStyle w:val="P68B1DB1-Normal14"/>
        <w:widowControl w:val="0"/>
        <w:tabs>
          <w:tab w:val="left" w:pos="415"/>
        </w:tabs>
        <w:autoSpaceDE w:val="0"/>
        <w:autoSpaceDN w:val="0"/>
        <w:spacing w:after="0" w:line="240" w:lineRule="auto"/>
        <w:jc w:val="both"/>
      </w:pPr>
      <w:r>
        <w:t xml:space="preserve">Åtgärder som förbjuder installation, utanför kasinon, av alla elektriska eller elektroniska spelapparater och användning av datorspel i företag som tillhandahåller internettjänster samt som innebär att det krävs ett särskilt tillstånd för att driva sådana företag ska betraktas som tekniska föreskrifter.</w:t>
      </w:r>
    </w:p>
    <w:p w14:paraId="6FD5D3A4" w14:textId="77777777">
      <w:pPr>
        <w:widowControl w:val="0"/>
        <w:tabs>
          <w:tab w:val="left" w:pos="415"/>
        </w:tabs>
        <w:autoSpaceDE w:val="0"/>
        <w:autoSpaceDN w:val="0"/>
        <w:spacing w:after="0" w:line="240" w:lineRule="auto"/>
        <w:jc w:val="both"/>
        <w:rPr>
          <w:rFonts w:ascii="Times New Roman" w:hAnsi="Times New Roman" w:cs="Times New Roman" w:eastAsia="Times New Roman"/>
          <w:szCs w:val="20"/>
        </w:rPr>
      </w:pPr>
    </w:p>
    <w:p w14:paraId="79252ABE" w14:textId="0E924053">
      <w:pPr>
        <w:pStyle w:val="P68B1DB1-Normal15"/>
        <w:widowControl w:val="0"/>
        <w:tabs>
          <w:tab w:val="left" w:pos="415"/>
        </w:tabs>
        <w:autoSpaceDE w:val="0"/>
        <w:autoSpaceDN w:val="0"/>
        <w:spacing w:after="0" w:line="240" w:lineRule="auto"/>
        <w:ind w:left="567"/>
        <w:jc w:val="both"/>
        <w:rPr>
          <w:iCs/>
        </w:rPr>
      </w:pPr>
      <w:r>
        <w:t>”</w:t>
      </w:r>
      <w:bookmarkStart w:id="104" w:name="point61"/>
      <w:r>
        <w:t>61</w:t>
      </w:r>
      <w:bookmarkEnd w:id="104"/>
      <w:r>
        <w:t xml:space="preserve">. sådana åtgärder som de som föreskrivs i artiklarna 2 (1) och 3 i lag nr 3037/2002 ska anses utgöra tekniska föreskrifter i den mening som avses i artikel 1.11 i direktiv 98/34, i den mån de förbjuder installation i Grekland av alla elektriska, elektromekaniska och elektroniska spel, inklusive alla datorspel, i alla offentliga och privata lokaler utom kasinon, och användning av spel på datorer i företag som tillhandahåller internettjänster, och som kräver särskilt tillstånd för att driva sådana företag (se, för ett liknande resonemang, dom av den 2005</w:t>
        <w:noBreakHyphen/>
        <w:t xml:space="preserve">mars 3247 i mål</w:t>
        <w:noBreakHyphen/>
        <w:t xml:space="preserve">C 267/03, Lindberg, REG, s. I). ”</w:t>
      </w:r>
    </w:p>
    <w:p w14:paraId="0089E684"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03A587DA" w14:textId="394DDB7B">
      <w:pPr>
        <w:pStyle w:val="P68B1DB1-Normal13"/>
        <w:widowControl w:val="0"/>
        <w:autoSpaceDE w:val="0"/>
        <w:autoSpaceDN w:val="0"/>
        <w:spacing w:after="0" w:line="240" w:lineRule="auto"/>
        <w:jc w:val="both"/>
        <w:outlineLvl w:val="1"/>
      </w:pPr>
      <w:hyperlink r:id="rId63" w:history="1">
        <w:r>
          <w:rPr>
            <w:color w:val="0000FF"/>
            <w:u w:val="single"/>
          </w:rPr>
          <w:t xml:space="preserve">Dom av den 19 juli 2012</w:t>
        </w:r>
      </w:hyperlink>
      <w:r>
        <w:t xml:space="preserve"> i de förenade målen C-213/11, C-214/11 och C-217/11, Fortuna m.fl., punkterna 24 och 25.</w:t>
      </w:r>
      <w:bookmarkEnd w:id="105"/>
    </w:p>
    <w:p w14:paraId="005978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7C6309" w14:textId="4A0E435F">
      <w:pPr>
        <w:pStyle w:val="P68B1DB1-Normal14"/>
        <w:widowControl w:val="0"/>
        <w:tabs>
          <w:tab w:val="left" w:pos="451"/>
        </w:tabs>
        <w:autoSpaceDE w:val="0"/>
        <w:autoSpaceDN w:val="0"/>
        <w:spacing w:after="0" w:line="240" w:lineRule="auto"/>
        <w:jc w:val="both"/>
      </w:pPr>
      <w:r>
        <w:t xml:space="preserve">En åtgärd som förbjuder användning av spelautomater utanför kasinon ska klassificeras som en ”teknisk föreskrift”.</w:t>
      </w:r>
    </w:p>
    <w:p w14:paraId="55F00ED6" w14:textId="77777777">
      <w:pPr>
        <w:widowControl w:val="0"/>
        <w:tabs>
          <w:tab w:val="left" w:pos="451"/>
        </w:tabs>
        <w:autoSpaceDE w:val="0"/>
        <w:autoSpaceDN w:val="0"/>
        <w:spacing w:after="0" w:line="240" w:lineRule="auto"/>
        <w:jc w:val="both"/>
        <w:rPr>
          <w:rFonts w:ascii="Times New Roman" w:hAnsi="Times New Roman" w:cs="Times New Roman" w:eastAsia="Times New Roman"/>
          <w:szCs w:val="20"/>
        </w:rPr>
      </w:pPr>
    </w:p>
    <w:p w14:paraId="4C7F2437" w14:textId="071474DD">
      <w:pPr>
        <w:pStyle w:val="P68B1DB1-Normal15"/>
        <w:widowControl w:val="0"/>
        <w:tabs>
          <w:tab w:val="left" w:pos="451"/>
        </w:tabs>
        <w:autoSpaceDE w:val="0"/>
        <w:autoSpaceDN w:val="0"/>
        <w:spacing w:after="0" w:line="240" w:lineRule="auto"/>
        <w:ind w:left="567"/>
        <w:jc w:val="both"/>
      </w:pPr>
      <w:r>
        <w:t xml:space="preserve">”24. [...] domstolen har redan slagit fast att åtgärder som förbjuder användning av alla elektriska, elektromekaniska och elektroniska spel i alla offentliga och privata lokaler utom kasinon ska anses utgöra tekniska föreskrifter i den mening som avses i artikel 1.11 i direktiv 98/34 (mål C-65/05, kommissionen mot Grekland, REG 2006, s. I-10341, punkt 61).</w:t>
      </w:r>
    </w:p>
    <w:p w14:paraId="449D41B3" w14:textId="77777777">
      <w:pPr>
        <w:pStyle w:val="P68B1DB1-Normal15"/>
        <w:widowControl w:val="0"/>
        <w:tabs>
          <w:tab w:val="left" w:pos="451"/>
        </w:tabs>
        <w:autoSpaceDE w:val="0"/>
        <w:autoSpaceDN w:val="0"/>
        <w:spacing w:after="0" w:line="240" w:lineRule="auto"/>
        <w:ind w:left="567"/>
        <w:jc w:val="both"/>
      </w:pPr>
    </w:p>
    <w:p w14:paraId="19795D70" w14:textId="79DBEA4A">
      <w:pPr>
        <w:pStyle w:val="P68B1DB1-Normal15"/>
        <w:widowControl w:val="0"/>
        <w:tabs>
          <w:tab w:val="left" w:pos="451"/>
        </w:tabs>
        <w:autoSpaceDE w:val="0"/>
        <w:autoSpaceDN w:val="0"/>
        <w:spacing w:after="0" w:line="240" w:lineRule="auto"/>
        <w:ind w:left="567"/>
        <w:jc w:val="both"/>
        <w:rPr>
          <w:iCs/>
        </w:rPr>
      </w:pPr>
      <w:r>
        <w:t xml:space="preserve">25. En sådan åtgärd som artikel 14.1 i lagen om hasardspel, enligt vilken endast kasinon får anordna automatspel, ska således kvalificeras som en ’teknisk föreskrift’ i den mening som avses i artikel 1.11 i direktiv 98/34. ”</w:t>
      </w:r>
    </w:p>
    <w:p w14:paraId="4A0CD426" w14:textId="77777777">
      <w:pPr>
        <w:spacing w:after="0" w:line="240" w:lineRule="auto"/>
      </w:pPr>
    </w:p>
    <w:p w14:paraId="1675A539" w14:textId="6C824499">
      <w:pPr>
        <w:pStyle w:val="P68B1DB1-Normal13"/>
        <w:widowControl w:val="0"/>
        <w:autoSpaceDE w:val="0"/>
        <w:autoSpaceDN w:val="0"/>
        <w:spacing w:after="0" w:line="240" w:lineRule="auto"/>
        <w:jc w:val="both"/>
        <w:outlineLvl w:val="1"/>
      </w:pPr>
      <w:hyperlink r:id="rId64" w:history="1">
        <w:r>
          <w:rPr>
            <w:color w:val="0000FF"/>
            <w:u w:val="single"/>
          </w:rPr>
          <w:t xml:space="preserve">Domstolens dom av den 27 oktober 2016</w:t>
        </w:r>
      </w:hyperlink>
      <w:r>
        <w:t xml:space="preserve"> i mål C-613/14, James Elliott Construction, punkt 70.</w:t>
      </w:r>
      <w:bookmarkEnd w:id="106"/>
    </w:p>
    <w:p w14:paraId="3A50454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D45187" w14:textId="07CFD998">
      <w:pPr>
        <w:widowControl w:val="0"/>
        <w:tabs>
          <w:tab w:val="left" w:pos="430"/>
        </w:tabs>
        <w:autoSpaceDE w:val="0"/>
        <w:autoSpaceDN w:val="0"/>
        <w:spacing w:after="0" w:line="240" w:lineRule="auto"/>
        <w:jc w:val="both"/>
        <w:rPr>
          <w:rFonts w:ascii="Times New Roman" w:hAnsi="Times New Roman" w:cs="Times New Roman" w:eastAsia="Times New Roman"/>
          <w:szCs w:val="20"/>
        </w:rPr>
        <w:pStyle w:val="P68B1DB1-Normal14"/>
      </w:pPr>
      <w:r>
        <w:t xml:space="preserve">Nationella bestämmelser om underförstådda avtalsvillkor om marknadsmässig kvalitet, lämplighet för användning eller allmän kvalitet på sålda produkter utgör inte bestämmelser om förbud.</w:t>
      </w:r>
    </w:p>
    <w:p w14:paraId="399B39AC" w14:textId="77777777">
      <w:pPr>
        <w:widowControl w:val="0"/>
        <w:tabs>
          <w:tab w:val="left" w:pos="430"/>
        </w:tabs>
        <w:autoSpaceDE w:val="0"/>
        <w:autoSpaceDN w:val="0"/>
        <w:spacing w:after="0" w:line="240" w:lineRule="auto"/>
        <w:jc w:val="both"/>
        <w:rPr>
          <w:rFonts w:ascii="Times New Roman" w:hAnsi="Times New Roman" w:cs="Times New Roman" w:eastAsia="Times New Roman"/>
          <w:i/>
          <w:iCs/>
          <w:sz w:val="20"/>
          <w:szCs w:val="16"/>
        </w:rPr>
      </w:pPr>
    </w:p>
    <w:p w14:paraId="03484B57" w14:textId="639C0DF2">
      <w:pPr>
        <w:pStyle w:val="P68B1DB1-Normal15"/>
        <w:widowControl w:val="0"/>
        <w:tabs>
          <w:tab w:val="left" w:pos="430"/>
        </w:tabs>
        <w:autoSpaceDE w:val="0"/>
        <w:autoSpaceDN w:val="0"/>
        <w:spacing w:after="0" w:line="240" w:lineRule="auto"/>
        <w:ind w:left="567"/>
        <w:jc w:val="both"/>
        <w:rPr>
          <w:iCs/>
        </w:rPr>
      </w:pPr>
      <w:r>
        <w:t>”</w:t>
      </w:r>
      <w:bookmarkStart w:id="107" w:name="point70"/>
      <w:r>
        <w:t>70</w:t>
      </w:r>
      <w:bookmarkEnd w:id="107"/>
      <w:r>
        <w:t xml:space="preserve">. [...] den lagstiftning som är aktuell i det nationella målet omfattas inte av tillämpningsområdet för de tekniska föreskrifter som avses i artikel 1.11 i direktiv 98/34, eftersom den, genom att endast ange underförstådda avtalsmässiga krav, inte innehåller något förbud, i den mening som avses i detta direktiv, mot tillverkning, import, saluföring eller användning av en produkt, tillhandahållande eller användning av en tjänst eller etablering i egenskap av tjänsteleverantör. ”</w:t>
      </w:r>
    </w:p>
    <w:p w14:paraId="444E99F8" w14:textId="77777777">
      <w:pPr>
        <w:spacing w:after="0" w:line="240" w:lineRule="auto"/>
      </w:pPr>
    </w:p>
    <w:p w14:paraId="178807FF" w14:textId="18545DE8">
      <w:pPr>
        <w:pStyle w:val="P68B1DB1-Normal13"/>
        <w:widowControl w:val="0"/>
        <w:autoSpaceDE w:val="0"/>
        <w:autoSpaceDN w:val="0"/>
        <w:spacing w:after="0" w:line="240" w:lineRule="auto"/>
        <w:jc w:val="both"/>
        <w:outlineLvl w:val="1"/>
      </w:pPr>
      <w:hyperlink r:id="rId65" w:anchor="ctx1" w:history="1">
        <w:r>
          <w:rPr>
            <w:color w:val="0000FF"/>
            <w:u w:val="single"/>
          </w:rPr>
          <w:t xml:space="preserve">Dom av den 28 maj 2020</w:t>
        </w:r>
      </w:hyperlink>
      <w:r>
        <w:t xml:space="preserve"> i mål C-727/17, ECO-WIND Construction, punkterna 45–47.</w:t>
      </w:r>
      <w:bookmarkEnd w:id="108"/>
    </w:p>
    <w:p w14:paraId="58A77184" w14:textId="77777777">
      <w:pPr>
        <w:widowControl w:val="0"/>
        <w:autoSpaceDE w:val="0"/>
        <w:autoSpaceDN w:val="0"/>
        <w:spacing w:after="0" w:line="240" w:lineRule="auto"/>
        <w:jc w:val="both"/>
        <w:rPr>
          <w:rFonts w:ascii="Times New Roman" w:hAnsi="Times New Roman" w:cs="Times New Roman" w:eastAsia="Times New Roman"/>
          <w:szCs w:val="20"/>
        </w:rPr>
      </w:pPr>
    </w:p>
    <w:p w14:paraId="2ABAB16B" w14:textId="5B45D2BF">
      <w:pPr>
        <w:pStyle w:val="P68B1DB1-Normal14"/>
        <w:widowControl w:val="0"/>
        <w:autoSpaceDE w:val="0"/>
        <w:autoSpaceDN w:val="0"/>
        <w:spacing w:after="0" w:line="240" w:lineRule="auto"/>
        <w:jc w:val="both"/>
      </w:pPr>
      <w:r>
        <w:t xml:space="preserve">En lagstiftning som föreskriver ett minsta avstånd för installation av vindkraftverk utgör inte ett förbud mot tillverkning, import, saluföring eller användning av en produkt, såvida den inte medför ett de facto-förbud mot saluföring av vindkraftverk och inte lämnar utrymme för någon annan användning av vindkraftverk än ett rent marginellt sådant.</w:t>
      </w:r>
    </w:p>
    <w:p w14:paraId="57350EE4" w14:textId="77777777">
      <w:pPr>
        <w:pStyle w:val="BodyText"/>
        <w:jc w:val="left"/>
      </w:pPr>
    </w:p>
    <w:p w14:paraId="671DACC6" w14:textId="1CB89713">
      <w:pPr>
        <w:pStyle w:val="P68B1DB1-BodyText19"/>
        <w:ind w:left="567"/>
        <w:rPr>
          <w:iCs/>
        </w:rPr>
      </w:pPr>
      <w:r>
        <w:t xml:space="preserve">”45. Denna kategori förutsätter att den aktuella åtgärden har en räckvidd som klart går utöver en begränsning till vissa användningsområden för den aktuella produkten och att den inte är begränsad till en ren begränsning av dess användning (dom av den 21 april 2005, Lindberg, C-267/03, EU:C:76:31, punkt, och dom av den 19 juli 2012, Fortuna m.fl., C-213/11, C-214/11 och C-217/11, Dubli, punkt).</w:t>
      </w:r>
    </w:p>
    <w:p w14:paraId="787A0A4F" w14:textId="77777777">
      <w:pPr>
        <w:pStyle w:val="P68B1DB1-BodyText19"/>
        <w:ind w:left="567"/>
        <w:rPr>
          <w:iCs/>
        </w:rPr>
      </w:pPr>
    </w:p>
    <w:p w14:paraId="7CEA657E" w14:textId="35F61E5B">
      <w:pPr>
        <w:pStyle w:val="P68B1DB1-BodyText19"/>
        <w:ind w:left="567"/>
        <w:rPr>
          <w:iCs/>
        </w:rPr>
      </w:pPr>
      <w:r>
        <w:t xml:space="preserve">46. Denna kategori är särskilt avsedd att omfatta nationella åtgärder som inte lämnar utrymme för någon annan användning av den berörda produkten än en rent marginell användning (dom av den 21 april 2005, Lindberg, C-267/03, EU:C:77:32, punkt, och dom av den 19 juli 2012, Fortuna m.fl., C-213/11, C-214/11 och C-217/11, Dubli, punkt).</w:t>
      </w:r>
    </w:p>
    <w:p w14:paraId="47448916" w14:textId="77777777">
      <w:pPr>
        <w:pStyle w:val="P68B1DB1-BodyText19"/>
        <w:ind w:left="567"/>
        <w:rPr>
          <w:iCs/>
        </w:rPr>
      </w:pPr>
    </w:p>
    <w:p w14:paraId="6508CA59" w14:textId="00D7F268">
      <w:pPr>
        <w:pStyle w:val="P68B1DB1-BodyText19"/>
        <w:ind w:left="567"/>
        <w:rPr>
          <w:iCs/>
        </w:rPr>
      </w:pPr>
      <w:r>
        <w:t xml:space="preserve">47. Även om kravet i den nationella lagstiftning som är i fråga i målet vid den nationella domstolen, enligt den nationella lagstiftning som är aktuell i det nationella målet, att uppföra ett vindkraftverk med ett minsta avstånd mellan vindkraftverket och byggnader med bostadsfunktion visserligen omfattar ett förbud mot att installera ett vindkraftverk på ett avstånd som är mindre än tio gånger den planerade anläggningens totala höjd från en byggnad med bostadsfunktion, ska det påpekas att denna lagstiftning emellertid inte förbjuder ekonomiska aktörer att fortsätta att installera vindturbiner och följaktligen att använda och marknadsföra vindkraftverk. ”</w:t>
      </w:r>
    </w:p>
    <w:p w14:paraId="17B77596" w14:textId="77777777">
      <w:pPr>
        <w:pStyle w:val="P68B1DB1-Normal4"/>
        <w:spacing w:after="0" w:line="240" w:lineRule="auto"/>
        <w:rPr>
          <w:rFonts w:ascii="Times New Roman" w:hAnsi="Times New Roman" w:cs="Times New Roman" w:eastAsia="Times New Roman"/>
          <w:i/>
          <w:iCs/>
          <w:szCs w:val="20"/>
        </w:rPr>
      </w:pPr>
      <w:r>
        <w:br w:type="page"/>
      </w:r>
    </w:p>
    <w:p w14:paraId="235FB3C0" w14:textId="44F6C5C7">
      <w:pPr>
        <w:pStyle w:val="P68B1DB1-Heading24"/>
        <w:numPr>
          <w:ilvl w:val="0"/>
          <w:numId w:val="35"/>
        </w:numPr>
        <w:spacing w:before="0" w:after="0"/>
        <w:jc w:val="center"/>
        <w:rPr>
          <w:bCs/>
          <w:color w:val="auto"/>
        </w:rPr>
      </w:pPr>
      <w:bookmarkStart w:id="109" w:name="_Ref194484603"/>
      <w:bookmarkStart w:id="110" w:name="_Toc203035671"/>
      <w:r>
        <w:t xml:space="preserve">Tekniska föreskrifter för de facto</w:t>
      </w:r>
      <w:bookmarkEnd w:id="109"/>
      <w:bookmarkEnd w:id="110"/>
    </w:p>
    <w:p w14:paraId="297F85EC" w14:textId="77777777">
      <w:pPr>
        <w:pStyle w:val="BodyText"/>
      </w:pPr>
    </w:p>
    <w:p w14:paraId="6C908457" w14:textId="3B825828">
      <w:pPr>
        <w:pStyle w:val="P68B1DB1-BodyText11"/>
        <w:ind w:left="567"/>
        <w:rPr>
          <w:i/>
        </w:rPr>
      </w:pPr>
      <w:r>
        <w:t xml:space="preserve">”De faktiska tekniska föreskrifterna ska omfatta följande: </w:t>
      </w:r>
    </w:p>
    <w:p w14:paraId="277715A6" w14:textId="77777777">
      <w:pPr>
        <w:pStyle w:val="BodyText"/>
        <w:ind w:left="567"/>
        <w:rPr>
          <w:i/>
        </w:rPr>
      </w:pPr>
    </w:p>
    <w:p w14:paraId="28BCD2BD" w14:textId="757EEC79">
      <w:pPr>
        <w:pStyle w:val="P68B1DB1-BodyText11"/>
        <w:numPr>
          <w:ilvl w:val="0"/>
          <w:numId w:val="31"/>
        </w:numPr>
        <w:rPr>
          <w:i/>
        </w:rPr>
      </w:pPr>
      <w:r>
        <w:t xml:space="preserve">en medlemsstats lagar eller andra författningar som hänvisar antingen till tekniska specifikationer eller andra krav eller till föreskrifter för tjänster, antingen yrkesetiska regler eller gott affärsskick som i sin tur hänvisar till tekniska specifikationer eller andra krav eller föreskrifter för tjänster, vars efterlevnad förutsätts vara i överensstämmelse med de skyldigheter som är fastställda i de ovan nämnda lagarna och andra författningarna. </w:t>
      </w:r>
    </w:p>
    <w:p w14:paraId="32E4257D" w14:textId="77777777">
      <w:pPr>
        <w:pStyle w:val="BodyText"/>
        <w:ind w:left="1287"/>
        <w:rPr>
          <w:i/>
        </w:rPr>
      </w:pPr>
    </w:p>
    <w:p w14:paraId="5E0B6B62" w14:textId="2D5EF06C">
      <w:pPr>
        <w:pStyle w:val="P68B1DB1-BodyText11"/>
        <w:numPr>
          <w:ilvl w:val="0"/>
          <w:numId w:val="31"/>
        </w:numPr>
        <w:rPr>
          <w:i/>
        </w:rPr>
      </w:pPr>
      <w:r>
        <w:t xml:space="preserve">frivilliga överenskommelser i vilka en offentlig myndighet är en avtalsslutande part och enligt vilka tekniska specifikationer eller andra krav eller föreskrifter för tjänster i allmänt intresse ska uppfyllas, med undantag av anbudsspecifikationer vid offentlig upphandling. </w:t>
      </w:r>
    </w:p>
    <w:p w14:paraId="4BEF10A9" w14:textId="77777777">
      <w:pPr>
        <w:pStyle w:val="BodyText"/>
        <w:rPr>
          <w:i/>
        </w:rPr>
      </w:pPr>
    </w:p>
    <w:p w14:paraId="5C79F6B1" w14:textId="7967F579">
      <w:pPr>
        <w:pStyle w:val="P68B1DB1-BodyText11"/>
        <w:numPr>
          <w:ilvl w:val="0"/>
          <w:numId w:val="31"/>
        </w:numPr>
        <w:rPr>
          <w:i/>
        </w:rPr>
      </w:pPr>
      <w:r>
        <w:t xml:space="preserve">tekniska specifikationer eller andra krav eller föreskrifter för tjänster som hänger samman med skattemässiga eller finansiella åtgärder som påverkar konsumtionen av produkterna eller tjänsterna genom att främja efterlevnaden av dessa tekniska specifikationer eller andra krav eller föreskrifter för tjänster. tekniska specifikationer eller andra krav eller regler för tjänster som är kopplade till nationella sociala trygghetssystem ingår inte. </w:t>
      </w:r>
    </w:p>
    <w:p w14:paraId="712A28B1" w14:textId="77777777">
      <w:pPr>
        <w:pStyle w:val="BodyText"/>
        <w:rPr>
          <w:i/>
        </w:rPr>
      </w:pPr>
    </w:p>
    <w:p w14:paraId="24545D3F" w14:textId="615DFC82">
      <w:pPr>
        <w:pStyle w:val="P68B1DB1-BodyText11"/>
        <w:ind w:left="567"/>
        <w:rPr>
          <w:i/>
        </w:rPr>
      </w:pPr>
      <w:r>
        <w:t xml:space="preserve">Detta omfattar tekniska föreskrifter som införts av de myndigheter som utsetts av medlemsstaterna och som finns upptagna i en förteckning som vid behov upprättas och uppdateras av kommissionen inom ramen för den kommitté som avses i artikel 2. ”</w:t>
      </w:r>
    </w:p>
    <w:p w14:paraId="5E87FB40" w14:textId="77777777">
      <w:pPr>
        <w:pStyle w:val="BodyText"/>
        <w:ind w:left="567"/>
        <w:rPr>
          <w:i/>
        </w:rPr>
      </w:pPr>
    </w:p>
    <w:p w14:paraId="5389ED96" w14:textId="0CBC1966">
      <w:pPr>
        <w:pStyle w:val="BodyText"/>
        <w:jc w:val="right"/>
      </w:pPr>
      <w:r>
        <w:t xml:space="preserve">(artikel 1.1 f andra och tredje meningen i direktiv (EU) 2015/1535)</w:t>
      </w:r>
    </w:p>
    <w:p w14:paraId="1343FCC6" w14:textId="77777777">
      <w:pPr>
        <w:pStyle w:val="BodyText"/>
        <w:ind w:left="567"/>
        <w:rPr>
          <w:i/>
          <w:iCs/>
          <w:sz w:val="20"/>
        </w:rPr>
      </w:pPr>
    </w:p>
    <w:p w14:paraId="46B01CEE" w14:textId="37C6A676">
      <w:pPr>
        <w:pStyle w:val="P68B1DB1-Normal13"/>
        <w:widowControl w:val="0"/>
        <w:autoSpaceDE w:val="0"/>
        <w:autoSpaceDN w:val="0"/>
        <w:spacing w:after="0" w:line="240" w:lineRule="auto"/>
        <w:jc w:val="both"/>
        <w:outlineLvl w:val="1"/>
      </w:pPr>
      <w:hyperlink r:id="rId66" w:history="1">
        <w:r>
          <w:rPr>
            <w:color w:val="0000FF"/>
            <w:u w:val="single"/>
          </w:rPr>
          <w:t xml:space="preserve">Domstolens dom av den 20 mars 1997</w:t>
        </w:r>
      </w:hyperlink>
      <w:r>
        <w:t xml:space="preserve"> i mål C-13/96, Bic Benelux, punkterna 23–25.</w:t>
      </w:r>
      <w:bookmarkEnd w:id="111"/>
    </w:p>
    <w:p w14:paraId="6D52B9D0"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19AF5B39" w14:textId="5DD94CEA">
      <w:pPr>
        <w:pStyle w:val="P68B1DB1-Normal14"/>
        <w:widowControl w:val="0"/>
        <w:tabs>
          <w:tab w:val="left" w:pos="396"/>
          <w:tab w:val="left" w:pos="400"/>
        </w:tabs>
        <w:autoSpaceDE w:val="0"/>
        <w:autoSpaceDN w:val="0"/>
        <w:spacing w:after="0" w:line="240" w:lineRule="auto"/>
        <w:jc w:val="both"/>
      </w:pPr>
      <w:r>
        <w:t xml:space="preserve">Ett märkningskrav som är avsett att informera konsumenten om vissa produkters miljöavtryck och som är kopplat till en skatt, men utgör en teknisk specifikation. Den kan inte enbart anses vara ”knuten till en skatteåtgärd” och omfattas därför inte av definitionen av ”de facto-tekniska föreskrifter”.</w:t>
      </w:r>
    </w:p>
    <w:p w14:paraId="34416FD0" w14:textId="77777777">
      <w:pPr>
        <w:pStyle w:val="P68B1DB1-Normal15"/>
        <w:widowControl w:val="0"/>
        <w:autoSpaceDE w:val="0"/>
        <w:autoSpaceDN w:val="0"/>
        <w:spacing w:after="0" w:line="240" w:lineRule="auto"/>
        <w:jc w:val="both"/>
      </w:pPr>
    </w:p>
    <w:p w14:paraId="308DB606" w14:textId="777B30B5">
      <w:pPr>
        <w:pStyle w:val="P68B1DB1-Normal15"/>
        <w:widowControl w:val="0"/>
        <w:autoSpaceDE w:val="0"/>
        <w:autoSpaceDN w:val="0"/>
        <w:spacing w:after="0" w:line="240" w:lineRule="auto"/>
        <w:ind w:left="510"/>
        <w:jc w:val="both"/>
      </w:pPr>
      <w:r>
        <w:t xml:space="preserve">”23. [...] för det första utgör det märkningskrav som är i fråga i målet vid den nationella domstolen, enligt definitionen i artikel 1.5 i direktiv 83/189, en rättslig teknisk föreskrift, eftersom den ”är obligatorisk... vid saluföring” av den berörda produkten och eftersom den, enligt definitionen i artikel 1.1, är en teknisk specifikation, eftersom förordningen definierar ”de egenskaper som krävs av en produkt, såsom... de krav som gäller för produkten i fråga om... märkning eller etikettering”. </w:t>
      </w:r>
    </w:p>
    <w:p w14:paraId="05172C30" w14:textId="77777777">
      <w:pPr>
        <w:pStyle w:val="P68B1DB1-Normal15"/>
        <w:widowControl w:val="0"/>
        <w:autoSpaceDE w:val="0"/>
        <w:autoSpaceDN w:val="0"/>
        <w:spacing w:after="0" w:line="240" w:lineRule="auto"/>
        <w:ind w:left="510"/>
        <w:jc w:val="both"/>
      </w:pPr>
    </w:p>
    <w:p w14:paraId="136F7452" w14:textId="4C08810C">
      <w:pPr>
        <w:pStyle w:val="P68B1DB1-Normal15"/>
        <w:widowControl w:val="0"/>
        <w:autoSpaceDE w:val="0"/>
        <w:autoSpaceDN w:val="0"/>
        <w:spacing w:after="0" w:line="240" w:lineRule="auto"/>
        <w:ind w:left="510"/>
        <w:jc w:val="both"/>
      </w:pPr>
      <w:r>
        <w:t xml:space="preserve">24. Det ska för det andra påpekas att märkningen i fråga i synnerhet har till syfte att informera allmänheten om produktens miljöpåverkan och att den belgiska regeringen har bekräftat den betydelse som ska fästas vid denna aspekt på reglerna avseende märkning. Syftet med miljöskatten, varigenom man eftersträvar att skydda miljön, främjas således genom märkning som på samma sätt som andra miljömärkningar oberoende av om de har samband med miljöskatter eller ej erinrar konsumenterna om ifrågavarande produkters skadliga miljöpåverkan. </w:t>
      </w:r>
    </w:p>
    <w:p w14:paraId="630640E3" w14:textId="77777777">
      <w:pPr>
        <w:pStyle w:val="P68B1DB1-Normal15"/>
        <w:widowControl w:val="0"/>
        <w:autoSpaceDE w:val="0"/>
        <w:autoSpaceDN w:val="0"/>
        <w:spacing w:after="0" w:line="240" w:lineRule="auto"/>
        <w:ind w:left="510"/>
        <w:jc w:val="both"/>
      </w:pPr>
    </w:p>
    <w:p w14:paraId="2F553F93" w14:textId="7D4B80F2">
      <w:pPr>
        <w:pStyle w:val="P68B1DB1-Normal15"/>
        <w:widowControl w:val="0"/>
        <w:autoSpaceDE w:val="0"/>
        <w:autoSpaceDN w:val="0"/>
        <w:spacing w:after="0" w:line="240" w:lineRule="auto"/>
        <w:ind w:left="510"/>
        <w:jc w:val="both"/>
      </w:pPr>
      <w:r>
        <w:t xml:space="preserve">25. Eftersom det aktuella märkningskravet inte på något sätt kan betraktas som en rent skattemässig kompletterande åtgärd, utgör det således inte ett krav som är knutet till en skatteåtgärd i den mening som avses i artikel 1.9 andra stycket tredje strecksatsen i direktiv 83/189, i dess lydelse enligt direktiv 94/10. ”</w:t>
      </w:r>
    </w:p>
    <w:p w14:paraId="2A051963" w14:textId="77777777">
      <w:pPr>
        <w:pStyle w:val="BodyText"/>
        <w:rPr>
          <w:i/>
          <w:iCs/>
          <w:sz w:val="20"/>
        </w:rPr>
      </w:pPr>
    </w:p>
    <w:p w14:paraId="0C96C56C" w14:textId="48164FB1">
      <w:pPr>
        <w:pStyle w:val="P68B1DB1-Normal14"/>
        <w:widowControl w:val="0"/>
        <w:autoSpaceDE w:val="0"/>
        <w:autoSpaceDN w:val="0"/>
        <w:spacing w:after="0" w:line="240" w:lineRule="auto"/>
        <w:jc w:val="both"/>
        <w:outlineLvl w:val="1"/>
        <w:rPr>
          <w:b/>
          <w:i/>
        </w:rPr>
      </w:pPr>
      <w:hyperlink r:id="rId67" w:history="1">
        <w:r>
          <w:rPr>
            <w:b/>
            <w:i/>
            <w:color w:val="0000FF"/>
            <w:u w:val="single"/>
          </w:rPr>
          <w:t xml:space="preserve">Dom av den 10 juli 2014 i mål</w:t>
        </w:r>
        <w:r>
          <w:rPr>
            <w:b/>
            <w:i/>
          </w:rPr>
          <w:t xml:space="preserve"> C-307/13,</w:t>
        </w:r>
        <w:r>
          <w:rPr>
            <w:b/>
            <w:i/>
            <w:color w:val="0000FF"/>
            <w:u w:val="single"/>
          </w:rPr>
          <w:t xml:space="preserve"> </w:t>
        </w:r>
        <w:r>
          <w:rPr>
            <w:b/>
            <w:i/>
          </w:rPr>
          <w:t xml:space="preserve"> Ivansson m.fl.</w:t>
        </w:r>
        <w:r>
          <w:rPr>
            <w:b/>
            <w:i/>
            <w:color w:val="0000FF"/>
            <w:u w:val="single"/>
          </w:rPr>
          <w:t xml:space="preserve">, punkterna 30 och 31</w:t>
        </w:r>
      </w:hyperlink>
      <w:bookmarkEnd w:id="112"/>
    </w:p>
    <w:p w14:paraId="0F2071D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BC0205" w14:textId="0A761A08">
      <w:pPr>
        <w:pStyle w:val="P68B1DB1-Normal14"/>
        <w:widowControl w:val="0"/>
        <w:tabs>
          <w:tab w:val="left" w:pos="396"/>
          <w:tab w:val="left" w:pos="407"/>
        </w:tabs>
        <w:autoSpaceDE w:val="0"/>
        <w:autoSpaceDN w:val="0"/>
        <w:spacing w:after="0" w:line="240" w:lineRule="auto"/>
        <w:jc w:val="both"/>
      </w:pPr>
      <w:r>
        <w:t xml:space="preserve">En hänvisning till detaljerade administrativa föreskrifter som innehåller ”tekniska specifikationer” eller ”andra krav” kan ge ett lagförslag status som ”de facto-teknisk föreskrift”.</w:t>
      </w:r>
    </w:p>
    <w:p w14:paraId="49A66D81" w14:textId="77777777">
      <w:pPr>
        <w:widowControl w:val="0"/>
        <w:tabs>
          <w:tab w:val="left" w:pos="396"/>
          <w:tab w:val="left" w:pos="407"/>
        </w:tabs>
        <w:autoSpaceDE w:val="0"/>
        <w:autoSpaceDN w:val="0"/>
        <w:spacing w:after="0" w:line="240" w:lineRule="auto"/>
        <w:jc w:val="both"/>
        <w:rPr>
          <w:rFonts w:ascii="Times New Roman" w:hAnsi="Times New Roman" w:cs="Times New Roman" w:eastAsia="Times New Roman"/>
          <w:szCs w:val="20"/>
        </w:rPr>
      </w:pPr>
    </w:p>
    <w:p w14:paraId="5AA4573D" w14:textId="6BC7CE32">
      <w:pPr>
        <w:pStyle w:val="P68B1DB1-Normal15"/>
        <w:widowControl w:val="0"/>
        <w:tabs>
          <w:tab w:val="left" w:pos="396"/>
          <w:tab w:val="left" w:pos="407"/>
        </w:tabs>
        <w:autoSpaceDE w:val="0"/>
        <w:autoSpaceDN w:val="0"/>
        <w:spacing w:after="0" w:line="240" w:lineRule="auto"/>
        <w:ind w:left="567"/>
        <w:jc w:val="both"/>
        <w:rPr>
          <w:iCs/>
        </w:rPr>
      </w:pPr>
      <w:r>
        <w:t xml:space="preserve">”30. [...] det kan konstateras att även om denna punkt </w:t>
      </w:r>
      <w:r>
        <w:rPr>
          <w:i w:val="0"/>
        </w:rPr>
        <w:t xml:space="preserve">[i den nationella lagstiftningen]</w:t>
      </w:r>
      <w:r>
        <w:t xml:space="preserve"> inte i sig utgör en teknisk föreskrift, hänvisar den i andra stycket till ytterligare bestämmelser om uppfödning av höns som Jordbruksverket skulle meddela vid en senare tidpunkt.</w:t>
      </w:r>
    </w:p>
    <w:p w14:paraId="6DB3B6F8" w14:textId="77777777">
      <w:pPr>
        <w:pStyle w:val="P68B1DB1-Normal15"/>
        <w:widowControl w:val="0"/>
        <w:tabs>
          <w:tab w:val="left" w:pos="396"/>
          <w:tab w:val="left" w:pos="407"/>
        </w:tabs>
        <w:autoSpaceDE w:val="0"/>
        <w:autoSpaceDN w:val="0"/>
        <w:spacing w:after="0" w:line="240" w:lineRule="auto"/>
        <w:ind w:left="567"/>
        <w:jc w:val="both"/>
        <w:rPr>
          <w:iCs/>
        </w:rPr>
      </w:pPr>
    </w:p>
    <w:p w14:paraId="7D1833D5" w14:textId="7451C7D7">
      <w:pPr>
        <w:pStyle w:val="P68B1DB1-Normal15"/>
        <w:widowControl w:val="0"/>
        <w:tabs>
          <w:tab w:val="left" w:pos="396"/>
          <w:tab w:val="left" w:pos="407"/>
        </w:tabs>
        <w:autoSpaceDE w:val="0"/>
        <w:autoSpaceDN w:val="0"/>
        <w:spacing w:after="0" w:line="240" w:lineRule="auto"/>
        <w:ind w:left="567"/>
        <w:jc w:val="both"/>
        <w:rPr>
          <w:iCs/>
        </w:rPr>
      </w:pPr>
      <w:r>
        <w:t xml:space="preserve">31. En sådan hänvisning till mer detaljerade administrativa föreskrifter kan, förutsatt att dessa bestämmelser i sig kan anses utgöra ”tekniska specifikationer” eller ”andra krav”, ge 9 § DSF status som ”faktisk teknisk föreskrift” i enlighet med artikel 1.11 första strecksatsen i direktiv 98/34. ”</w:t>
      </w:r>
    </w:p>
    <w:p w14:paraId="770077A5" w14:textId="77777777">
      <w:pPr>
        <w:pStyle w:val="BodyText"/>
        <w:rPr>
          <w:i/>
          <w:iCs/>
          <w:sz w:val="20"/>
        </w:rPr>
      </w:pPr>
    </w:p>
    <w:p w14:paraId="0CF29864" w14:textId="5F056C69">
      <w:pPr>
        <w:pStyle w:val="P68B1DB1-Normal13"/>
        <w:widowControl w:val="0"/>
        <w:autoSpaceDE w:val="0"/>
        <w:autoSpaceDN w:val="0"/>
        <w:spacing w:after="0" w:line="240" w:lineRule="auto"/>
        <w:jc w:val="both"/>
        <w:outlineLvl w:val="1"/>
      </w:pPr>
      <w:hyperlink r:id="rId68" w:anchor="ctx1" w:history="1">
        <w:r>
          <w:rPr>
            <w:color w:val="0000FF"/>
            <w:u w:val="single"/>
          </w:rPr>
          <w:t xml:space="preserve">Dom av den 11 juni 2015</w:t>
        </w:r>
      </w:hyperlink>
      <w:r>
        <w:t xml:space="preserve"> i mål C-98/14, Berlington Hungary m.fl., punkterna 95–97</w:t>
      </w:r>
      <w:bookmarkEnd w:id="113"/>
    </w:p>
    <w:p w14:paraId="51CCE70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C8DCCD" w14:textId="152D2442">
      <w:pPr>
        <w:pStyle w:val="P68B1DB1-Normal14"/>
        <w:widowControl w:val="0"/>
        <w:tabs>
          <w:tab w:val="left" w:pos="396"/>
          <w:tab w:val="left" w:pos="398"/>
        </w:tabs>
        <w:autoSpaceDE w:val="0"/>
        <w:autoSpaceDN w:val="0"/>
        <w:spacing w:after="0" w:line="240" w:lineRule="auto"/>
        <w:jc w:val="both"/>
      </w:pPr>
      <w:r>
        <w:t xml:space="preserve">Nationella bestämmelser som multiplicerar den skatt som ska betalas på spelautomater som används i spelhallar med fem och även inför en proportionell skatt på denna verksamhet utgör inte ”de facto tekniska föreskrifter”, eftersom det rör sig om skattebestämmelser och inte om ”tekniska specifikationer som är knutna till en skatteregel” i den mening som avses i direktivet.</w:t>
      </w:r>
    </w:p>
    <w:p w14:paraId="00CB80B7"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5DBF183B" w14:textId="70A7203F">
      <w:pPr>
        <w:pStyle w:val="P68B1DB1-Normal15"/>
        <w:widowControl w:val="0"/>
        <w:tabs>
          <w:tab w:val="left" w:pos="396"/>
          <w:tab w:val="left" w:pos="449"/>
        </w:tabs>
        <w:autoSpaceDE w:val="0"/>
        <w:autoSpaceDN w:val="0"/>
        <w:spacing w:after="0" w:line="240" w:lineRule="auto"/>
        <w:ind w:left="567"/>
        <w:jc w:val="both"/>
      </w:pPr>
      <w:r>
        <w:t xml:space="preserve">”95. Enligt artikel 1.11 tredje strecksatsen i direktivet avses med ”de facto-tekniska föreskrifter” i den mening som avses i denna bestämmelse ”tekniska specifikationer eller andra krav eller föreskrifter för tjänster som är knutna till skattemässiga eller finansiella åtgärder som påverkar konsumtionen av varor eller tjänster genom att främja överensstämmelse med sådana tekniska specifikationer eller andra krav eller föreskrifter för tjänster”.</w:t>
      </w:r>
    </w:p>
    <w:p w14:paraId="07116B99" w14:textId="77777777">
      <w:pPr>
        <w:pStyle w:val="P68B1DB1-Normal15"/>
        <w:widowControl w:val="0"/>
        <w:tabs>
          <w:tab w:val="left" w:pos="396"/>
          <w:tab w:val="left" w:pos="449"/>
        </w:tabs>
        <w:autoSpaceDE w:val="0"/>
        <w:autoSpaceDN w:val="0"/>
        <w:spacing w:after="0" w:line="240" w:lineRule="auto"/>
        <w:ind w:left="567"/>
        <w:jc w:val="both"/>
      </w:pPr>
    </w:p>
    <w:p w14:paraId="42599018" w14:textId="2DFE2CF5">
      <w:pPr>
        <w:pStyle w:val="P68B1DB1-Normal15"/>
        <w:widowControl w:val="0"/>
        <w:tabs>
          <w:tab w:val="left" w:pos="396"/>
          <w:tab w:val="left" w:pos="449"/>
        </w:tabs>
        <w:autoSpaceDE w:val="0"/>
        <w:autoSpaceDN w:val="0"/>
        <w:spacing w:after="0" w:line="240" w:lineRule="auto"/>
        <w:ind w:left="567"/>
        <w:jc w:val="both"/>
      </w:pPr>
      <w:r>
        <w:t xml:space="preserve">96. Det framgår av denna formulering att begreppet ”de facto-tekniska föreskrifter” inte avser skatteåtgärderna i sig, utan de tekniska specifikationerna eller andra krav som är knutna till dem.</w:t>
      </w:r>
    </w:p>
    <w:p w14:paraId="00F9B573" w14:textId="77777777">
      <w:pPr>
        <w:pStyle w:val="P68B1DB1-Normal15"/>
        <w:widowControl w:val="0"/>
        <w:tabs>
          <w:tab w:val="left" w:pos="396"/>
          <w:tab w:val="left" w:pos="449"/>
        </w:tabs>
        <w:autoSpaceDE w:val="0"/>
        <w:autoSpaceDN w:val="0"/>
        <w:spacing w:after="0" w:line="240" w:lineRule="auto"/>
        <w:ind w:left="567"/>
        <w:jc w:val="both"/>
      </w:pPr>
    </w:p>
    <w:p w14:paraId="60E2105A" w14:textId="6B2A54B5">
      <w:pPr>
        <w:pStyle w:val="P68B1DB1-Normal15"/>
        <w:widowControl w:val="0"/>
        <w:tabs>
          <w:tab w:val="left" w:pos="396"/>
          <w:tab w:val="left" w:pos="449"/>
        </w:tabs>
        <w:autoSpaceDE w:val="0"/>
        <w:autoSpaceDN w:val="0"/>
        <w:spacing w:after="0" w:line="240" w:lineRule="auto"/>
        <w:ind w:left="567"/>
        <w:jc w:val="both"/>
        <w:rPr>
          <w:iCs/>
        </w:rPr>
      </w:pPr>
      <w:r>
        <w:t xml:space="preserve">97. En sådan skattelagstiftning som den som är i fråga i målet vid den nationella domstolen, som inte åtföljs av någon teknisk specifikation eller något annat krav som den påstås uppfylla, kan således inte betecknas som en ”faktisk teknisk föreskrift”. ”</w:t>
      </w:r>
    </w:p>
    <w:p w14:paraId="37BAFBC9" w14:textId="77777777">
      <w:pPr>
        <w:pStyle w:val="BodyText"/>
        <w:rPr>
          <w:i/>
          <w:iCs/>
          <w:sz w:val="20"/>
        </w:rPr>
      </w:pPr>
    </w:p>
    <w:p w14:paraId="7274149C" w14:textId="5D545442">
      <w:pPr>
        <w:pStyle w:val="P68B1DB1-Normal13"/>
        <w:widowControl w:val="0"/>
        <w:autoSpaceDE w:val="0"/>
        <w:autoSpaceDN w:val="0"/>
        <w:spacing w:after="0" w:line="240" w:lineRule="auto"/>
        <w:jc w:val="both"/>
        <w:outlineLvl w:val="1"/>
      </w:pPr>
      <w:hyperlink r:id="rId69" w:history="1">
        <w:r>
          <w:rPr>
            <w:color w:val="0000FF"/>
            <w:u w:val="single"/>
          </w:rPr>
          <w:t xml:space="preserve">Dom av den 8 oktober 2020</w:t>
        </w:r>
      </w:hyperlink>
      <w:r>
        <w:t xml:space="preserve">, Admiral Sportwetten m.fl., punkterna 38 och 41</w:t>
      </w:r>
      <w:bookmarkEnd w:id="114"/>
    </w:p>
    <w:p w14:paraId="6A479E47"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58900280" w14:textId="5B06B273">
      <w:pPr>
        <w:pStyle w:val="P68B1DB1-Normal14"/>
        <w:widowControl w:val="0"/>
        <w:tabs>
          <w:tab w:val="left" w:pos="537"/>
          <w:tab w:val="left" w:pos="539"/>
        </w:tabs>
        <w:autoSpaceDE w:val="0"/>
        <w:autoSpaceDN w:val="0"/>
        <w:spacing w:after="0" w:line="240" w:lineRule="auto"/>
        <w:jc w:val="both"/>
      </w:pPr>
      <w:r>
        <w:t xml:space="preserve">Skattelagstiftning, som inte åtföljs av någon ”teknisk specifikation” eller något annat krav som den är avsedd att uppfylla, kan inte klassificeras som en ”faktisk teknisk föreskrift”. En nationell skattelagstiftning som föreskriver beskattning av idrottsspelautomater utgör således inte en ”teknisk föreskrift”.</w:t>
      </w:r>
    </w:p>
    <w:p w14:paraId="27BCDA3E"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130D4C07" w14:textId="276A8931">
      <w:pPr>
        <w:pStyle w:val="P68B1DB1-Normal15"/>
        <w:widowControl w:val="0"/>
        <w:tabs>
          <w:tab w:val="left" w:pos="537"/>
          <w:tab w:val="left" w:pos="539"/>
        </w:tabs>
        <w:autoSpaceDE w:val="0"/>
        <w:autoSpaceDN w:val="0"/>
        <w:spacing w:after="0" w:line="240" w:lineRule="auto"/>
        <w:ind w:left="567"/>
        <w:jc w:val="both"/>
        <w:rPr>
          <w:iCs/>
        </w:rPr>
      </w:pPr>
      <w:r>
        <w:t xml:space="preserve">”38. [...] vad gäller de faktiska tekniska föreskrifterna i den mening som avses i artikel 1.1 f iii i direktiv 2015/1535 har domstolen redan slagit fast att en skattelagstiftning som inte åtföljs av någon teknisk specifikation eller något annat krav som den påstås vara avsedd att säkerställa överensstämmelse med, inte kan betecknas som en ’de facto-teknisk föreskrift’ (se, för ett liknande resonemang, dom av den 11 juni 2015, Berlington Hungary m.fl.</w:t>
        <w:noBreakHyphen/>
        <w:t xml:space="preserve">, C 98/14, punkt 97). ”</w:t>
      </w:r>
    </w:p>
    <w:p w14:paraId="002A514F" w14:textId="77777777">
      <w:pPr>
        <w:widowControl w:val="0"/>
        <w:tabs>
          <w:tab w:val="left" w:pos="537"/>
          <w:tab w:val="left" w:pos="539"/>
        </w:tabs>
        <w:autoSpaceDE w:val="0"/>
        <w:autoSpaceDN w:val="0"/>
        <w:spacing w:after="0" w:line="240" w:lineRule="auto"/>
        <w:ind w:left="567"/>
        <w:jc w:val="both"/>
        <w:rPr>
          <w:rFonts w:ascii="Times New Roman" w:hAnsi="Times New Roman" w:cs="Times New Roman" w:eastAsia="Times New Roman"/>
          <w:i/>
          <w:iCs/>
          <w:sz w:val="20"/>
          <w:szCs w:val="16"/>
        </w:rPr>
      </w:pPr>
    </w:p>
    <w:p w14:paraId="727DEFFB" w14:textId="18B04311">
      <w:pPr>
        <w:pStyle w:val="P68B1DB1-Normal15"/>
        <w:widowControl w:val="0"/>
        <w:tabs>
          <w:tab w:val="left" w:pos="537"/>
          <w:tab w:val="left" w:pos="539"/>
        </w:tabs>
        <w:autoSpaceDE w:val="0"/>
        <w:autoSpaceDN w:val="0"/>
        <w:spacing w:after="0" w:line="240" w:lineRule="auto"/>
        <w:ind w:left="567"/>
        <w:jc w:val="both"/>
        <w:rPr>
          <w:iCs/>
        </w:rPr>
      </w:pPr>
      <w:r>
        <w:t>”</w:t>
      </w:r>
      <w:bookmarkStart w:id="115" w:name="point41"/>
      <w:r>
        <w:t>41</w:t>
      </w:r>
      <w:bookmarkEnd w:id="115"/>
      <w:r>
        <w:t xml:space="preserve">. Artikel 1 i direktiv 2015/1535 ska tolkas så, att en nationell skatteregel som föreskriver beskattning av driften av vadhållningsterminaler inte utgör en ’teknisk föreskrift’ i den mening som avses i denna artikel. ”</w:t>
      </w:r>
    </w:p>
    <w:p w14:paraId="5C076B9C" w14:textId="77777777">
      <w:pPr>
        <w:pStyle w:val="BodyText"/>
        <w:rPr>
          <w:i/>
          <w:iCs/>
          <w:sz w:val="20"/>
        </w:rPr>
      </w:pPr>
    </w:p>
    <w:p w14:paraId="5F483606" w14:textId="4F0BCA0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70" w:history="1">
        <w:r>
          <w:rPr>
            <w:rStyle w:val="Hyperlink"/>
            <w:rFonts w:ascii="Times New Roman" w:hAnsi="Times New Roman" w:cs="Times New Roman" w:eastAsia="Times New Roman"/>
            <w:b/>
            <w:i/>
            <w:color w:val="0000FF"/>
            <w:szCs w:val="20"/>
          </w:rPr>
          <w:t xml:space="preserve">Dom av den 22 december 2022</w:t>
        </w:r>
      </w:hyperlink>
      <w:r>
        <w:rPr>
          <w:rFonts w:ascii="Times New Roman" w:hAnsi="Times New Roman" w:cs="Times New Roman" w:eastAsia="Times New Roman"/>
          <w:b/>
          <w:i/>
          <w:szCs w:val="20"/>
        </w:rPr>
        <w:t xml:space="preserve">, Airbnb Ireland och Airbnb Payments UK,</w:t>
        <w:noBreakHyphen/>
        <w:t xml:space="preserve">C 83/21, punkterna 29 och 30.</w:t>
      </w:r>
      <w:bookmarkEnd w:id="116"/>
    </w:p>
    <w:p w14:paraId="704D5C2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1AD7B89C" w14:textId="00C14D39">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Style w:val="P68B1DB1-Normal14"/>
      </w:pPr>
      <w:r>
        <w:t xml:space="preserve">En skattelagstiftning kan inte i sig kvalificeras som en ”faktisk teknisk föreskrift”.</w:t>
      </w:r>
    </w:p>
    <w:p w14:paraId="19FFADF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7EE5EF44" w14:textId="19450D26">
      <w:pPr>
        <w:pStyle w:val="P68B1DB1-BodyText19"/>
        <w:ind w:left="567"/>
      </w:pPr>
      <w:r>
        <w:t xml:space="preserve">”29. Vad gäller direktiv 2015/1535 ska det påpekas att det avser ”[EUF-fördraget], särskilt artiklarna 114, 337 och 43”. Domstolen påpekar inledningsvis att undantaget i artikel 114.2 FEUF avseende ”bestämmelser om skatter och avgifter” även är tillämpligt på detta direktiv, av de skäl som angetts i punkt 25 i förevarande dom.</w:t>
      </w:r>
    </w:p>
    <w:p w14:paraId="5619063A" w14:textId="77777777">
      <w:pPr>
        <w:pStyle w:val="P68B1DB1-BodyText19"/>
        <w:ind w:left="567"/>
      </w:pPr>
    </w:p>
    <w:p w14:paraId="43BD732D" w14:textId="6B6E6B11">
      <w:pPr>
        <w:pStyle w:val="P68B1DB1-BodyText19"/>
        <w:ind w:left="567"/>
        <w:rPr>
          <w:iCs/>
        </w:rPr>
      </w:pPr>
      <w:r>
        <w:t xml:space="preserve">30. Dessutom ger innehållet i direktiv 2015/1535 indirekt stöd för att ”bestämmelser om skatter och avgifter” inte omfattas av direktivets tillämpningsområde, eftersom det i artikel 1.1 f iii) i direktivet, bland de tekniska föreskrifter som är faktiskt tvingande, nämns tekniska specifikationer eller andra krav eller regler som rör tjänster och som ”hänger samman med skattemässiga eller finansiella åtgärder”. Det rör sig således inte om konkreta skatteåtgärder, utan endast om åtgärder som har samband med skatteåtgärder (se, för ett liknande resonemang, dom av den 8 oktober 2020, Admiral Sportwetten m.fl., C-711/19, Dubli, punkt 38). de sistnämnda fortsätter därför som sådana att falla utanför tillämpningsområdet för det direktivet. ”</w:t>
      </w:r>
    </w:p>
    <w:p w14:paraId="5775DA65" w14:textId="01ED6DBB">
      <w:pPr>
        <w:pStyle w:val="P68B1DB1-Normal4"/>
        <w:spacing w:after="0" w:line="240" w:lineRule="auto"/>
        <w:rPr>
          <w:rFonts w:ascii="Times New Roman" w:hAnsi="Times New Roman" w:cs="Times New Roman" w:eastAsia="Times New Roman"/>
          <w:i/>
          <w:iCs/>
          <w:szCs w:val="20"/>
        </w:rPr>
      </w:pPr>
      <w:r>
        <w:br w:type="page"/>
      </w:r>
    </w:p>
    <w:p w14:paraId="5F7E7C6E" w14:textId="032BD921">
      <w:pPr>
        <w:pStyle w:val="P68B1DB1-Heading24"/>
        <w:numPr>
          <w:ilvl w:val="0"/>
          <w:numId w:val="35"/>
        </w:numPr>
        <w:spacing w:before="0" w:after="0"/>
        <w:jc w:val="center"/>
        <w:rPr>
          <w:bCs/>
          <w:color w:val="auto"/>
        </w:rPr>
      </w:pPr>
      <w:bookmarkStart w:id="117" w:name="_Ref196314231"/>
      <w:bookmarkStart w:id="118" w:name="_Ref194484613"/>
      <w:bookmarkStart w:id="119" w:name="_Toc203035672"/>
      <w:r>
        <w:t xml:space="preserve">Undantagna frågor</w:t>
      </w:r>
      <w:bookmarkEnd w:id="117"/>
      <w:bookmarkEnd w:id="118"/>
      <w:bookmarkEnd w:id="119"/>
    </w:p>
    <w:p w14:paraId="1278603B" w14:textId="77777777">
      <w:pPr>
        <w:pStyle w:val="BodyText"/>
        <w:rPr>
          <w:b/>
          <w:bCs/>
        </w:rPr>
      </w:pPr>
    </w:p>
    <w:p w14:paraId="1B32B976" w14:textId="77777777">
      <w:pPr>
        <w:pStyle w:val="P68B1DB1-BodyText11"/>
        <w:ind w:left="567"/>
      </w:pPr>
      <w:r>
        <w:t xml:space="preserve">”2. Detta direktiv ska inte tillämpas på följande: </w:t>
      </w:r>
    </w:p>
    <w:p w14:paraId="04019AF2" w14:textId="77777777">
      <w:pPr>
        <w:pStyle w:val="P68B1DB1-BodyText11"/>
        <w:ind w:left="1287" w:firstLine="153"/>
      </w:pPr>
      <w:r>
        <w:t xml:space="preserve">a) Radiosändningstjänster. </w:t>
      </w:r>
    </w:p>
    <w:p w14:paraId="1EADA741" w14:textId="108B47F0">
      <w:pPr>
        <w:pStyle w:val="P68B1DB1-BodyText11"/>
        <w:ind w:left="1440"/>
      </w:pPr>
      <w:r>
        <w:t xml:space="preserve">b) Televisionssändningstjänster som omfattas av artikel 1.1 e i Europaparlamentets och rådets direktiv 2010/13/EU (1). </w:t>
      </w:r>
    </w:p>
    <w:p w14:paraId="7DD31811" w14:textId="77777777">
      <w:pPr>
        <w:pStyle w:val="P68B1DB1-BodyText11"/>
        <w:ind w:left="567"/>
      </w:pPr>
    </w:p>
    <w:p w14:paraId="21C04911" w14:textId="0885ED27">
      <w:pPr>
        <w:pStyle w:val="P68B1DB1-BodyText11"/>
        <w:ind w:left="567"/>
      </w:pPr>
      <w:r>
        <w:t xml:space="preserve">3. Detta direktiv ska inte tillämpas på regler om frågor som omfattas av unionslagstiftning på området teletjänster som omfattas av Europaparlamentets och rådets direktiv 2002/21/EG (2). </w:t>
      </w:r>
    </w:p>
    <w:p w14:paraId="14E66827" w14:textId="77777777">
      <w:pPr>
        <w:pStyle w:val="P68B1DB1-BodyText11"/>
        <w:ind w:left="567"/>
      </w:pPr>
    </w:p>
    <w:p w14:paraId="21D3AD3B" w14:textId="663656A4">
      <w:pPr>
        <w:pStyle w:val="P68B1DB1-BodyText11"/>
        <w:ind w:left="567"/>
      </w:pPr>
      <w:r>
        <w:t xml:space="preserve">4. Detta direktiv ska inte tillämpas på regler som rör frågor som omfattas av unionslagstiftningen på området för finansiella tjänster, som förtecknas på ett icke uttömmande sätt i bilaga II till detta direktiv. </w:t>
      </w:r>
    </w:p>
    <w:p w14:paraId="0E58960E" w14:textId="77777777">
      <w:pPr>
        <w:pStyle w:val="P68B1DB1-BodyText11"/>
        <w:ind w:left="567"/>
      </w:pPr>
    </w:p>
    <w:p w14:paraId="66AEA247" w14:textId="77777777">
      <w:pPr>
        <w:pStyle w:val="P68B1DB1-BodyText11"/>
        <w:ind w:left="567"/>
      </w:pPr>
      <w:r>
        <w:t xml:space="preserve">5. Med undantag för artikel 5.3 ska detta direktiv inte tillämpas på regler antagna av eller för reglerade marknader i den mening som avses i Europaparlamentets och rådets direktiv 2004/39/EG (3) eller av eller för andra marknader eller organ som utför clearing- eller avvecklingsfunktioner för dessa marknader.</w:t>
      </w:r>
    </w:p>
    <w:p w14:paraId="5D510CB9" w14:textId="77777777">
      <w:pPr>
        <w:pStyle w:val="P68B1DB1-BodyText11"/>
        <w:ind w:left="567"/>
      </w:pPr>
    </w:p>
    <w:p w14:paraId="70E3F74F" w14:textId="117D7E99">
      <w:pPr>
        <w:pStyle w:val="P68B1DB1-BodyText11"/>
        <w:ind w:left="567"/>
      </w:pPr>
      <w:r>
        <w:t xml:space="preserve">6. Detta direktiv ska inte gälla sådana åtgärder som medlemsstaterna anser nödvändiga enligt fördragen för att skydda personer, särskilt arbetstagare, vid användning av produkterna, förutsatt att dessa åtgärder inte påverkar produkterna.</w:t>
      </w:r>
    </w:p>
    <w:p w14:paraId="24FE75EA" w14:textId="77777777">
      <w:pPr>
        <w:pStyle w:val="P68B1DB1-BodyText11"/>
        <w:ind w:left="567"/>
      </w:pPr>
    </w:p>
    <w:p w14:paraId="74938EC0" w14:textId="5965F3C9">
      <w:pPr>
        <w:pStyle w:val="BodyText"/>
        <w:ind w:left="1080"/>
        <w:jc w:val="right"/>
      </w:pPr>
      <w:r>
        <w:t xml:space="preserve">(Artikel 1.2 – (6) i direktiv (EU) 2015/1535)</w:t>
      </w:r>
    </w:p>
    <w:p w14:paraId="2BAD670C" w14:textId="77777777">
      <w:pPr>
        <w:pStyle w:val="BodyText"/>
        <w:rPr>
          <w:i/>
          <w:iCs/>
          <w:sz w:val="20"/>
        </w:rPr>
      </w:pPr>
    </w:p>
    <w:p w14:paraId="0C974BBF" w14:textId="3B58908A">
      <w:pPr>
        <w:pStyle w:val="P68B1DB1-BodyText23"/>
        <w:ind w:left="567"/>
        <w:rPr>
          <w:iCs/>
        </w:rPr>
      </w:pPr>
      <w:r>
        <w:t xml:space="preserve">”tv-sändning eller tv-sändning (dvs. en linjär audiovisuell medietjänst): en audiovisuell medietjänst som tillhandahålls av en leverantör av medietjänster för samtidig visning av program på grundval av en programtablå.”</w:t>
      </w:r>
    </w:p>
    <w:p w14:paraId="68D48BC5" w14:textId="77777777">
      <w:pPr>
        <w:pStyle w:val="BodyText"/>
        <w:ind w:left="567"/>
        <w:rPr>
          <w:i/>
          <w:iCs/>
          <w:szCs w:val="24"/>
        </w:rPr>
      </w:pPr>
    </w:p>
    <w:p w14:paraId="1E9F9AD6" w14:textId="648E8643">
      <w:pPr>
        <w:pStyle w:val="BodyText"/>
        <w:ind w:left="1080"/>
        <w:jc w:val="right"/>
      </w:pPr>
      <w:r>
        <w:t xml:space="preserve">(Artikel 1.1 e i direktiv 2010/13/EU).</w:t>
      </w:r>
    </w:p>
    <w:p w14:paraId="13E3D11F" w14:textId="77777777">
      <w:pPr>
        <w:pStyle w:val="BodyText"/>
        <w:ind w:left="1080"/>
        <w:jc w:val="right"/>
      </w:pPr>
    </w:p>
    <w:p w14:paraId="6E0ADBB8" w14:textId="55100584">
      <w:pPr>
        <w:pStyle w:val="P68B1DB1-BodyText11"/>
        <w:jc w:val="center"/>
        <w:rPr>
          <w:i/>
        </w:rPr>
      </w:pPr>
      <w:r>
        <w:t xml:space="preserve">Vägledande förteckning över finansiella tjänster som omfattas av artikel 1.4</w:t>
      </w:r>
    </w:p>
    <w:p w14:paraId="25F72A02" w14:textId="77777777">
      <w:pPr>
        <w:pStyle w:val="BodyText"/>
        <w:jc w:val="center"/>
        <w:rPr>
          <w:i/>
        </w:rPr>
      </w:pPr>
    </w:p>
    <w:p w14:paraId="319C26B1" w14:textId="77777777">
      <w:pPr>
        <w:pStyle w:val="P68B1DB1-BodyText11"/>
        <w:ind w:left="567"/>
        <w:rPr>
          <w:i/>
        </w:rPr>
      </w:pPr>
      <w:r>
        <w:t xml:space="preserve">— Investeringstjänster, </w:t>
      </w:r>
    </w:p>
    <w:p w14:paraId="4E853016" w14:textId="77777777">
      <w:pPr>
        <w:pStyle w:val="P68B1DB1-BodyText11"/>
        <w:ind w:left="567"/>
        <w:rPr>
          <w:i/>
        </w:rPr>
      </w:pPr>
      <w:r>
        <w:t xml:space="preserve">försäkrings- och återförsäkringsverksamhet. </w:t>
      </w:r>
    </w:p>
    <w:p w14:paraId="6692A963" w14:textId="77777777">
      <w:pPr>
        <w:pStyle w:val="P68B1DB1-BodyText11"/>
        <w:ind w:left="567"/>
        <w:rPr>
          <w:i/>
        </w:rPr>
      </w:pPr>
      <w:r>
        <w:t xml:space="preserve">— banktjänster, </w:t>
      </w:r>
    </w:p>
    <w:p w14:paraId="23791C4C" w14:textId="77777777">
      <w:pPr>
        <w:pStyle w:val="P68B1DB1-BodyText11"/>
        <w:ind w:left="567"/>
        <w:rPr>
          <w:i/>
        </w:rPr>
      </w:pPr>
      <w:r>
        <w:t xml:space="preserve">— transaktioner som rör pensionsfonder, </w:t>
      </w:r>
    </w:p>
    <w:p w14:paraId="783F6792" w14:textId="77777777">
      <w:pPr>
        <w:pStyle w:val="P68B1DB1-BodyText11"/>
        <w:ind w:left="567"/>
        <w:rPr>
          <w:i/>
        </w:rPr>
      </w:pPr>
      <w:r>
        <w:t xml:space="preserve">— tjänster i samband med handel med terminer eller optioner. </w:t>
      </w:r>
    </w:p>
    <w:p w14:paraId="2DCD1B55" w14:textId="77777777">
      <w:pPr>
        <w:pStyle w:val="BodyText"/>
        <w:ind w:left="567"/>
        <w:rPr>
          <w:i/>
        </w:rPr>
      </w:pPr>
    </w:p>
    <w:p w14:paraId="337555AF" w14:textId="77777777">
      <w:pPr>
        <w:pStyle w:val="P68B1DB1-BodyText11"/>
        <w:ind w:left="567"/>
        <w:rPr>
          <w:i/>
        </w:rPr>
      </w:pPr>
      <w:r>
        <w:t xml:space="preserve">Sådana tjänster omfattar särskilt följande: </w:t>
      </w:r>
    </w:p>
    <w:p w14:paraId="3764E7FA" w14:textId="7CA8CD82">
      <w:pPr>
        <w:pStyle w:val="P68B1DB1-BodyText11"/>
        <w:ind w:left="567"/>
        <w:rPr>
          <w:i/>
        </w:rPr>
      </w:pPr>
      <w:r>
        <w:t xml:space="preserve">a) Investeringstjänster som avses i bilagan till direktiv 2004/39/EG. tjänster utförda av företag för kollektiva investeringar, </w:t>
      </w:r>
    </w:p>
    <w:p w14:paraId="5E0AD7FB" w14:textId="67C20460">
      <w:pPr>
        <w:pStyle w:val="P68B1DB1-BodyText11"/>
        <w:ind w:left="567"/>
        <w:rPr>
          <w:i/>
        </w:rPr>
      </w:pPr>
      <w:r>
        <w:t xml:space="preserve">b) Tjänster som omfattas av verksamhet som omfattas av ömsesidigt erkännande enligt bilaga I till Europaparlamentets och rådets direktiv 2013/36/EU (1). </w:t>
      </w:r>
    </w:p>
    <w:p w14:paraId="48C2F22B" w14:textId="3B1B8A48">
      <w:pPr>
        <w:pStyle w:val="P68B1DB1-BodyText11"/>
        <w:ind w:left="567"/>
        <w:rPr>
          <w:i/>
        </w:rPr>
      </w:pPr>
      <w:r>
        <w:t xml:space="preserve">c) Verksamhet som omfattas av den försäkrings- och återförsäkringsverksamhet som avses i Europaparlamentets och rådets direktiv 2009/138/EG (2).</w:t>
      </w:r>
    </w:p>
    <w:p w14:paraId="29E9A8E3" w14:textId="77777777">
      <w:pPr>
        <w:pStyle w:val="BodyText"/>
        <w:ind w:left="720"/>
        <w:rPr>
          <w:i/>
        </w:rPr>
      </w:pPr>
    </w:p>
    <w:p w14:paraId="79D13F1F" w14:textId="142C9AC5">
      <w:pPr>
        <w:pStyle w:val="BodyText"/>
        <w:ind w:left="1080"/>
        <w:jc w:val="right"/>
      </w:pPr>
      <w:r>
        <w:t xml:space="preserve">(Bilaga II till direktiv (EU) 2015/1535)</w:t>
      </w:r>
    </w:p>
    <w:p w14:paraId="0C95D790" w14:textId="77777777">
      <w:pPr>
        <w:pStyle w:val="BodyText"/>
        <w:ind w:left="567"/>
        <w:rPr>
          <w:i/>
          <w:iCs/>
          <w:szCs w:val="24"/>
        </w:rPr>
      </w:pPr>
    </w:p>
    <w:p w14:paraId="7A47117F" w14:textId="7E196DE2">
      <w:pPr>
        <w:pStyle w:val="P68B1DB1-BodyText23"/>
        <w:ind w:left="567"/>
        <w:rPr>
          <w:iCs/>
        </w:rPr>
      </w:pPr>
      <w:r>
        <w:t xml:space="preserve">reglerad marknad: ett multilateralt system som drivs och/eller förvaltas av en marknadsplatsoperatör och som sammanför eller underlättar sammanförandet av flera köp- och säljintressen i finansiella instrument från tredje part – i systemet och i enlighet med dess icke skönsmässiga regler – på ett sådant sätt att det leder till ett avtal, avseende finansiella instrument som är upptagna till handel enligt dess regler och/eller system, och som är auktoriserat och fungerar regelbundet och i enlighet med avdelning III i detta direktiv. ”</w:t>
      </w:r>
    </w:p>
    <w:p w14:paraId="326B89D5" w14:textId="77777777">
      <w:pPr>
        <w:pStyle w:val="BodyText"/>
        <w:ind w:left="567"/>
        <w:rPr>
          <w:i/>
          <w:iCs/>
          <w:szCs w:val="24"/>
        </w:rPr>
      </w:pPr>
    </w:p>
    <w:p w14:paraId="2EE59DAD" w14:textId="7FE2F68F">
      <w:pPr>
        <w:pStyle w:val="P68B1DB1-BodyText24"/>
        <w:ind w:left="567"/>
        <w:jc w:val="right"/>
      </w:pPr>
      <w:r>
        <w:t xml:space="preserve">(Artikel 4.21 i direktiv 2014/65/EU, </w:t>
      </w:r>
    </w:p>
    <w:p w14:paraId="510D994F" w14:textId="6EE676DC">
      <w:pPr>
        <w:pStyle w:val="P68B1DB1-BodyText24"/>
        <w:ind w:left="567"/>
        <w:jc w:val="right"/>
      </w:pPr>
      <w:r>
        <w:t xml:space="preserve">omarbetning av direktiv 2004/39/EG) </w:t>
      </w:r>
    </w:p>
    <w:p w14:paraId="4A6FAABA" w14:textId="77777777">
      <w:pPr>
        <w:pStyle w:val="BodyText"/>
        <w:rPr>
          <w:i/>
          <w:iCs/>
          <w:sz w:val="20"/>
        </w:rPr>
      </w:pPr>
    </w:p>
    <w:p w14:paraId="0469372E" w14:textId="4281AF71">
      <w:pPr>
        <w:widowControl w:val="0"/>
        <w:autoSpaceDE w:val="0"/>
        <w:autoSpaceDN w:val="0"/>
        <w:spacing w:after="0" w:line="240" w:lineRule="auto"/>
        <w:jc w:val="both"/>
        <w:rPr>
          <w:rFonts w:ascii="Times New Roman" w:hAnsi="Times New Roman" w:cs="Times New Roman" w:eastAsia="Times New Roman"/>
          <w:i/>
          <w:iCs/>
          <w:sz w:val="20"/>
          <w:szCs w:val="16"/>
        </w:rPr>
      </w:pPr>
      <w:hyperlink r:id="rId71" w:history="1">
        <w:r>
          <w:rPr>
            <w:rStyle w:val="Hyperlink"/>
            <w:rFonts w:ascii="Times New Roman" w:hAnsi="Times New Roman" w:cs="Times New Roman" w:eastAsia="Times New Roman"/>
            <w:b/>
            <w:i/>
            <w:color w:val="0000FF"/>
            <w:szCs w:val="20"/>
          </w:rPr>
          <w:t xml:space="preserve">Dom av den 2 juni 2005</w:t>
        </w:r>
      </w:hyperlink>
      <w:r>
        <w:rPr>
          <w:rFonts w:ascii="Times New Roman" w:hAnsi="Times New Roman" w:cs="Times New Roman" w:eastAsia="Times New Roman"/>
          <w:b/>
          <w:i/>
          <w:szCs w:val="20"/>
        </w:rPr>
        <w:t xml:space="preserve">, C-89/04, Mediakabel BV, punkterna 22 och 23</w:t>
      </w:r>
    </w:p>
    <w:p w14:paraId="5376935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F56159" w14:textId="0FDB95BE">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En tv-sändningstjänst som är tillgänglig på begäran av abonnenten och som består av filmer vars frekvens och tidpunkt bestäms av leverantören utgör en tjänst som är nära beställ-tv och som omfattas av begreppet ”tv-sändningstjänster”. Detta begrepp definieras självständigt i direktiv 2010/13/EU (tidigare direktiv 89/552/EEG), oberoende av begreppet ”informationssamhällets tjänster”.</w:t>
      </w:r>
    </w:p>
    <w:p w14:paraId="558582FC"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B878292" w14:textId="6F6E7A42">
      <w:pPr>
        <w:pStyle w:val="P68B1DB1-Normal15"/>
        <w:widowControl w:val="0"/>
        <w:autoSpaceDE w:val="0"/>
        <w:autoSpaceDN w:val="0"/>
        <w:spacing w:after="0" w:line="240" w:lineRule="auto"/>
        <w:ind w:left="567"/>
        <w:jc w:val="both"/>
      </w:pPr>
      <w:r>
        <w:t xml:space="preserve">”22. [...] räckvidden av begreppet ”TV-sändning” kan säkerligen inte utläsas genom att begreppet ”informationssamhällets tjänster” utesluts från begreppet. I artikel 1.2 i direktiv 98/34 samt i bilagan till detta direktiv uppräknas tjänster som inte omfattas av begreppet informationssamhällets tjänster, och som inte utgör TV-sändningar för det. Detta gäller bland annat för radiosändningar. På samma sätt kan inte TV-sändningarna begränsas till ”[t] jänster som tillhandahålls genom översändning av uppgifter utan individuell begäran och som är avsedda för samtidigt mottagande av ett obegränsat antal mottagare” som avses i punkt 3 i bilaga V till direktiv 98/34. Om denna tolkning skulle godtas, skulle sådana TV-tjänster som är tillgängliga mot innehav av ett abonnemang och som sänds till ett begränsat antal mottagare inte omfattas av begreppet TV-sändningar trots att de omfattas av detta begrepp med stöd av de kriterier som fastställs i artikel 1 a i direktiv 89/552.</w:t>
      </w:r>
    </w:p>
    <w:p w14:paraId="08A8E406" w14:textId="77777777">
      <w:pPr>
        <w:pStyle w:val="P68B1DB1-Normal15"/>
        <w:widowControl w:val="0"/>
        <w:autoSpaceDE w:val="0"/>
        <w:autoSpaceDN w:val="0"/>
        <w:spacing w:after="0" w:line="240" w:lineRule="auto"/>
        <w:ind w:left="567"/>
        <w:jc w:val="both"/>
      </w:pPr>
    </w:p>
    <w:p w14:paraId="1DB468BF" w14:textId="6C9EEDEF">
      <w:pPr>
        <w:pStyle w:val="P68B1DB1-Normal15"/>
        <w:widowControl w:val="0"/>
        <w:autoSpaceDE w:val="0"/>
        <w:autoSpaceDN w:val="0"/>
        <w:spacing w:after="0" w:line="240" w:lineRule="auto"/>
        <w:ind w:left="567"/>
        <w:jc w:val="both"/>
        <w:rPr>
          <w:iCs/>
        </w:rPr>
      </w:pPr>
      <w:r>
        <w:t xml:space="preserve">23. När gemenskapslagstiftaren antog direktiven 98/34 och 98/48 avsåg den inte att ändra direktiv 89/552, som mindre än ett år tidigare redan hade ändrats genom direktiv 97/36. I skäl 20 i direktiv 98/48, genom vilket direktiv 98/34 ändrades, anges att direktiv 98/48 ”inte [ska] påverka tillämpningsområdet för... direktiv 89/552”.</w:t>
      </w:r>
    </w:p>
    <w:p w14:paraId="044761EE" w14:textId="77777777">
      <w:pPr>
        <w:widowControl w:val="0"/>
        <w:autoSpaceDE w:val="0"/>
        <w:autoSpaceDN w:val="0"/>
        <w:spacing w:after="0" w:line="240" w:lineRule="auto"/>
        <w:jc w:val="both"/>
        <w:outlineLvl w:val="1"/>
      </w:pPr>
    </w:p>
    <w:p w14:paraId="52CB59CA" w14:textId="489ADDC7">
      <w:pPr>
        <w:pStyle w:val="P68B1DB1-Normal13"/>
        <w:widowControl w:val="0"/>
        <w:autoSpaceDE w:val="0"/>
        <w:autoSpaceDN w:val="0"/>
        <w:spacing w:after="0" w:line="240" w:lineRule="auto"/>
        <w:jc w:val="both"/>
        <w:outlineLvl w:val="1"/>
      </w:pPr>
      <w:hyperlink r:id="rId72" w:history="1">
        <w:r>
          <w:rPr>
            <w:color w:val="0000FF"/>
            <w:u w:val="single"/>
          </w:rPr>
          <w:t xml:space="preserve">Dom av den 12 september 2019</w:t>
        </w:r>
      </w:hyperlink>
      <w:r>
        <w:t xml:space="preserve"> i mål C-299/17, VG Media, punkt 38.</w:t>
      </w:r>
      <w:bookmarkEnd w:id="120"/>
    </w:p>
    <w:p w14:paraId="5E406CB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8980D4F" w14:textId="59AFD09D">
      <w:pPr>
        <w:pStyle w:val="P68B1DB1-Normal14"/>
        <w:widowControl w:val="0"/>
        <w:autoSpaceDE w:val="0"/>
        <w:autoSpaceDN w:val="0"/>
        <w:spacing w:after="0" w:line="240" w:lineRule="auto"/>
        <w:jc w:val="both"/>
      </w:pPr>
      <w:r>
        <w:t xml:space="preserve">”Tekniska föreskrifter” på det immaterialrättsliga området är inte undantagna från direktivets tillämpningsområde, till skillnad från dem som avser telekommunikationer eller finansiella tjänster.</w:t>
      </w:r>
    </w:p>
    <w:p w14:paraId="2C438590"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A61B68C" w14:textId="2AD8E891">
      <w:pPr>
        <w:pStyle w:val="P68B1DB1-Normal15"/>
        <w:widowControl w:val="0"/>
        <w:autoSpaceDE w:val="0"/>
        <w:autoSpaceDN w:val="0"/>
        <w:spacing w:after="0" w:line="240" w:lineRule="auto"/>
        <w:ind w:left="567"/>
        <w:jc w:val="both"/>
        <w:rPr>
          <w:iCs/>
        </w:rPr>
      </w:pPr>
      <w:r>
        <w:t>”</w:t>
      </w:r>
      <w:r>
        <w:rPr>
          <w:rFonts w:ascii="Open Sans" w:hAnsi="Open Sans" w:cs="Open Sans" w:eastAsiaTheme="minorHAnsi"/>
          <w:i w:val="0"/>
          <w:color w:val="006699"/>
          <w:sz w:val="18"/>
          <w:szCs w:val="18"/>
        </w:rPr>
        <w:t xml:space="preserve"> </w:t>
      </w:r>
      <w:r>
        <w:t xml:space="preserve">38. [...] den omständigheten att 87 g § (4) UrhG ingår i den nationella lagstiftningen om upphovsrätt eller närstående rättigheter påverkar inte denna bedömning. Tekniska bestämmelser om immateriella rättigheter är inte uttryckligen undantagna från tillämpningsområdet för artikel 1.5 i direktiv 98/34, till skillnad från dem som omfattas av den europeiska lagstiftningen på området för telekommunikationstjänster eller finansiella tjänster. Det framgår dessutom av domen av den 8 november 2007, Schwibbert (C</w:t>
        <w:noBreakHyphen/>
        <w:t xml:space="preserve">20/05), att bestämmelser i nationell immaterialrätt kan utgöra en ’teknisk föreskrift’ som ska anmälas enligt artikel 8.1 i direktivet. ”</w:t>
      </w:r>
    </w:p>
    <w:p w14:paraId="0BCBB4FB" w14:textId="0520F280">
      <w:pPr>
        <w:pStyle w:val="P68B1DB1-Normal16"/>
        <w:spacing w:after="0" w:line="240" w:lineRule="auto"/>
        <w:rPr>
          <w:i/>
          <w:iCs/>
        </w:rPr>
      </w:pPr>
      <w:r>
        <w:br w:type="page"/>
      </w:r>
    </w:p>
    <w:p w14:paraId="2B0FDBC5" w14:textId="7963B447">
      <w:pPr>
        <w:pStyle w:val="P68B1DB1-Heading13"/>
        <w:numPr>
          <w:ilvl w:val="0"/>
          <w:numId w:val="34"/>
        </w:numPr>
        <w:spacing w:before="0" w:after="0"/>
        <w:jc w:val="center"/>
        <w:rPr>
          <w:color w:val="auto"/>
        </w:rPr>
      </w:pPr>
      <w:bookmarkStart w:id="121" w:name="_Ref194485776"/>
      <w:bookmarkStart w:id="122" w:name="_Toc203035673"/>
      <w:r>
        <w:t>Anmälningsskyldighet</w:t>
      </w:r>
      <w:bookmarkEnd w:id="121"/>
      <w:bookmarkEnd w:id="122"/>
    </w:p>
    <w:p w14:paraId="29E2BE4E" w14:textId="77777777">
      <w:pPr>
        <w:pStyle w:val="BodyText"/>
      </w:pPr>
    </w:p>
    <w:p w14:paraId="480A7F64" w14:textId="46AC3047">
      <w:pPr>
        <w:pStyle w:val="P68B1DB1-Heading24"/>
        <w:numPr>
          <w:ilvl w:val="0"/>
          <w:numId w:val="36"/>
        </w:numPr>
        <w:spacing w:before="0" w:after="0"/>
        <w:jc w:val="center"/>
        <w:rPr>
          <w:bCs/>
          <w:color w:val="auto"/>
        </w:rPr>
      </w:pPr>
      <w:bookmarkStart w:id="123" w:name="_Ref194942628"/>
      <w:bookmarkStart w:id="124" w:name="_Toc203035674"/>
      <w:bookmarkStart w:id="125" w:name="_Ref194484702"/>
      <w:r>
        <w:t xml:space="preserve">Anmälan vid Utkastningsfasen</w:t>
      </w:r>
      <w:bookmarkEnd w:id="123"/>
      <w:bookmarkEnd w:id="124"/>
    </w:p>
    <w:p w14:paraId="27EBED2C" w14:textId="3CCBF668">
      <w:pPr>
        <w:pStyle w:val="BodyText"/>
        <w:rPr>
          <w:b/>
          <w:bCs/>
        </w:rPr>
      </w:pPr>
    </w:p>
    <w:p w14:paraId="58135D0C" w14:textId="021350D1">
      <w:pPr>
        <w:pStyle w:val="P68B1DB1-BodyText11"/>
        <w:ind w:left="567"/>
        <w:rPr>
          <w:iCs/>
        </w:rPr>
      </w:pPr>
      <w:r>
        <w:t xml:space="preserve">”Om inte annat följer av artikel 7 ska medlemsstaterna omedelbart till kommissionen överlämna alla utkast till tekniska föreskrifter, utom när de endast införlivar den fullständiga texten till en internationell eller europeisk standard, i vilket fall information om den relevanta standarden ska vara tillräcklig. de ska också ge kommissionen en redogörelse för skälen till att det är nödvändigt att anta en sådan teknisk föreskrift, om dessa skäl inte redan har klargjorts i utkastet. ”</w:t>
      </w:r>
    </w:p>
    <w:p w14:paraId="79E57C28" w14:textId="77777777">
      <w:pPr>
        <w:pStyle w:val="BodyText"/>
        <w:ind w:left="567"/>
        <w:rPr>
          <w:i/>
          <w:iCs/>
        </w:rPr>
      </w:pPr>
    </w:p>
    <w:p w14:paraId="4348B9F9" w14:textId="1F348A6E">
      <w:pPr>
        <w:pStyle w:val="BodyText"/>
        <w:jc w:val="right"/>
      </w:pPr>
      <w:r>
        <w:t xml:space="preserve">(artikel 5.1 första meningen i direktiv (EU) 2015/1535)</w:t>
      </w:r>
    </w:p>
    <w:p w14:paraId="41A26F8C" w14:textId="77777777">
      <w:pPr>
        <w:pStyle w:val="BodyText"/>
        <w:rPr>
          <w:b/>
          <w:bCs/>
        </w:rPr>
      </w:pPr>
    </w:p>
    <w:p w14:paraId="39D0E534" w14:textId="627C2341">
      <w:pPr>
        <w:pStyle w:val="P68B1DB1-Normal13"/>
        <w:widowControl w:val="0"/>
        <w:autoSpaceDE w:val="0"/>
        <w:autoSpaceDN w:val="0"/>
        <w:spacing w:after="0" w:line="240" w:lineRule="auto"/>
        <w:jc w:val="both"/>
        <w:outlineLvl w:val="1"/>
      </w:pPr>
      <w:hyperlink r:id="rId73" w:history="1">
        <w:r>
          <w:rPr>
            <w:color w:val="0000FF"/>
            <w:u w:val="single"/>
          </w:rPr>
          <w:t xml:space="preserve">Domstolens dom av den 2 augusti 1993</w:t>
        </w:r>
      </w:hyperlink>
      <w:r>
        <w:t xml:space="preserve"> i mål C-139/92, kommissionen mot Italien, punkterna 8 och 9.</w:t>
      </w:r>
      <w:bookmarkEnd w:id="126"/>
    </w:p>
    <w:p w14:paraId="1DF5BE2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7852024" w14:textId="67891414">
      <w:pPr>
        <w:widowControl w:val="0"/>
        <w:tabs>
          <w:tab w:val="left" w:pos="413"/>
        </w:tabs>
        <w:autoSpaceDE w:val="0"/>
        <w:autoSpaceDN w:val="0"/>
        <w:spacing w:after="0" w:line="240" w:lineRule="auto"/>
        <w:jc w:val="both"/>
        <w:rPr>
          <w:rFonts w:ascii="Times New Roman" w:hAnsi="Times New Roman" w:cs="Times New Roman" w:eastAsia="Times New Roman"/>
          <w:szCs w:val="20"/>
        </w:rPr>
        <w:pStyle w:val="P68B1DB1-Normal14"/>
      </w:pPr>
      <w:r>
        <w:t xml:space="preserve">Italien har underlåtit att uppfylla sin skyldighet att anmäla utkast till tekniska föreskrifter genom att inte på det preliminära stadiet anmäla ett ministerdekret om definition och kontroll av maximal effekt samt om konstruktion och installation av motorer för fritidsbåtar.</w:t>
      </w:r>
    </w:p>
    <w:p w14:paraId="478B471D" w14:textId="77777777">
      <w:pPr>
        <w:widowControl w:val="0"/>
        <w:tabs>
          <w:tab w:val="left" w:pos="413"/>
        </w:tabs>
        <w:autoSpaceDE w:val="0"/>
        <w:autoSpaceDN w:val="0"/>
        <w:spacing w:after="0" w:line="240" w:lineRule="auto"/>
        <w:jc w:val="both"/>
        <w:rPr>
          <w:rFonts w:ascii="Times New Roman" w:hAnsi="Times New Roman" w:cs="Times New Roman" w:eastAsia="Times New Roman"/>
          <w:szCs w:val="20"/>
        </w:rPr>
      </w:pPr>
    </w:p>
    <w:p w14:paraId="622C52BD" w14:textId="5E5EDE3D">
      <w:pPr>
        <w:pStyle w:val="P68B1DB1-Normal15"/>
        <w:widowControl w:val="0"/>
        <w:tabs>
          <w:tab w:val="left" w:pos="413"/>
        </w:tabs>
        <w:autoSpaceDE w:val="0"/>
        <w:autoSpaceDN w:val="0"/>
        <w:spacing w:after="0" w:line="240" w:lineRule="auto"/>
        <w:ind w:left="567"/>
        <w:jc w:val="both"/>
      </w:pPr>
      <w:r>
        <w:t xml:space="preserve">”8. Den italienska regeringen har inte bestritt att den underlät att överlämna det aktuella ministerdekretet till kommissionen på förslagsstadiet. </w:t>
      </w:r>
    </w:p>
    <w:p w14:paraId="7A672690" w14:textId="77777777">
      <w:pPr>
        <w:pStyle w:val="P68B1DB1-Normal15"/>
        <w:widowControl w:val="0"/>
        <w:tabs>
          <w:tab w:val="left" w:pos="413"/>
        </w:tabs>
        <w:autoSpaceDE w:val="0"/>
        <w:autoSpaceDN w:val="0"/>
        <w:spacing w:after="0" w:line="240" w:lineRule="auto"/>
        <w:ind w:left="567"/>
        <w:jc w:val="both"/>
      </w:pPr>
    </w:p>
    <w:p w14:paraId="29BAA761" w14:textId="7880A2A6">
      <w:pPr>
        <w:pStyle w:val="P68B1DB1-Normal15"/>
        <w:widowControl w:val="0"/>
        <w:tabs>
          <w:tab w:val="left" w:pos="413"/>
        </w:tabs>
        <w:autoSpaceDE w:val="0"/>
        <w:autoSpaceDN w:val="0"/>
        <w:spacing w:after="0" w:line="240" w:lineRule="auto"/>
        <w:ind w:left="567"/>
        <w:jc w:val="both"/>
      </w:pPr>
      <w:r>
        <w:t xml:space="preserve">9. Eftersom det är utrett att artiklarna 8 och 9 i direktivet har åsidosatts, ska kommissionen fastställa att det föreligger ett fördragsbrott. ”</w:t>
      </w:r>
    </w:p>
    <w:p w14:paraId="78B40755" w14:textId="77777777">
      <w:pPr>
        <w:widowControl w:val="0"/>
        <w:tabs>
          <w:tab w:val="left" w:pos="413"/>
        </w:tabs>
        <w:autoSpaceDE w:val="0"/>
        <w:autoSpaceDN w:val="0"/>
        <w:spacing w:after="0" w:line="240" w:lineRule="auto"/>
        <w:ind w:left="567"/>
        <w:jc w:val="both"/>
        <w:rPr>
          <w:rFonts w:ascii="Times New Roman" w:hAnsi="Times New Roman" w:cs="Times New Roman" w:eastAsia="Times New Roman"/>
          <w:i/>
          <w:iCs/>
          <w:sz w:val="20"/>
          <w:szCs w:val="16"/>
        </w:rPr>
      </w:pPr>
    </w:p>
    <w:p w14:paraId="2D8A3294" w14:textId="363AC32B">
      <w:pPr>
        <w:pStyle w:val="P68B1DB1-Normal13"/>
        <w:widowControl w:val="0"/>
        <w:autoSpaceDE w:val="0"/>
        <w:autoSpaceDN w:val="0"/>
        <w:spacing w:after="0" w:line="240" w:lineRule="auto"/>
        <w:jc w:val="both"/>
        <w:outlineLvl w:val="1"/>
      </w:pPr>
      <w:hyperlink r:id="rId74" w:history="1">
        <w:r>
          <w:rPr>
            <w:color w:val="0000FF"/>
            <w:u w:val="single"/>
          </w:rPr>
          <w:t xml:space="preserve">Domstolens dom av den 14 juli 1994</w:t>
        </w:r>
      </w:hyperlink>
      <w:r>
        <w:t xml:space="preserve"> i mål C-61/93, kommissionen mot Nederländerna, punkterna 6 och 10.</w:t>
      </w:r>
      <w:bookmarkEnd w:id="127"/>
    </w:p>
    <w:p w14:paraId="29C324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E58EFBE" w14:textId="7468B0CD">
      <w:pPr>
        <w:pStyle w:val="P68B1DB1-Normal14"/>
        <w:widowControl w:val="0"/>
        <w:tabs>
          <w:tab w:val="left" w:pos="405"/>
        </w:tabs>
        <w:autoSpaceDE w:val="0"/>
        <w:autoSpaceDN w:val="0"/>
        <w:spacing w:after="0" w:line="240" w:lineRule="auto"/>
        <w:jc w:val="both"/>
      </w:pPr>
      <w:r>
        <w:t xml:space="preserve">Nederländerna har underlåtit att uppfylla sin skyldighet att anmäla utkast till tekniska föreskrifter genom att anta dekret om kraven på motståndskraft för läskedrycksflaskor och om bekämpningsmedlens sammansättning, klassificering, förpackning och märkning, utan att underrätta kommissionen om dessa i utkastet.</w:t>
      </w:r>
    </w:p>
    <w:p w14:paraId="74F221D0" w14:textId="77777777">
      <w:pPr>
        <w:widowControl w:val="0"/>
        <w:tabs>
          <w:tab w:val="left" w:pos="405"/>
        </w:tabs>
        <w:autoSpaceDE w:val="0"/>
        <w:autoSpaceDN w:val="0"/>
        <w:spacing w:after="0" w:line="240" w:lineRule="auto"/>
        <w:jc w:val="both"/>
        <w:rPr>
          <w:rFonts w:ascii="Times New Roman" w:hAnsi="Times New Roman" w:cs="Times New Roman" w:eastAsia="Times New Roman"/>
          <w:szCs w:val="20"/>
        </w:rPr>
      </w:pPr>
    </w:p>
    <w:p w14:paraId="080827F2" w14:textId="79ECA7FF">
      <w:pPr>
        <w:pStyle w:val="P68B1DB1-Normal15"/>
        <w:widowControl w:val="0"/>
        <w:tabs>
          <w:tab w:val="left" w:pos="405"/>
        </w:tabs>
        <w:autoSpaceDE w:val="0"/>
        <w:autoSpaceDN w:val="0"/>
        <w:spacing w:after="0" w:line="240" w:lineRule="auto"/>
        <w:ind w:left="567"/>
        <w:jc w:val="both"/>
        <w:rPr>
          <w:iCs/>
        </w:rPr>
      </w:pPr>
      <w:r>
        <w:t xml:space="preserve">”6. I en skrivelse av den 17 november 1989 medgav de nederländska myndigheterna att dekretet av den 16 januari 1989 innehöll tekniska standarder som omfattades av direktiv 83/189 och att de inte hade underrättat kommissionen om förslaget till ändring. De påpekade dock att dekretet hade översänts till kommissionen, som bifogades en skrivelse av den 22 maj 1989 med uppgifter om privatiseringen av myndigheterna för viktning och mått. ”</w:t>
      </w:r>
    </w:p>
    <w:p w14:paraId="3BF11A4C" w14:textId="77777777">
      <w:pPr>
        <w:widowControl w:val="0"/>
        <w:tabs>
          <w:tab w:val="left" w:pos="405"/>
        </w:tabs>
        <w:autoSpaceDE w:val="0"/>
        <w:autoSpaceDN w:val="0"/>
        <w:spacing w:after="0" w:line="240" w:lineRule="auto"/>
        <w:ind w:left="567"/>
        <w:jc w:val="both"/>
        <w:rPr>
          <w:rFonts w:ascii="Times New Roman" w:hAnsi="Times New Roman" w:cs="Times New Roman" w:eastAsia="Times New Roman"/>
          <w:i/>
          <w:iCs/>
          <w:sz w:val="20"/>
          <w:szCs w:val="16"/>
        </w:rPr>
      </w:pPr>
    </w:p>
    <w:p w14:paraId="2B8AB5F8" w14:textId="06F5DED9">
      <w:pPr>
        <w:pStyle w:val="P68B1DB1-Normal15"/>
        <w:widowControl w:val="0"/>
        <w:tabs>
          <w:tab w:val="left" w:pos="405"/>
        </w:tabs>
        <w:autoSpaceDE w:val="0"/>
        <w:autoSpaceDN w:val="0"/>
        <w:spacing w:after="0" w:line="240" w:lineRule="auto"/>
        <w:ind w:left="567"/>
        <w:jc w:val="both"/>
        <w:rPr>
          <w:iCs/>
        </w:rPr>
      </w:pPr>
      <w:r>
        <w:t xml:space="preserve">”10. Det är ostridigt att utkasten till dekret av den 16 januari 1989, den 24 augusti 1988 och den 21 oktober 1988, i enlighet med artikel 8 i direktivet, omedelbart borde ha anmälts till kommissionen på förslagsstadiet och att en sådan anmälan inte hade gjorts. ”</w:t>
      </w:r>
    </w:p>
    <w:p w14:paraId="0373B53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pPr>
        <w:pStyle w:val="P68B1DB1-Normal13"/>
        <w:widowControl w:val="0"/>
        <w:autoSpaceDE w:val="0"/>
        <w:autoSpaceDN w:val="0"/>
        <w:spacing w:after="0" w:line="240" w:lineRule="auto"/>
        <w:jc w:val="both"/>
        <w:outlineLvl w:val="1"/>
      </w:pPr>
      <w:hyperlink r:id="rId75" w:history="1">
        <w:r>
          <w:rPr>
            <w:color w:val="0000FF"/>
            <w:u w:val="single"/>
          </w:rPr>
          <w:t xml:space="preserve">Domstolens dom av den 14 juli 1994</w:t>
        </w:r>
      </w:hyperlink>
      <w:r>
        <w:t xml:space="preserve"> i mål C-52/93, kommissionen mot Nederländerna, punkterna 6 och 10.</w:t>
      </w:r>
      <w:bookmarkEnd w:id="128"/>
    </w:p>
    <w:p w14:paraId="27ACC27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9AE01B0" w14:textId="3AD35C06">
      <w:pPr>
        <w:pStyle w:val="P68B1DB1-Normal14"/>
        <w:widowControl w:val="0"/>
        <w:tabs>
          <w:tab w:val="left" w:pos="400"/>
        </w:tabs>
        <w:autoSpaceDE w:val="0"/>
        <w:autoSpaceDN w:val="0"/>
        <w:spacing w:after="0" w:line="240" w:lineRule="auto"/>
        <w:jc w:val="both"/>
      </w:pPr>
      <w:r>
        <w:t xml:space="preserve">Nederländerna har underlåtit att uppfylla sin skyldighet att anmäla förslag till tekniska föreskrifter genom att ändra förordningen om kvalitetsnormer för blomsterlökar utan att underrätta kommissionen om detta på förslagsstadiet.</w:t>
      </w:r>
    </w:p>
    <w:p w14:paraId="13839355" w14:textId="77777777">
      <w:pPr>
        <w:widowControl w:val="0"/>
        <w:tabs>
          <w:tab w:val="left" w:pos="400"/>
        </w:tabs>
        <w:autoSpaceDE w:val="0"/>
        <w:autoSpaceDN w:val="0"/>
        <w:spacing w:after="0" w:line="240" w:lineRule="auto"/>
        <w:jc w:val="both"/>
        <w:rPr>
          <w:rFonts w:ascii="Times New Roman" w:hAnsi="Times New Roman" w:cs="Times New Roman" w:eastAsia="Times New Roman"/>
          <w:szCs w:val="20"/>
        </w:rPr>
      </w:pPr>
    </w:p>
    <w:p w14:paraId="39B7E7EA" w14:textId="2172CC07">
      <w:pPr>
        <w:pStyle w:val="P68B1DB1-Normal15"/>
        <w:widowControl w:val="0"/>
        <w:tabs>
          <w:tab w:val="left" w:pos="400"/>
        </w:tabs>
        <w:autoSpaceDE w:val="0"/>
        <w:autoSpaceDN w:val="0"/>
        <w:spacing w:after="0" w:line="240" w:lineRule="auto"/>
        <w:ind w:left="567"/>
        <w:jc w:val="both"/>
        <w:rPr>
          <w:iCs/>
        </w:rPr>
      </w:pPr>
      <w:r>
        <w:t xml:space="preserve">”6. Genom skrivelse av den 4 november 1991 medgav de nederländska myndigheterna att förordningen i fråga var en teknisk föreskrift i den mening som avses i direktiv 83/189 och att de inte hade underrättat kommissionen om förslaget till ändring. ”</w:t>
      </w:r>
    </w:p>
    <w:p w14:paraId="5F48D326" w14:textId="77777777">
      <w:pPr>
        <w:widowControl w:val="0"/>
        <w:tabs>
          <w:tab w:val="left" w:pos="400"/>
        </w:tabs>
        <w:autoSpaceDE w:val="0"/>
        <w:autoSpaceDN w:val="0"/>
        <w:spacing w:after="0" w:line="240" w:lineRule="auto"/>
        <w:ind w:left="567"/>
        <w:jc w:val="both"/>
        <w:rPr>
          <w:rFonts w:ascii="Times New Roman" w:hAnsi="Times New Roman" w:cs="Times New Roman" w:eastAsia="Times New Roman"/>
          <w:i/>
          <w:iCs/>
          <w:sz w:val="20"/>
          <w:szCs w:val="16"/>
        </w:rPr>
      </w:pPr>
    </w:p>
    <w:p w14:paraId="07D93C2A" w14:textId="4C09EDED">
      <w:pPr>
        <w:pStyle w:val="P68B1DB1-Normal15"/>
        <w:widowControl w:val="0"/>
        <w:tabs>
          <w:tab w:val="left" w:pos="400"/>
        </w:tabs>
        <w:autoSpaceDE w:val="0"/>
        <w:autoSpaceDN w:val="0"/>
        <w:spacing w:after="0" w:line="240" w:lineRule="auto"/>
        <w:ind w:left="567"/>
        <w:jc w:val="both"/>
        <w:rPr>
          <w:iCs/>
        </w:rPr>
      </w:pPr>
      <w:r>
        <w:t xml:space="preserve">”10. Det är ostridigt att utkastet till ändring XIII av PVS-förordningen enligt artikel 8 i direktivet omedelbart borde ha anmälts till kommissionen och att en sådan anmälan inte hade gjorts. ”</w:t>
      </w:r>
    </w:p>
    <w:p w14:paraId="33E5C53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pPr>
        <w:pStyle w:val="P68B1DB1-Normal13"/>
        <w:widowControl w:val="0"/>
        <w:autoSpaceDE w:val="0"/>
        <w:autoSpaceDN w:val="0"/>
        <w:spacing w:after="0" w:line="240" w:lineRule="auto"/>
        <w:jc w:val="both"/>
        <w:outlineLvl w:val="1"/>
      </w:pPr>
      <w:hyperlink r:id="rId76" w:history="1">
        <w:r>
          <w:rPr>
            <w:color w:val="0000FF"/>
            <w:u w:val="single"/>
          </w:rPr>
          <w:t xml:space="preserve">Domstolens dom av den 8 september 2005</w:t>
        </w:r>
      </w:hyperlink>
      <w:r>
        <w:t xml:space="preserve"> i mål C-500/03, kommissionen mot Portugal, punkterna 39–41.</w:t>
      </w:r>
      <w:bookmarkEnd w:id="129"/>
    </w:p>
    <w:p w14:paraId="49D6EA9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4F1E244" w14:textId="4211A048">
      <w:pPr>
        <w:pStyle w:val="P68B1DB1-Normal14"/>
        <w:widowControl w:val="0"/>
        <w:tabs>
          <w:tab w:val="left" w:pos="467"/>
        </w:tabs>
        <w:autoSpaceDE w:val="0"/>
        <w:autoSpaceDN w:val="0"/>
        <w:spacing w:after="0" w:line="240" w:lineRule="auto"/>
        <w:jc w:val="both"/>
      </w:pPr>
      <w:r>
        <w:t xml:space="preserve">Enligt direktivet ska medlemsstaterna omedelbart anmäla alla förslag till tekniska föreskrifter till kommissionen. Genom att anta en teknisk föreskrift utan att anmäla den till kommissionen har Portugal underlåtit att uppfylla sin skyldighet att anmäla utkast till tekniska föreskrifter.</w:t>
      </w:r>
    </w:p>
    <w:p w14:paraId="5E8234E0"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3B2937C4" w14:textId="73811036">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(Eftersom domen endast finns tillgänglig på franska och portugisiska är följande text en översättning.)</w:t>
      </w:r>
    </w:p>
    <w:p w14:paraId="534A01FA"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44335DFA" w14:textId="33F97E95">
      <w:pPr>
        <w:pStyle w:val="P68B1DB1-Normal15"/>
        <w:widowControl w:val="0"/>
        <w:tabs>
          <w:tab w:val="left" w:pos="467"/>
        </w:tabs>
        <w:autoSpaceDE w:val="0"/>
        <w:autoSpaceDN w:val="0"/>
        <w:spacing w:after="0" w:line="240" w:lineRule="auto"/>
        <w:ind w:left="567"/>
        <w:jc w:val="both"/>
        <w:rPr>
          <w:iCs/>
        </w:rPr>
      </w:pPr>
      <w:r>
        <w:t xml:space="preserve">”39. Eftersom förevarande talan om fördragsbrott är begränsad till en talan om fördragsbrott, är det tillräckligt att erinra om att domstolen redan har slagit fast att medlemsstaterna enligt artikel 8.1 i direktiv 98/34 är skyldiga att omedelbart underrätta kommissionen om alla förslag till tekniska föreskrifter (se, för ett liknande resonemang, dom av den 2 augusti 1993 i mål 139/92, kommissionen mot Italien, REG 4707, s. I-3,</w:t>
        <w:noBreakHyphen/>
        <w:t xml:space="preserve">punkt 31, och dom av den 11 januari 1996 i mål 273/94, kommissionen mot Nederländerna, REG 15,</w:t>
        <w:noBreakHyphen/>
        <w:t xml:space="preserve">s. I-, punkt, och dom av den i mål, kommissionen mot Nederländerna, REG,</w:t>
        <w:noBreakHyphen/>
        <w:t xml:space="preserve">s. I-, punkt).</w:t>
      </w:r>
    </w:p>
    <w:p w14:paraId="01A9092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4CD1D685" w14:textId="0579D9AC">
      <w:pPr>
        <w:pStyle w:val="P68B1DB1-Normal15"/>
        <w:widowControl w:val="0"/>
        <w:tabs>
          <w:tab w:val="left" w:pos="467"/>
        </w:tabs>
        <w:autoSpaceDE w:val="0"/>
        <w:autoSpaceDN w:val="0"/>
        <w:spacing w:after="0" w:line="240" w:lineRule="auto"/>
        <w:ind w:left="567"/>
        <w:jc w:val="both"/>
        <w:rPr>
          <w:iCs/>
        </w:rPr>
      </w:pPr>
      <w:r>
        <w:t xml:space="preserve">40. Eftersom de relevanta bestämmelserna i dekret nr 783/98 utgör tekniska föreskrifter i den mening som avses i direktiv 98/34, såsom anges i punkt 31 i förevarande dom, var Republiken Portugal skyldig att anmäla dem i form av ett utkast i enlighet med artikel 8.1 i direktiv 98/34 (se, för ett liknande resonemang, beträffande bestämmelser liknande dem i direktiv 98/34, dom av den 7 maj 1998 i mål 145/97, kommissionen mot Belgien</w:t>
        <w:noBreakHyphen/>
        <w:t xml:space="preserve">, REG 2643,</w:t>
        <w:noBreakHyphen/>
        <w:t xml:space="preserve">s. I-13, punkt 43, och dom av den 21 april 2005 i mål 267/03, Lindberg</w:t>
        <w:noBreakHyphen/>
        <w:t xml:space="preserve">, REG, s. I-, punkt).</w:t>
      </w:r>
    </w:p>
    <w:p w14:paraId="291F779F"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06E06802" w14:textId="376F605B">
      <w:pPr>
        <w:pStyle w:val="P68B1DB1-Normal15"/>
        <w:widowControl w:val="0"/>
        <w:tabs>
          <w:tab w:val="left" w:pos="467"/>
        </w:tabs>
        <w:autoSpaceDE w:val="0"/>
        <w:autoSpaceDN w:val="0"/>
        <w:spacing w:after="0" w:line="240" w:lineRule="auto"/>
        <w:ind w:left="567"/>
        <w:jc w:val="both"/>
        <w:rPr>
          <w:iCs/>
        </w:rPr>
      </w:pPr>
      <w:r>
        <w:t xml:space="preserve">41. Domstolen konstaterar följaktligen att Republiken Portugal har underlåtit att uppfylla sina skyldigheter enligt artikel 8 i direktiv 783/98 genom att anta förordning nr 98/34 utan att underrätta kommissionen om detta på förslagsstadiet. ”</w:t>
      </w:r>
    </w:p>
    <w:p w14:paraId="46D65C64" w14:textId="77777777">
      <w:pPr>
        <w:widowControl w:val="0"/>
        <w:tabs>
          <w:tab w:val="left" w:pos="467"/>
        </w:tabs>
        <w:autoSpaceDE w:val="0"/>
        <w:autoSpaceDN w:val="0"/>
        <w:spacing w:after="0" w:line="240" w:lineRule="auto"/>
        <w:jc w:val="both"/>
        <w:rPr>
          <w:rFonts w:ascii="Times New Roman" w:hAnsi="Times New Roman" w:cs="Times New Roman" w:eastAsia="Times New Roman"/>
          <w:i/>
          <w:iCs/>
          <w:sz w:val="20"/>
          <w:szCs w:val="16"/>
        </w:rPr>
      </w:pPr>
    </w:p>
    <w:p w14:paraId="0E3DB178" w14:textId="7EEA9154">
      <w:pPr>
        <w:pStyle w:val="P68B1DB1-Normal13"/>
        <w:widowControl w:val="0"/>
        <w:autoSpaceDE w:val="0"/>
        <w:autoSpaceDN w:val="0"/>
        <w:spacing w:after="0" w:line="240" w:lineRule="auto"/>
        <w:jc w:val="both"/>
        <w:outlineLvl w:val="1"/>
      </w:pPr>
      <w:hyperlink r:id="rId77" w:history="1">
        <w:r>
          <w:rPr>
            <w:rStyle w:val="Hyperlink"/>
            <w:color w:val="0000FF"/>
          </w:rPr>
          <w:t xml:space="preserve">Domstolens dom av den 26 oktober 2006</w:t>
        </w:r>
      </w:hyperlink>
      <w:r>
        <w:t xml:space="preserve"> i mål C-65/05, kommissionen mot Grekland, punkterna 60–62.</w:t>
      </w:r>
      <w:bookmarkEnd w:id="130"/>
    </w:p>
    <w:p w14:paraId="6FCE0CC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ECD135F" w14:textId="0E173B3B">
      <w:pPr>
        <w:pStyle w:val="P68B1DB1-Normal14"/>
        <w:widowControl w:val="0"/>
        <w:tabs>
          <w:tab w:val="left" w:pos="467"/>
        </w:tabs>
        <w:autoSpaceDE w:val="0"/>
        <w:autoSpaceDN w:val="0"/>
        <w:spacing w:after="0" w:line="240" w:lineRule="auto"/>
        <w:jc w:val="both"/>
      </w:pPr>
      <w:r>
        <w:t xml:space="preserve">Enligt direktivet ska medlemsstaterna omedelbart anmäla alla förslag till tekniska föreskrifter till kommissionen. Genom att inte göra en sådan anmälan före antagandet av en teknisk föreskrift har Grekland underlåtit att uppfylla sina skyldigheter enligt detta direktiv.</w:t>
      </w:r>
    </w:p>
    <w:p w14:paraId="2C6CFEB3"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282FC740" w14:textId="4215BA66">
      <w:pPr>
        <w:pStyle w:val="P68B1DB1-BodyText25"/>
        <w:ind w:left="510"/>
      </w:pPr>
      <w:r>
        <w:t xml:space="preserve">”60. [...] det finns inget i förordning nr 1367/2006 som tyder på att begreppet ”utsläpp i miljön” i den mening som avses i artikel 6.1 första meningen i förordningen ska begränsas till utsläpp från vissa industrianläggningar, såsom fabriker och kraftverk.</w:t>
      </w:r>
    </w:p>
    <w:p w14:paraId="4BFB9A72" w14:textId="77777777">
      <w:pPr>
        <w:pStyle w:val="P68B1DB1-BodyText25"/>
        <w:ind w:left="510"/>
      </w:pPr>
    </w:p>
    <w:p w14:paraId="0E60EA19" w14:textId="5C6F09B6">
      <w:pPr>
        <w:pStyle w:val="P68B1DB1-BodyText25"/>
        <w:ind w:left="510"/>
      </w:pPr>
      <w:r>
        <w:t xml:space="preserve">61. Det går inte heller att utläsa någon sådan begränsning av Århuskonventionen som ska beaktas vid tolkningen av förordning nr 1367/2006 då nämnda förordning – såsom föreskrivs i artikel 1 – syftar till att bidra till fullgörandet av de skyldigheter som följer av konventionen genom att fastställa regler för tillämpningen av konventionens bestämmelser på unionens institutioner och organ.</w:t>
      </w:r>
    </w:p>
    <w:p w14:paraId="37017D07" w14:textId="77777777">
      <w:pPr>
        <w:pStyle w:val="P68B1DB1-BodyText25"/>
        <w:ind w:left="510"/>
      </w:pPr>
    </w:p>
    <w:p w14:paraId="36CD38D8" w14:textId="043FC15A">
      <w:pPr>
        <w:pStyle w:val="P68B1DB1-BodyText25"/>
        <w:ind w:left="510"/>
        <w:rPr>
          <w:iCs/>
        </w:rPr>
      </w:pPr>
      <w:r>
        <w:t xml:space="preserve">62. Såsom domstolen betonat i punkt 72 i den dom som meddelas i dag i målet Bayer CropScience et Stichting De Bijenstichting (C-442/14) skulle en sådan begränsning tvärtom strida mot själva ordalydelsen i artikel 4.4 första stycket d i Århuskonventionen. Enligt denna bestämmelse ska nämligen information om utsläpp som har betydelse i miljöskyddshänseende lämnas ut. Information om utsläpp från andra källor än industrianläggningar, t.ex. sådana som härrör från användning av växtskyddsmedel på växter eller mark, är lika relevant för miljöskydd som information om utsläpp av industriellt ursprung. ”</w:t>
      </w:r>
    </w:p>
    <w:p w14:paraId="5A47A683" w14:textId="63BA7C02">
      <w:pPr>
        <w:spacing w:after="0" w:line="278" w:lineRule="auto"/>
        <w:rPr>
          <w:rFonts w:ascii="Times New Roman" w:hAnsi="Times New Roman" w:cs="Times New Roman" w:eastAsia="Times New Roman"/>
          <w:b/>
          <w:bCs/>
          <w:sz w:val="24"/>
          <w:szCs w:val="20"/>
        </w:rPr>
      </w:pPr>
      <w:r>
        <w:br w:type="page"/>
      </w:r>
    </w:p>
    <w:p w14:paraId="04343D49" w14:textId="77777777">
      <w:pPr>
        <w:pStyle w:val="BodyText"/>
        <w:rPr>
          <w:b/>
          <w:bCs/>
        </w:rPr>
      </w:pPr>
    </w:p>
    <w:p w14:paraId="7E3DD826" w14:textId="7480DFAD">
      <w:pPr>
        <w:pStyle w:val="P68B1DB1-Heading24"/>
        <w:numPr>
          <w:ilvl w:val="0"/>
          <w:numId w:val="36"/>
        </w:numPr>
        <w:spacing w:before="0" w:after="0"/>
        <w:jc w:val="center"/>
        <w:rPr>
          <w:bCs/>
          <w:color w:val="auto"/>
        </w:rPr>
      </w:pPr>
      <w:bookmarkStart w:id="131" w:name="_Ref195518088"/>
      <w:bookmarkStart w:id="132" w:name="_Toc203035675"/>
      <w:bookmarkEnd w:id="125"/>
      <w:r>
        <w:t xml:space="preserve">Anmälningar av nya tekniska föreskrifter</w:t>
      </w:r>
      <w:bookmarkEnd w:id="131"/>
      <w:bookmarkEnd w:id="132"/>
    </w:p>
    <w:p w14:paraId="411799D7"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6C5E8F90" w14:textId="38D84DF9">
      <w:pPr>
        <w:pStyle w:val="P68B1DB1-Normal13"/>
        <w:widowControl w:val="0"/>
        <w:autoSpaceDE w:val="0"/>
        <w:autoSpaceDN w:val="0"/>
        <w:spacing w:after="0" w:line="240" w:lineRule="auto"/>
        <w:jc w:val="both"/>
        <w:outlineLvl w:val="1"/>
      </w:pPr>
      <w:hyperlink r:id="rId78" w:history="1">
        <w:r>
          <w:rPr>
            <w:color w:val="0000FF"/>
            <w:u w:val="single"/>
          </w:rPr>
          <w:t xml:space="preserve">Domstolens dom av den 1 juni 1994</w:t>
        </w:r>
      </w:hyperlink>
      <w:r>
        <w:t xml:space="preserve"> i mål C-317/92, kommissionen mot Tyskland, punkterna 25 och 26.</w:t>
      </w:r>
      <w:bookmarkEnd w:id="133"/>
    </w:p>
    <w:p w14:paraId="02B677B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1B1FEA" w14:textId="0EA3039C">
      <w:pPr>
        <w:pStyle w:val="P68B1DB1-Normal14"/>
        <w:widowControl w:val="0"/>
        <w:autoSpaceDE w:val="0"/>
        <w:autoSpaceDN w:val="0"/>
        <w:spacing w:after="0" w:line="240" w:lineRule="auto"/>
        <w:jc w:val="both"/>
      </w:pPr>
      <w:r>
        <w:t xml:space="preserve">Utvidgningen av en befintlig ”teknisk föreskrift” till att omfatta nya produkter omfattas av anmälningsskyldigheten, även om den ursprungliga tekniska föreskrift vars tillämpningsområde utvidgas redan har anmälts till kommissionen.</w:t>
      </w:r>
    </w:p>
    <w:p w14:paraId="04A42097" w14:textId="77777777">
      <w:pPr>
        <w:widowControl w:val="0"/>
        <w:autoSpaceDE w:val="0"/>
        <w:autoSpaceDN w:val="0"/>
        <w:spacing w:after="0" w:line="240" w:lineRule="auto"/>
        <w:jc w:val="both"/>
        <w:rPr>
          <w:rFonts w:ascii="Times New Roman" w:hAnsi="Times New Roman" w:cs="Times New Roman" w:eastAsia="Times New Roman"/>
          <w:szCs w:val="20"/>
        </w:rPr>
      </w:pPr>
    </w:p>
    <w:p w14:paraId="357AEE3D" w14:textId="1CE95929">
      <w:pPr>
        <w:pStyle w:val="P68B1DB1-Normal15"/>
        <w:widowControl w:val="0"/>
        <w:autoSpaceDE w:val="0"/>
        <w:autoSpaceDN w:val="0"/>
        <w:spacing w:after="0" w:line="240" w:lineRule="auto"/>
        <w:ind w:left="567"/>
        <w:jc w:val="both"/>
      </w:pPr>
      <w:r>
        <w:t xml:space="preserve">”25. Denna argumentation kan inte bifallas. Den tyska förordningen i fråga utgör en ny teknisk specifikation i den mening som avses i ovannämnda artikel 1, eftersom sterila medicinska hjälpmedel som inte kan återanvändas hädanefter endast får saluföras eller användas i Tyskland om vissa skyldigheter uppfylls, vilka tidigare var begränsade till märkning av läkemedel. Tillämpningen på vissa produkter av en bestämmelse som tidigare endast berörde andra produkter utgör, i förhållande till den förstnämnda, en ny förordning och ska därför anmälas i enlighet med direktivet.</w:t>
      </w:r>
    </w:p>
    <w:p w14:paraId="6F610070" w14:textId="77777777">
      <w:pPr>
        <w:pStyle w:val="P68B1DB1-Normal15"/>
        <w:widowControl w:val="0"/>
        <w:autoSpaceDE w:val="0"/>
        <w:autoSpaceDN w:val="0"/>
        <w:spacing w:after="0" w:line="240" w:lineRule="auto"/>
        <w:ind w:left="567"/>
        <w:jc w:val="both"/>
      </w:pPr>
    </w:p>
    <w:p w14:paraId="1DBC3163" w14:textId="3F0E4DF7">
      <w:pPr>
        <w:pStyle w:val="P68B1DB1-Normal15"/>
        <w:widowControl w:val="0"/>
        <w:autoSpaceDE w:val="0"/>
        <w:autoSpaceDN w:val="0"/>
        <w:spacing w:after="0" w:line="240" w:lineRule="auto"/>
        <w:ind w:left="567"/>
        <w:jc w:val="both"/>
      </w:pPr>
      <w:r>
        <w:t xml:space="preserve">26. Denna slutsats påverkas inte av att utvidgningen av regelns tillämpningsområde, såsom den tyska regeringen har gjort gällande, grundar sig på en bemyndigandebestämmelse som tidigare har meddelats kommissionen. Denna bemyndigandeåtgärd, som har vidtagits som sådan, kräver inte att den anmäls med stöd av ovannämnda artikel 8, eftersom den inte utgör en ny specifikation. Situationen är annorlunda när det gäller genomförandet av denna åtgärd, som utgör en ny specifikation som ska anmälas. ”</w:t>
      </w:r>
    </w:p>
    <w:p w14:paraId="061E3A55"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4757D6C8" w14:textId="4D29C152">
      <w:pPr>
        <w:pStyle w:val="BodyText"/>
        <w:jc w:val="left"/>
        <w:rPr>
          <w:b/>
          <w:bCs/>
          <w:i/>
          <w:iCs/>
          <w:sz w:val="22"/>
          <w:szCs w:val="22"/>
        </w:rPr>
      </w:pPr>
      <w:hyperlink r:id="rId79" w:history="1">
        <w:r>
          <w:rPr>
            <w:rStyle w:val="Hyperlink"/>
            <w:b/>
            <w:i/>
            <w:color w:val="0000FF"/>
            <w:sz w:val="22"/>
            <w:szCs w:val="22"/>
          </w:rPr>
          <w:t xml:space="preserve">Dom av den 3 juni 1999</w:t>
        </w:r>
      </w:hyperlink>
      <w:r>
        <w:rPr>
          <w:b/>
          <w:i/>
          <w:sz w:val="22"/>
          <w:szCs w:val="22"/>
        </w:rPr>
        <w:t xml:space="preserve"> i mål C-33/189, Colim NV, punkt 22.</w:t>
      </w:r>
    </w:p>
    <w:p w14:paraId="04F11CCA" w14:textId="77777777">
      <w:pPr>
        <w:pStyle w:val="BodyText"/>
        <w:jc w:val="left"/>
      </w:pPr>
    </w:p>
    <w:p w14:paraId="540E63FC" w14:textId="5143314B">
      <w:pPr>
        <w:pStyle w:val="P68B1DB1-Normal14"/>
        <w:widowControl w:val="0"/>
        <w:tabs>
          <w:tab w:val="left" w:pos="396"/>
          <w:tab w:val="left" w:pos="425"/>
        </w:tabs>
        <w:autoSpaceDE w:val="0"/>
        <w:autoSpaceDN w:val="0"/>
        <w:spacing w:after="0" w:line="240" w:lineRule="auto"/>
        <w:jc w:val="both"/>
      </w:pPr>
      <w:r>
        <w:t xml:space="preserve">En nationell åtgärd som återger eller ersätter befintliga ”tekniska föreskrifter” som redan har anmälts till kommissionen, utan att lägga till nya specifikationer, utgör inte ett utkast till ”teknisk föreskrift”.</w:t>
      </w:r>
    </w:p>
    <w:p w14:paraId="471E900A"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F465EBB" w14:textId="22D1CEEE">
      <w:pPr>
        <w:pStyle w:val="P68B1DB1-BodyText25"/>
        <w:ind w:left="567"/>
      </w:pPr>
      <w:r>
        <w:t xml:space="preserve">”22. [...] syftet med direktiv 83/189 är att genom förebyggande kontroll skydda den fria rörligheten för varor, vilken utgör en av gemenskapens grundvalar (dom av den 1997 november 1753 i mål C-13/96, Bic Benelux, REG 19, s. I-, punkt). Kontrollen syftar till att avlägsna eller begränsa de hinder för den fria rörligheten för varor som tekniska föreskrifter som medlemsstaterna har för avsikt att anta skulle kunna medföra. En nationell åtgärd som, utan att lägga till nya eller kompletterande specifikationer, återger eller ersätter befintliga tekniska föreskrifter som, om de antagits efter det att direktiv 83/189 trätt i kraft, vederbörligen har anmälts till kommissionen, inte kan anses utgöra ett ’förslag till’ teknisk föreskrift i den mening som avses i artikel 1.6 i direktiv 83/189 och följaktligen inte heller omfattas av anmälningsskyldigheten. ”</w:t>
      </w:r>
    </w:p>
    <w:p w14:paraId="10EB0A44" w14:textId="77777777">
      <w:pPr>
        <w:pStyle w:val="BodyText"/>
        <w:jc w:val="left"/>
      </w:pPr>
    </w:p>
    <w:p w14:paraId="0FD7863C" w14:textId="41998E8B">
      <w:pPr>
        <w:pStyle w:val="P68B1DB1-Normal13"/>
        <w:widowControl w:val="0"/>
        <w:autoSpaceDE w:val="0"/>
        <w:autoSpaceDN w:val="0"/>
        <w:spacing w:after="0" w:line="240" w:lineRule="auto"/>
        <w:jc w:val="both"/>
        <w:outlineLvl w:val="1"/>
      </w:pPr>
      <w:hyperlink r:id="rId80" w:history="1">
        <w:r>
          <w:rPr>
            <w:color w:val="0000FF"/>
            <w:u w:val="single"/>
          </w:rPr>
          <w:t xml:space="preserve">Dom av den 21 april 2005</w:t>
        </w:r>
      </w:hyperlink>
      <w:r>
        <w:t xml:space="preserve"> i mål C-267/03, Lindberg, punkterna 82 och 85.</w:t>
      </w:r>
      <w:bookmarkEnd w:id="134"/>
    </w:p>
    <w:p w14:paraId="5A455B86"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1D51892" w14:textId="03C8B255">
      <w:pPr>
        <w:pStyle w:val="P68B1DB1-Normal14"/>
        <w:widowControl w:val="0"/>
        <w:tabs>
          <w:tab w:val="left" w:pos="396"/>
          <w:tab w:val="left" w:pos="425"/>
        </w:tabs>
        <w:autoSpaceDE w:val="0"/>
        <w:autoSpaceDN w:val="0"/>
        <w:spacing w:after="0" w:line="240" w:lineRule="auto"/>
        <w:jc w:val="both"/>
      </w:pPr>
      <w:r>
        <w:t xml:space="preserve">En regel som endast återger eller ersätter redan anmälda regler utan att lägga till nya ”tekniska föreskrifter” behöver inte anmälas.</w:t>
      </w:r>
    </w:p>
    <w:p w14:paraId="571C5A4D"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5C11DD3" w14:textId="55D687C5">
      <w:pPr>
        <w:pStyle w:val="P68B1DB1-P68B1DB1-ListParagraph226"/>
        <w:tabs>
          <w:tab w:val="left" w:pos="396"/>
          <w:tab w:val="left" w:pos="425"/>
        </w:tabs>
        <w:ind w:left="567" w:right="0" w:firstLine="0"/>
        <w:rPr>
          <w:iCs/>
        </w:rPr>
      </w:pPr>
      <w:r>
        <w:t xml:space="preserve">”82. [...] det ska inledningsvis påpekas att en nationell åtgärd som återger eller ersätter, utan att lägga till nya eller kompletterande specifikationer, befintliga tekniska föreskrifter som, om de antagits efter ikraftträdandet av direktiv 83/189, vederbörligen har anmälts till kommissionen, inte kan anses utgöra ett ”förslag till” teknisk föreskrift i den mening som avses i artikel 1.9 i direktiv 83/189 och följaktligen inte heller omfattas av anmälningsskyldigheten (se domen i det ovannämnda målet Colim, punkt 22). I det aktuella fallet bör den dag då direktiv 83/189 trädde i kraft vad gäller Konungariket Sverige beaktas. ”</w:t>
      </w:r>
    </w:p>
    <w:p w14:paraId="0CA23066" w14:textId="77777777">
      <w:pPr>
        <w:pStyle w:val="P68B1DB1-ListParagraph2"/>
        <w:tabs>
          <w:tab w:val="left" w:pos="396"/>
          <w:tab w:val="left" w:pos="425"/>
        </w:tabs>
        <w:ind w:left="567" w:right="0"/>
        <w:rPr>
          <w:i/>
          <w:iCs/>
          <w:sz w:val="20"/>
          <w:szCs w:val="16"/>
        </w:rPr>
      </w:pPr>
    </w:p>
    <w:p w14:paraId="45277F90" w14:textId="583D0CBF">
      <w:pPr>
        <w:pStyle w:val="P68B1DB1-P68B1DB1-ListParagraph226"/>
        <w:tabs>
          <w:tab w:val="left" w:pos="396"/>
          <w:tab w:val="left" w:pos="425"/>
        </w:tabs>
        <w:ind w:left="567" w:right="0" w:firstLine="0"/>
      </w:pPr>
      <w:r>
        <w:t xml:space="preserve">”85. Mot bakgrund av det ovan anförda ska den tredje frågan besvaras så, att en omdefiniering i nationell lagstiftning av en tjänst som har samband med utformningen av en produkt, särskilt tjänsten att driva vissa spelautomater, såsom 1996 års lag, kan utgöra en teknisk föreskrift som ska anmälas enligt direktiv 83/189, om denna nya lagstiftning inte enbart återger eller ersätter, utan att lägga till nya eller kompletterande specifikationer, befintliga tekniska föreskrifter som, om de antagits efter det att direktiv 83/189 trätt i kraft i den berörda medlemsstaten, vederbörligen har anmälts till kommissionen. ”</w:t>
      </w:r>
    </w:p>
    <w:p w14:paraId="7351A3AE" w14:textId="77777777">
      <w:pPr>
        <w:pStyle w:val="P68B1DB1-P68B1DB1-ListParagraph226"/>
        <w:tabs>
          <w:tab w:val="left" w:pos="396"/>
          <w:tab w:val="left" w:pos="425"/>
        </w:tabs>
        <w:ind w:left="0" w:right="0" w:firstLine="0"/>
      </w:pPr>
    </w:p>
    <w:p w14:paraId="7F72B3E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81" w:history="1">
        <w:r>
          <w:rPr>
            <w:rStyle w:val="Hyperlink"/>
            <w:rFonts w:ascii="Times New Roman" w:hAnsi="Times New Roman" w:cs="Times New Roman" w:eastAsia="Times New Roman"/>
            <w:b/>
            <w:i/>
            <w:color w:val="0000FF"/>
            <w:szCs w:val="20"/>
          </w:rPr>
          <w:t xml:space="preserve">Dom av den 13 mars 2025</w:t>
        </w:r>
      </w:hyperlink>
      <w:r>
        <w:rPr>
          <w:rFonts w:ascii="Times New Roman" w:hAnsi="Times New Roman" w:cs="Times New Roman" w:eastAsia="Times New Roman"/>
          <w:b/>
          <w:i/>
          <w:szCs w:val="20"/>
        </w:rPr>
        <w:t xml:space="preserve"> i mål C-120/24, Unigames UAB, punkterna 57 och 58.</w:t>
      </w:r>
      <w:bookmarkEnd w:id="135"/>
    </w:p>
    <w:p w14:paraId="6E6DA28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7F00F2A0"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En ändring av ett utkast till teknisk föreskrift som avsevärt utvidgar dess tillämpningsområde måste anmälas. En ändring som inför sanktioner för nya beteenden måste betraktas som en genomgripande översyn av en teknisk föreskrift.</w:t>
      </w:r>
    </w:p>
    <w:p w14:paraId="6268DF61"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C4E84CC" w14:textId="72CC56DD">
      <w:pPr>
        <w:pStyle w:val="P68B1DB1-Normal15"/>
        <w:widowControl w:val="0"/>
        <w:tabs>
          <w:tab w:val="left" w:pos="437"/>
        </w:tabs>
        <w:autoSpaceDE w:val="0"/>
        <w:autoSpaceDN w:val="0"/>
        <w:spacing w:after="0" w:line="240" w:lineRule="auto"/>
        <w:ind w:left="567"/>
        <w:jc w:val="both"/>
        <w:rPr>
          <w:iCs/>
        </w:rPr>
      </w:pPr>
      <w:r>
        <w:t xml:space="preserve">”57. Det framgår av begäran om förhandsavgörande att artikel 10.19 i lagen om hasardspel har ”väsentligt ändrat” förbudet mot att uppmuntra deltagande i hasardspel. Den hänskjutande domstolen har särskilt angett att det beteende som Unigames anklagas för på grundval av gällande lagstiftning, bestående i offentliggörande på bolagets webbplats av information om den spelverksamhet som bolaget erbjuder, inte kunde bestraffas enligt den tidigare lagen om hasardspel. Enligt den hänskjutande domstolen utvidgades därför tillämpningsområdet för detta förbud genom nämnda artikel 10.19.</w:t>
      </w:r>
    </w:p>
    <w:p w14:paraId="1B4969EB" w14:textId="77777777">
      <w:pPr>
        <w:pStyle w:val="P68B1DB1-Normal15"/>
        <w:widowControl w:val="0"/>
        <w:tabs>
          <w:tab w:val="left" w:pos="437"/>
        </w:tabs>
        <w:autoSpaceDE w:val="0"/>
        <w:autoSpaceDN w:val="0"/>
        <w:spacing w:after="0" w:line="240" w:lineRule="auto"/>
        <w:ind w:left="567"/>
        <w:jc w:val="both"/>
        <w:rPr>
          <w:iCs/>
        </w:rPr>
      </w:pPr>
    </w:p>
    <w:p w14:paraId="6A710DBF" w14:textId="5A8EA617">
      <w:pPr>
        <w:pStyle w:val="P68B1DB1-Normal15"/>
        <w:widowControl w:val="0"/>
        <w:tabs>
          <w:tab w:val="left" w:pos="437"/>
        </w:tabs>
        <w:autoSpaceDE w:val="0"/>
        <w:autoSpaceDN w:val="0"/>
        <w:spacing w:after="0" w:line="240" w:lineRule="auto"/>
        <w:ind w:left="567"/>
        <w:jc w:val="both"/>
        <w:rPr>
          <w:iCs/>
        </w:rPr>
      </w:pPr>
      <w:r>
        <w:t xml:space="preserve">58. Det framgår således av uppgifterna i begäran om förhandsavgörande att artikel 10.19 i lagen om hasardspel innehåller nya eller ytterligare krav, i den mening som avses i den rättspraxis som det erinrats om i punkt 52 ovan, jämfört med artikel 10.19 i den tidigare lagen om hasardspel. Av detta följer, med förbehåll för de kontroller som det ankommer på den hänskjutande domstolen att göra, att den ändring som gav upphov till den nu gällande lagen borde ha anmälts i enlighet med artikel 5.1 första stycket i direktiv 2015/1535. ”</w:t>
      </w:r>
    </w:p>
    <w:p w14:paraId="339BEA27" w14:textId="77777777">
      <w:pPr>
        <w:pStyle w:val="P68B1DB1-P68B1DB1-ListParagraph226"/>
        <w:tabs>
          <w:tab w:val="left" w:pos="396"/>
          <w:tab w:val="left" w:pos="425"/>
        </w:tabs>
        <w:ind w:left="0" w:right="0" w:firstLine="0"/>
        <w:rPr>
          <w:iCs/>
        </w:rPr>
      </w:pPr>
    </w:p>
    <w:p w14:paraId="6669AD1C" w14:textId="1CFF8354">
      <w:pPr>
        <w:pStyle w:val="P68B1DB1-Normal16"/>
        <w:spacing w:after="0" w:line="240" w:lineRule="auto"/>
        <w:rPr>
          <w:i/>
          <w:iCs/>
        </w:rPr>
      </w:pPr>
      <w:r>
        <w:br w:type="page"/>
      </w:r>
    </w:p>
    <w:p w14:paraId="7F22FE55" w14:textId="67315266">
      <w:pPr>
        <w:pStyle w:val="P68B1DB1-Heading24"/>
        <w:numPr>
          <w:ilvl w:val="0"/>
          <w:numId w:val="36"/>
        </w:numPr>
        <w:spacing w:before="0" w:after="0"/>
        <w:jc w:val="center"/>
        <w:rPr>
          <w:bCs/>
          <w:color w:val="auto"/>
        </w:rPr>
      </w:pPr>
      <w:bookmarkStart w:id="136" w:name="_Ref194484898"/>
      <w:bookmarkStart w:id="137" w:name="_Toc203035676"/>
      <w:r>
        <w:t xml:space="preserve">Anmälan av den fullständiga texten</w:t>
      </w:r>
      <w:bookmarkEnd w:id="136"/>
      <w:bookmarkEnd w:id="137"/>
    </w:p>
    <w:p w14:paraId="7C840A0C" w14:textId="77777777">
      <w:pPr>
        <w:pStyle w:val="BodyText"/>
        <w:rPr>
          <w:b/>
          <w:bCs/>
        </w:rPr>
      </w:pPr>
    </w:p>
    <w:p w14:paraId="70826245" w14:textId="6B20BAFD">
      <w:pPr>
        <w:pStyle w:val="P68B1DB1-Normal13"/>
        <w:widowControl w:val="0"/>
        <w:autoSpaceDE w:val="0"/>
        <w:autoSpaceDN w:val="0"/>
        <w:spacing w:after="0" w:line="240" w:lineRule="auto"/>
        <w:jc w:val="both"/>
        <w:outlineLvl w:val="1"/>
      </w:pPr>
      <w:hyperlink r:id="rId82" w:history="1">
        <w:r>
          <w:rPr>
            <w:color w:val="0000FF"/>
            <w:u w:val="single"/>
          </w:rPr>
          <w:t xml:space="preserve">Domstolen: dom av den 16 september 1997</w:t>
        </w:r>
      </w:hyperlink>
      <w:r>
        <w:t xml:space="preserve">, kommissionen/Italien, C-279/94, punkterna 38 och 42</w:t>
      </w:r>
      <w:bookmarkEnd w:id="138"/>
    </w:p>
    <w:p w14:paraId="5500F145" w14:textId="77777777">
      <w:pPr>
        <w:widowControl w:val="0"/>
        <w:autoSpaceDE w:val="0"/>
        <w:autoSpaceDN w:val="0"/>
        <w:spacing w:after="0" w:line="240" w:lineRule="auto"/>
        <w:jc w:val="both"/>
        <w:rPr>
          <w:rFonts w:ascii="Times New Roman" w:hAnsi="Times New Roman" w:cs="Times New Roman" w:eastAsia="Times New Roman"/>
          <w:szCs w:val="20"/>
        </w:rPr>
      </w:pPr>
    </w:p>
    <w:p w14:paraId="2034B5D1" w14:textId="5EDE6A01">
      <w:pPr>
        <w:pStyle w:val="P68B1DB1-Normal14"/>
        <w:widowControl w:val="0"/>
        <w:autoSpaceDE w:val="0"/>
        <w:autoSpaceDN w:val="0"/>
        <w:spacing w:after="0" w:line="240" w:lineRule="auto"/>
        <w:jc w:val="both"/>
      </w:pPr>
      <w:r>
        <w:t xml:space="preserve">En text som innehåller ”tekniska föreskrifter” måste anmälas i sin helhet, inklusive åtgärder som inte är ”tekniska föreskrifter”, även om endast ”tekniska föreskrifter” omfattas av frysningsperioden.</w:t>
      </w:r>
    </w:p>
    <w:p w14:paraId="212FCCEC" w14:textId="77777777">
      <w:pPr>
        <w:widowControl w:val="0"/>
        <w:autoSpaceDE w:val="0"/>
        <w:autoSpaceDN w:val="0"/>
        <w:spacing w:after="0" w:line="240" w:lineRule="auto"/>
        <w:jc w:val="both"/>
        <w:rPr>
          <w:rFonts w:ascii="Times New Roman" w:hAnsi="Times New Roman" w:cs="Times New Roman" w:eastAsia="Times New Roman"/>
          <w:szCs w:val="20"/>
        </w:rPr>
      </w:pPr>
    </w:p>
    <w:p w14:paraId="41D543D7" w14:textId="2D86A463">
      <w:pPr>
        <w:pStyle w:val="P68B1DB1-Normal15"/>
        <w:widowControl w:val="0"/>
        <w:tabs>
          <w:tab w:val="left" w:pos="396"/>
          <w:tab w:val="left" w:pos="461"/>
        </w:tabs>
        <w:autoSpaceDE w:val="0"/>
        <w:autoSpaceDN w:val="0"/>
        <w:spacing w:after="0" w:line="240" w:lineRule="auto"/>
        <w:ind w:left="567"/>
        <w:jc w:val="both"/>
        <w:rPr>
          <w:iCs/>
        </w:rPr>
      </w:pPr>
      <w:r>
        <w:t xml:space="preserve">”38. Vad gäller den italienska regeringens skyldighet att anmäla den fullständiga texten till lag nr 257/92, inbegripet de bestämmelser som inte utgör tekniska föreskrifter, ska det påpekas att enligt artikel 8.1 första stycket sista meningen i direktivet ska medlemsstaterna även till kommissionen överlämna texten till de grundläggande lagar och andra författningar som huvudsakligen och direkt berörs, om kännedom om denna text är nödvändig för att bedöma konsekvenserna av förslaget till teknisk föreskrift. ”</w:t>
      </w:r>
    </w:p>
    <w:p w14:paraId="2D985B3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iCs/>
          <w:sz w:val="20"/>
          <w:szCs w:val="16"/>
        </w:rPr>
      </w:pPr>
    </w:p>
    <w:p w14:paraId="48F0D541" w14:textId="215D3040">
      <w:pPr>
        <w:pStyle w:val="P68B1DB1-Normal15"/>
        <w:widowControl w:val="0"/>
        <w:tabs>
          <w:tab w:val="left" w:pos="396"/>
          <w:tab w:val="left" w:pos="461"/>
        </w:tabs>
        <w:autoSpaceDE w:val="0"/>
        <w:autoSpaceDN w:val="0"/>
        <w:spacing w:after="0" w:line="240" w:lineRule="auto"/>
        <w:ind w:left="567"/>
        <w:jc w:val="both"/>
        <w:rPr>
          <w:iCs/>
        </w:rPr>
      </w:pPr>
      <w:r>
        <w:t xml:space="preserve">”42. Enbart det faktum att alla bestämmelser i lag nr 257/92 anmäls till kommissionen hindrar emellertid inte att Republiken Italien omedelbart, och således utan att invänta resultaten av det granskningsförfarande som föreskrivs i direktivet, träder i kraft de bestämmelser som inte utgör tekniska föreskrifter. ”</w:t>
      </w:r>
    </w:p>
    <w:p w14:paraId="7749D63B" w14:textId="5E15703E">
      <w:pPr>
        <w:pStyle w:val="P68B1DB1-Normal16"/>
        <w:spacing w:after="0" w:line="240" w:lineRule="auto"/>
        <w:rPr>
          <w:i/>
          <w:iCs/>
        </w:rPr>
      </w:pPr>
      <w:r>
        <w:br w:type="page"/>
      </w:r>
    </w:p>
    <w:p w14:paraId="66AC7FAE" w14:textId="2333E9D9">
      <w:pPr>
        <w:pStyle w:val="P68B1DB1-Heading24"/>
        <w:numPr>
          <w:ilvl w:val="0"/>
          <w:numId w:val="36"/>
        </w:numPr>
        <w:spacing w:before="0" w:after="0"/>
        <w:jc w:val="center"/>
        <w:rPr>
          <w:bCs/>
          <w:color w:val="auto"/>
        </w:rPr>
      </w:pPr>
      <w:bookmarkStart w:id="139" w:name="_Ref194484917"/>
      <w:bookmarkStart w:id="140" w:name="_Ref196314289"/>
      <w:bookmarkStart w:id="141" w:name="_Toc203035677"/>
      <w:r>
        <w:t xml:space="preserve">Meddelande om berörda grundläggande </w:t>
      </w:r>
      <w:bookmarkEnd w:id="139"/>
      <w:r>
        <w:t>bestämmelser</w:t>
      </w:r>
      <w:bookmarkEnd w:id="140"/>
      <w:bookmarkEnd w:id="141"/>
    </w:p>
    <w:p w14:paraId="02AB25EF" w14:textId="77777777">
      <w:pPr>
        <w:pStyle w:val="BodyText"/>
        <w:ind w:left="1440"/>
        <w:jc w:val="right"/>
        <w:rPr>
          <w:i/>
          <w:iCs/>
        </w:rPr>
      </w:pPr>
    </w:p>
    <w:p w14:paraId="7ADAEEA1" w14:textId="057664EC">
      <w:pPr>
        <w:pStyle w:val="P68B1DB1-BodyText11"/>
        <w:ind w:left="1440"/>
        <w:rPr>
          <w:iCs/>
        </w:rPr>
      </w:pPr>
      <w:r>
        <w:t xml:space="preserve">”Om så är lämpligt, och om det inte redan har skickats tillsammans med ett föregående meddelande, ska medlemsstaterna samtidigt överlämna texten till de grundläggande lagar och andra författningar som huvudsakligen och direkt berörs till kommissionen, om kännedom om texten är nödvändig för att bedöma konsekvenserna av förslaget till teknisk föreskrift.”</w:t>
      </w:r>
    </w:p>
    <w:p w14:paraId="3C018828" w14:textId="77777777">
      <w:pPr>
        <w:pStyle w:val="BodyText"/>
        <w:ind w:left="1440"/>
        <w:jc w:val="right"/>
        <w:rPr>
          <w:i/>
          <w:iCs/>
        </w:rPr>
      </w:pPr>
    </w:p>
    <w:p w14:paraId="21D14611" w14:textId="15758967">
      <w:pPr>
        <w:pStyle w:val="BodyText"/>
        <w:ind w:left="1440"/>
        <w:jc w:val="right"/>
      </w:pPr>
      <w:r>
        <w:t xml:space="preserve">(artikel 5.1 andra meningen i direktiv (EU) 2015/1535)</w:t>
      </w:r>
    </w:p>
    <w:p w14:paraId="7479C45A" w14:textId="77777777">
      <w:pPr>
        <w:pStyle w:val="BodyText"/>
        <w:ind w:left="1440"/>
        <w:jc w:val="right"/>
        <w:rPr>
          <w:i/>
          <w:iCs/>
        </w:rPr>
      </w:pPr>
    </w:p>
    <w:p w14:paraId="7E6EAA27" w14:textId="714E980B">
      <w:pPr>
        <w:pStyle w:val="P68B1DB1-Normal13"/>
        <w:widowControl w:val="0"/>
        <w:autoSpaceDE w:val="0"/>
        <w:autoSpaceDN w:val="0"/>
        <w:spacing w:after="0" w:line="240" w:lineRule="auto"/>
        <w:jc w:val="both"/>
        <w:outlineLvl w:val="1"/>
      </w:pPr>
      <w:hyperlink r:id="rId83" w:history="1">
        <w:r>
          <w:rPr>
            <w:color w:val="0000FF"/>
            <w:u w:val="single"/>
          </w:rPr>
          <w:t xml:space="preserve">Domstolens dom av den 7 maj 1998</w:t>
        </w:r>
      </w:hyperlink>
      <w:r>
        <w:t xml:space="preserve"> i mål C-145/97, kommissionen mot Belgien, punkterna 11 och 12.</w:t>
      </w:r>
      <w:bookmarkEnd w:id="142"/>
    </w:p>
    <w:p w14:paraId="768284F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32E540" w14:textId="0817AF48">
      <w:pPr>
        <w:pStyle w:val="P68B1DB1-Normal14"/>
        <w:widowControl w:val="0"/>
        <w:tabs>
          <w:tab w:val="left" w:pos="437"/>
        </w:tabs>
        <w:autoSpaceDE w:val="0"/>
        <w:autoSpaceDN w:val="0"/>
        <w:spacing w:after="0" w:line="240" w:lineRule="auto"/>
        <w:jc w:val="both"/>
      </w:pPr>
      <w:r>
        <w:t xml:space="preserve">Medlemsstaterna ska inte bara överlämna det utkast till text som innehåller de ”tekniska föreskrifterna”, utan även texten till de grundläggande lagar och andra författningar som huvudsakligen och direkt berörs. Syftet med denna skyldighet är att göra det möjligt för kommissionen att få så mycket information som möjligt och således effektivt utöva de befogenheter som den har tilldelats genom direktivet.</w:t>
      </w:r>
    </w:p>
    <w:p w14:paraId="239177AF"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52AC3E4" w14:textId="74A8268E">
      <w:pPr>
        <w:pStyle w:val="P68B1DB1-P68B1DB1-Normal1623"/>
        <w:widowControl w:val="0"/>
        <w:tabs>
          <w:tab w:val="left" w:pos="437"/>
        </w:tabs>
        <w:autoSpaceDE w:val="0"/>
        <w:autoSpaceDN w:val="0"/>
        <w:spacing w:after="0" w:line="240" w:lineRule="auto"/>
        <w:ind w:left="567"/>
        <w:jc w:val="both"/>
        <w:rPr>
          <w:i/>
        </w:rPr>
      </w:pPr>
      <w:r>
        <w:t xml:space="preserve">”11. Vad för det andra gäller den exakta omfattningen av anmälningsskyldigheten, föreskrivs i artikel 8.1 första stycket sista meningen i direktivet att medlemsstaterna även ska överlämna texten till de grundläggande lagar och andra författningar som huvudsakligen och direkt berörs, om kännedom om denna text är nödvändig för att bedöma konsekvenserna av förslaget till teknisk föreskrift.</w:t>
      </w:r>
    </w:p>
    <w:p w14:paraId="34A9E602" w14:textId="77777777">
      <w:pPr>
        <w:pStyle w:val="P68B1DB1-Normal16"/>
        <w:widowControl w:val="0"/>
        <w:tabs>
          <w:tab w:val="left" w:pos="437"/>
        </w:tabs>
        <w:autoSpaceDE w:val="0"/>
        <w:autoSpaceDN w:val="0"/>
        <w:spacing w:after="0" w:line="240" w:lineRule="auto"/>
        <w:ind w:left="567"/>
        <w:jc w:val="both"/>
        <w:rPr>
          <w:i/>
        </w:rPr>
      </w:pPr>
    </w:p>
    <w:p w14:paraId="4EF4E053" w14:textId="6423D8FC">
      <w:pPr>
        <w:pStyle w:val="P68B1DB1-P68B1DB1-Normal1623"/>
        <w:widowControl w:val="0"/>
        <w:tabs>
          <w:tab w:val="left" w:pos="437"/>
        </w:tabs>
        <w:autoSpaceDE w:val="0"/>
        <w:autoSpaceDN w:val="0"/>
        <w:spacing w:after="0" w:line="240" w:lineRule="auto"/>
        <w:ind w:left="567"/>
        <w:jc w:val="both"/>
        <w:rPr>
          <w:i/>
        </w:rPr>
      </w:pPr>
      <w:r>
        <w:t xml:space="preserve">12. Såsom domstolen klargjorde i sin dom i mål C-279/94, kommissionen mot Italien (REG 1997, s. I-4743), punkt 40, är syftet med denna bestämmelse att göra det möjligt för kommissionen att få så mycket information som möjligt om varje utkast till teknisk förordning med avseende på dess innehåll, räckvidd och allmänna sammanhang, så att den så effektivt som möjligt kan utöva sina befogenheter enligt direktivet. ”</w:t>
      </w:r>
    </w:p>
    <w:p w14:paraId="4E67514A" w14:textId="77777777">
      <w:pPr>
        <w:pStyle w:val="P68B1DB1-Normal16"/>
        <w:spacing w:after="0" w:line="240" w:lineRule="auto"/>
      </w:pPr>
      <w:r>
        <w:br w:type="page"/>
      </w:r>
    </w:p>
    <w:p w14:paraId="6CA665D0" w14:textId="62A7B166">
      <w:pPr>
        <w:pStyle w:val="P68B1DB1-Heading24"/>
        <w:numPr>
          <w:ilvl w:val="0"/>
          <w:numId w:val="36"/>
        </w:numPr>
        <w:spacing w:before="0" w:after="0"/>
        <w:jc w:val="center"/>
        <w:rPr>
          <w:bCs/>
          <w:color w:val="auto"/>
        </w:rPr>
      </w:pPr>
      <w:bookmarkStart w:id="143" w:name="_Ref194484926"/>
      <w:bookmarkStart w:id="144" w:name="_Ref196314295"/>
      <w:bookmarkStart w:id="145" w:name="_Toc203035678"/>
      <w:r>
        <w:t>Ny</w:t>
      </w:r>
      <w:bookmarkEnd w:id="143"/>
      <w:r>
        <w:t xml:space="preserve"> anmälan under frysningsperioden</w:t>
      </w:r>
      <w:bookmarkEnd w:id="144"/>
      <w:bookmarkEnd w:id="145"/>
    </w:p>
    <w:p w14:paraId="469CC5E9" w14:textId="77777777">
      <w:pPr>
        <w:pStyle w:val="BodyText"/>
        <w:ind w:left="1440"/>
        <w:jc w:val="right"/>
        <w:rPr>
          <w:i/>
          <w:iCs/>
        </w:rPr>
      </w:pPr>
    </w:p>
    <w:p w14:paraId="07616479" w14:textId="3F014BDB">
      <w:pPr>
        <w:pStyle w:val="P68B1DB1-BodyText11"/>
        <w:ind w:left="1440"/>
        <w:rPr>
          <w:iCs/>
        </w:rPr>
      </w:pPr>
      <w:r>
        <w:t xml:space="preserve">”Medlemsstaterna ska på nytt överlämna utkastet till teknisk föreskrift till kommissionen på de villkor som anges i första och andra styckena i denna punkt, om de gör ändringar i utkastet som leder till att dess tillämpningsområde avsevärt ändras, att den tidsplan som ursprungligen planerats för genomförandet förkortas, att specifikationer eller krav läggs till eller att de senare blir mer restriktiva.”</w:t>
      </w:r>
    </w:p>
    <w:p w14:paraId="3E582DDB" w14:textId="77777777">
      <w:pPr>
        <w:pStyle w:val="BodyText"/>
        <w:ind w:left="1440"/>
        <w:jc w:val="right"/>
        <w:rPr>
          <w:i/>
          <w:iCs/>
        </w:rPr>
      </w:pPr>
    </w:p>
    <w:p w14:paraId="57E3F15D" w14:textId="51B7D3EF">
      <w:pPr>
        <w:pStyle w:val="BodyText"/>
        <w:ind w:left="1440"/>
        <w:jc w:val="right"/>
      </w:pPr>
      <w:r>
        <w:t xml:space="preserve">(artikel 5.1 tredje meningen i direktiv (EU) 2015/1535)</w:t>
      </w:r>
    </w:p>
    <w:p w14:paraId="3C5D4E98" w14:textId="77777777">
      <w:pPr>
        <w:widowControl w:val="0"/>
        <w:tabs>
          <w:tab w:val="left" w:pos="437"/>
        </w:tabs>
        <w:autoSpaceDE w:val="0"/>
        <w:autoSpaceDN w:val="0"/>
        <w:spacing w:after="0" w:line="240" w:lineRule="auto"/>
        <w:jc w:val="both"/>
      </w:pPr>
    </w:p>
    <w:p w14:paraId="0923F993" w14:textId="2074D78C">
      <w:pPr>
        <w:pStyle w:val="P68B1DB1-Normal13"/>
        <w:widowControl w:val="0"/>
        <w:autoSpaceDE w:val="0"/>
        <w:autoSpaceDN w:val="0"/>
        <w:spacing w:after="0" w:line="240" w:lineRule="auto"/>
        <w:jc w:val="both"/>
        <w:outlineLvl w:val="1"/>
      </w:pPr>
      <w:hyperlink r:id="rId84" w:history="1">
        <w:r>
          <w:rPr>
            <w:color w:val="0000FF"/>
            <w:u w:val="single"/>
          </w:rPr>
          <w:t xml:space="preserve">Dom av den 15 april 2010</w:t>
        </w:r>
      </w:hyperlink>
      <w:r>
        <w:t xml:space="preserve"> i mål C-433/05, Sandström, punkterna 47 och 48.</w:t>
      </w:r>
      <w:bookmarkEnd w:id="146"/>
    </w:p>
    <w:p w14:paraId="442A3D5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7AEB5DB" w14:textId="57E34DD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Ändringar av ett utkast till teknisk föreskrift som redan anmälts till kommissionen och som endast lättar på användningsvillkoren för produkten i fråga utgör inte en betydande ändring som kräver ytterligare anmälan.</w:t>
      </w:r>
    </w:p>
    <w:p w14:paraId="14CAB084" w14:textId="77777777">
      <w:pPr>
        <w:widowControl w:val="0"/>
        <w:autoSpaceDE w:val="0"/>
        <w:autoSpaceDN w:val="0"/>
        <w:spacing w:after="0" w:line="240" w:lineRule="auto"/>
        <w:jc w:val="both"/>
        <w:rPr>
          <w:rFonts w:ascii="Times New Roman" w:hAnsi="Times New Roman" w:cs="Times New Roman" w:eastAsia="Times New Roman"/>
          <w:szCs w:val="20"/>
        </w:rPr>
      </w:pPr>
    </w:p>
    <w:p w14:paraId="711A665A" w14:textId="07F4B9B5">
      <w:pPr>
        <w:pStyle w:val="P68B1DB1-Normal15"/>
        <w:widowControl w:val="0"/>
        <w:autoSpaceDE w:val="0"/>
        <w:autoSpaceDN w:val="0"/>
        <w:spacing w:after="0" w:line="240" w:lineRule="auto"/>
        <w:ind w:left="567"/>
        <w:jc w:val="both"/>
      </w:pPr>
      <w:r>
        <w:t xml:space="preserve">”47. [...] mot bakgrund av syftet med direktiv 98/34, som det erinrats om i punkt 41 ovan, utgör ändringar i ett utkast till teknisk föreskrift som redan anmälts till kommissionen i enlighet med artikel 8.1 första stycket i direktiv 98/34, vilka i förhållande till det anmälda utkastet endast innehåller en uppmjukning av användningsvillkoren för produkten i fråga och som således minskar den tekniska föreskriftens eventuella inverkan på handeln, inte en väsentlig ändring av utkastet i den mening som avses i artikel 8.1 tredje stycket i direktivet. Det finns följaktligen inte någon skyldighet att förhandsanmäla sådana ändringar.</w:t>
      </w:r>
    </w:p>
    <w:p w14:paraId="1CD58368" w14:textId="77777777">
      <w:pPr>
        <w:pStyle w:val="P68B1DB1-Normal15"/>
        <w:widowControl w:val="0"/>
        <w:autoSpaceDE w:val="0"/>
        <w:autoSpaceDN w:val="0"/>
        <w:spacing w:after="0" w:line="240" w:lineRule="auto"/>
        <w:ind w:left="567"/>
        <w:jc w:val="both"/>
      </w:pPr>
    </w:p>
    <w:p w14:paraId="07688F8B" w14:textId="1AE41F0D">
      <w:pPr>
        <w:pStyle w:val="P68B1DB1-Normal15"/>
        <w:widowControl w:val="0"/>
        <w:autoSpaceDE w:val="0"/>
        <w:autoSpaceDN w:val="0"/>
        <w:spacing w:after="0" w:line="240" w:lineRule="auto"/>
        <w:ind w:left="567"/>
        <w:jc w:val="both"/>
        <w:rPr>
          <w:iCs/>
        </w:rPr>
      </w:pPr>
      <w:r>
        <w:t xml:space="preserve">48. Även om medlemsstaterna enligt artikel 8.3 i direktiv 98/34 ska överlämna den slutgiltiga texten till en teknisk föreskrift till kommissionen utan dröjsmål, påverkar underlåtenheten att anmäla en icke väsentlig ändring av en sådan förordning innan den antas inte förordningens tillämplighet, om det inte föreligger någon skyldighet att göra en förhandsanmälan. ”</w:t>
      </w:r>
    </w:p>
    <w:p w14:paraId="56651A14"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595AF62A" w14:textId="0AF157F1">
      <w:pPr>
        <w:pStyle w:val="P68B1DB1-Normal13"/>
        <w:widowControl w:val="0"/>
        <w:autoSpaceDE w:val="0"/>
        <w:autoSpaceDN w:val="0"/>
        <w:spacing w:after="0" w:line="240" w:lineRule="auto"/>
        <w:jc w:val="both"/>
        <w:outlineLvl w:val="1"/>
      </w:pPr>
      <w:hyperlink r:id="rId85" w:history="1">
        <w:r>
          <w:rPr>
            <w:color w:val="0000FF"/>
            <w:u w:val="single"/>
          </w:rPr>
          <w:t xml:space="preserve">Dom av den 31 januari 2013</w:t>
        </w:r>
      </w:hyperlink>
      <w:r>
        <w:t xml:space="preserve"> i mål C-26/11, Belgische Petroleum Unie m.fl., punkterna 56 och 57.</w:t>
      </w:r>
      <w:bookmarkEnd w:id="147"/>
    </w:p>
    <w:p w14:paraId="11A2865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307C232" w14:textId="029CC044">
      <w:pPr>
        <w:pStyle w:val="P68B1DB1-Normal14"/>
        <w:widowControl w:val="0"/>
        <w:tabs>
          <w:tab w:val="left" w:pos="412"/>
        </w:tabs>
        <w:autoSpaceDE w:val="0"/>
        <w:autoSpaceDN w:val="0"/>
        <w:spacing w:after="0" w:line="240" w:lineRule="auto"/>
        <w:jc w:val="both"/>
      </w:pPr>
      <w:r>
        <w:t xml:space="preserve">Enligt direktivet krävs ingen ny anmälan av utkast till nationell lagstiftning när utkastet, efter att ha anmälts, har ändrats för att ta hänsyn till kommissionens synpunkter och det ändrade utkastet därefter har överlämnats till kommissionen.</w:t>
      </w:r>
    </w:p>
    <w:p w14:paraId="7BB1B9C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8681219" w14:textId="6C2D482D">
      <w:pPr>
        <w:pStyle w:val="P68B1DB1-Normal15"/>
        <w:widowControl w:val="0"/>
        <w:tabs>
          <w:tab w:val="left" w:pos="412"/>
        </w:tabs>
        <w:autoSpaceDE w:val="0"/>
        <w:autoSpaceDN w:val="0"/>
        <w:spacing w:after="0" w:line="240" w:lineRule="auto"/>
        <w:ind w:left="567"/>
        <w:jc w:val="both"/>
      </w:pPr>
      <w:r>
        <w:t xml:space="preserve">”56. [...] Konungariket Belgien har under dessa omständigheter begränsat sig till att ändra bestämmelserna i lagförslaget i enlighet med en begäran från kommissionen om att undanröja ett handelshinder, varför skyldigheten enligt artikel 10.1 sista strecksatsen i direktiv 98/34 att underrätta kommissionen enligt artikel 8.1 första stycket i direktivet inte är tillämplig på förslaget till lag om blandfinansieringsplikten.</w:t>
      </w:r>
    </w:p>
    <w:p w14:paraId="4B8B3C65" w14:textId="77777777">
      <w:pPr>
        <w:pStyle w:val="P68B1DB1-Normal15"/>
        <w:widowControl w:val="0"/>
        <w:tabs>
          <w:tab w:val="left" w:pos="412"/>
        </w:tabs>
        <w:autoSpaceDE w:val="0"/>
        <w:autoSpaceDN w:val="0"/>
        <w:spacing w:after="0" w:line="240" w:lineRule="auto"/>
        <w:ind w:left="567"/>
        <w:jc w:val="both"/>
      </w:pPr>
    </w:p>
    <w:p w14:paraId="2643CC13" w14:textId="30521DC9">
      <w:pPr>
        <w:pStyle w:val="P68B1DB1-Normal15"/>
        <w:widowControl w:val="0"/>
        <w:tabs>
          <w:tab w:val="left" w:pos="412"/>
        </w:tabs>
        <w:autoSpaceDE w:val="0"/>
        <w:autoSpaceDN w:val="0"/>
        <w:spacing w:after="0" w:line="240" w:lineRule="auto"/>
        <w:ind w:left="567"/>
        <w:jc w:val="both"/>
        <w:rPr>
          <w:iCs/>
        </w:rPr>
      </w:pPr>
      <w:r>
        <w:t xml:space="preserve">57. Artikel 8 i direktiv 98/34, jämförd med artikel 10.1 sista strecksatsen i samma direktiv, ska tolkas så, att den inte innebär någon skyldighet att anmäla ett förslag till nationell lagstiftning enligt vilken oljebolag som släpper ut bensin och/eller dieselbränslen på marknaden under samma kalenderår även är skyldiga att släppa ut vissa procentandelar biodrivmedel på marknaden, när förslaget, efter att ha anmälts i enlighet med artikel 8.1 första stycket, har ändrats för att ta hänsyn till kommissionens synpunkter på förslaget och det ändrade förslaget därefter har överlämnats till kommissionen. ”</w:t>
      </w:r>
    </w:p>
    <w:p w14:paraId="236E4111"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43993F44" w14:textId="3D80E37E">
      <w:pPr>
        <w:pStyle w:val="P68B1DB1-Normal14"/>
        <w:widowControl w:val="0"/>
        <w:autoSpaceDE w:val="0"/>
        <w:autoSpaceDN w:val="0"/>
        <w:spacing w:after="0" w:line="240" w:lineRule="auto"/>
        <w:jc w:val="both"/>
        <w:outlineLvl w:val="1"/>
        <w:rPr>
          <w:b/>
          <w:i/>
        </w:rPr>
      </w:pPr>
      <w:hyperlink r:id="rId86" w:history="1">
        <w:r>
          <w:rPr>
            <w:b/>
            <w:i/>
            <w:color w:val="0000FF"/>
            <w:u w:val="single"/>
          </w:rPr>
          <w:t xml:space="preserve">Dom av den 10 juli 2014 i mål</w:t>
        </w:r>
        <w:r>
          <w:rPr>
            <w:rFonts w:ascii="Open Sans" w:hAnsi="Open Sans" w:cs="Open Sans" w:eastAsiaTheme="minorHAnsi"/>
            <w:color w:val="000000"/>
            <w:sz w:val="18"/>
            <w:szCs w:val="18"/>
          </w:rPr>
          <w:t xml:space="preserve"> </w:t>
        </w:r>
        <w:r>
          <w:rPr>
            <w:b/>
            <w:i/>
          </w:rPr>
          <w:t>C-307/13,</w:t>
        </w:r>
        <w:r>
          <w:rPr>
            <w:b/>
            <w:i/>
            <w:color w:val="0000FF"/>
            <w:u w:val="single"/>
          </w:rPr>
          <w:t xml:space="preserve"> </w:t>
        </w:r>
        <w:r>
          <w:rPr>
            <w:b/>
            <w:i/>
          </w:rPr>
          <w:t xml:space="preserve"> Ivansson m.fl.</w:t>
        </w:r>
        <w:r>
          <w:rPr>
            <w:b/>
            <w:i/>
            <w:color w:val="0000FF"/>
            <w:u w:val="single"/>
          </w:rPr>
          <w:t xml:space="preserve">, punkterna 48–50</w:t>
        </w:r>
      </w:hyperlink>
      <w:bookmarkEnd w:id="148"/>
    </w:p>
    <w:p w14:paraId="27463427" w14:textId="77777777">
      <w:pPr>
        <w:widowControl w:val="0"/>
        <w:autoSpaceDE w:val="0"/>
        <w:autoSpaceDN w:val="0"/>
        <w:spacing w:after="0" w:line="240" w:lineRule="auto"/>
        <w:ind w:left="-142"/>
        <w:jc w:val="both"/>
        <w:rPr>
          <w:rFonts w:ascii="Times New Roman" w:hAnsi="Times New Roman" w:cs="Times New Roman" w:eastAsia="Times New Roman"/>
          <w:szCs w:val="20"/>
        </w:rPr>
      </w:pPr>
    </w:p>
    <w:p w14:paraId="0B57A13E" w14:textId="12E99D5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Alla betydande ändringar av tidsplanen för genomförandet av en nationell åtgärd, inbegripet en avsevärd förkortning, ska meddelas kommissionen. Underlåtenhet att anmäla innebär att åtgärden inte är tillämplig och att den inte kan göras gällande mot enskilda.</w:t>
      </w:r>
    </w:p>
    <w:p w14:paraId="0B31DCA0" w14:textId="77777777">
      <w:pPr>
        <w:widowControl w:val="0"/>
        <w:autoSpaceDE w:val="0"/>
        <w:autoSpaceDN w:val="0"/>
        <w:spacing w:after="0" w:line="240" w:lineRule="auto"/>
        <w:ind w:hanging="142"/>
        <w:jc w:val="both"/>
        <w:rPr>
          <w:rFonts w:ascii="Times New Roman" w:hAnsi="Times New Roman" w:cs="Times New Roman" w:eastAsia="Times New Roman"/>
          <w:szCs w:val="20"/>
        </w:rPr>
      </w:pPr>
    </w:p>
    <w:p w14:paraId="2FC99E88" w14:textId="427CE55A">
      <w:pPr>
        <w:pStyle w:val="P68B1DB1-Normal15"/>
        <w:widowControl w:val="0"/>
        <w:tabs>
          <w:tab w:val="left" w:pos="396"/>
          <w:tab w:val="left" w:pos="407"/>
        </w:tabs>
        <w:autoSpaceDE w:val="0"/>
        <w:autoSpaceDN w:val="0"/>
        <w:spacing w:after="0" w:line="240" w:lineRule="auto"/>
        <w:ind w:left="567"/>
        <w:jc w:val="both"/>
      </w:pPr>
      <w:r>
        <w:t xml:space="preserve">”48. Det ska i detta hänseende erinras om att domstolen har slagit fast att ett åsidosättande av anmälningsskyldigheten till kommissionen utgör ett formfel vid antagandet av de berörda tekniska föreskrifterna och medför att dessa tekniska föreskrifter inte kan tillämpas och därmed inte kan göras gällande gentemot enskilda (se, bland annat, dom CIA Security International, C-194/94, EU:C:, punkt 54, och dom Schwibbert, C-20/05, punkt 44). Enskilda kan vid den nationella domstolen göra gällande att en nationell teknisk föreskrift som inte har anmälts i enlighet med direktiv 98/34 inte ska tillämpas (se, bland annat, domen Schwibbert, punkt 44 och där angiven rättspraxis).</w:t>
      </w:r>
    </w:p>
    <w:p w14:paraId="64D396E7" w14:textId="77777777">
      <w:pPr>
        <w:pStyle w:val="P68B1DB1-Normal15"/>
        <w:widowControl w:val="0"/>
        <w:tabs>
          <w:tab w:val="left" w:pos="396"/>
          <w:tab w:val="left" w:pos="407"/>
        </w:tabs>
        <w:autoSpaceDE w:val="0"/>
        <w:autoSpaceDN w:val="0"/>
        <w:spacing w:after="0" w:line="240" w:lineRule="auto"/>
        <w:ind w:left="567"/>
        <w:jc w:val="both"/>
      </w:pPr>
    </w:p>
    <w:p w14:paraId="24511168" w14:textId="41EC6123">
      <w:pPr>
        <w:pStyle w:val="P68B1DB1-Normal15"/>
        <w:widowControl w:val="0"/>
        <w:tabs>
          <w:tab w:val="left" w:pos="396"/>
          <w:tab w:val="left" w:pos="407"/>
        </w:tabs>
        <w:autoSpaceDE w:val="0"/>
        <w:autoSpaceDN w:val="0"/>
        <w:spacing w:after="0" w:line="240" w:lineRule="auto"/>
        <w:ind w:left="567"/>
        <w:jc w:val="both"/>
      </w:pPr>
      <w:r>
        <w:t xml:space="preserve">49. För det fall det i anmälan till kommissionen av 9 § djurskyddsförordningen verkligen angavs att bestämmelsen skulle träda i kraft den 1 maj 2003 och om förkortningen av bestämmelsens genomförandetid till den 15 april 2003 ska anses som en väsentlig förändring, får således underlåtenheten att anmäla denna nationella bestämmelse till kommissionen till följd att den inte kan göras gällande gentemot de tilltalade i de aktuella målen.</w:t>
      </w:r>
    </w:p>
    <w:p w14:paraId="5515956D" w14:textId="77777777">
      <w:pPr>
        <w:pStyle w:val="P68B1DB1-Normal15"/>
        <w:widowControl w:val="0"/>
        <w:tabs>
          <w:tab w:val="left" w:pos="396"/>
          <w:tab w:val="left" w:pos="407"/>
        </w:tabs>
        <w:autoSpaceDE w:val="0"/>
        <w:autoSpaceDN w:val="0"/>
        <w:spacing w:after="0" w:line="240" w:lineRule="auto"/>
        <w:ind w:left="567"/>
        <w:jc w:val="both"/>
      </w:pPr>
    </w:p>
    <w:p w14:paraId="74B7B30E" w14:textId="7B5C59D5">
      <w:pPr>
        <w:pStyle w:val="P68B1DB1-Normal15"/>
        <w:widowControl w:val="0"/>
        <w:tabs>
          <w:tab w:val="left" w:pos="396"/>
          <w:tab w:val="left" w:pos="407"/>
        </w:tabs>
        <w:autoSpaceDE w:val="0"/>
        <w:autoSpaceDN w:val="0"/>
        <w:spacing w:after="0" w:line="240" w:lineRule="auto"/>
        <w:ind w:left="567"/>
        <w:jc w:val="both"/>
      </w:pPr>
      <w:r>
        <w:t xml:space="preserve">50. Den andra frågan ska följaktligen besvaras så, att om den förkortade tidsplanen för ikraftträdandet av en teknisk föreskrift omfattas av den skyldighet att underrätta kommissionen som föreskrivs i artikel 8.1 tredje stycket i direktiv 98/34, skulle en underlåtenhet att lämna ett sådant meddelande medföra att denna nationella åtgärd inte kan tillämpas, vilket innebär att den inte kan göras gällande mot enskilda. ”</w:t>
      </w:r>
    </w:p>
    <w:p w14:paraId="761A5A99" w14:textId="77777777">
      <w:pPr>
        <w:pStyle w:val="P68B1DB1-Normal15"/>
        <w:widowControl w:val="0"/>
        <w:tabs>
          <w:tab w:val="left" w:pos="396"/>
          <w:tab w:val="left" w:pos="407"/>
        </w:tabs>
        <w:autoSpaceDE w:val="0"/>
        <w:autoSpaceDN w:val="0"/>
        <w:spacing w:after="0" w:line="240" w:lineRule="auto"/>
        <w:jc w:val="both"/>
        <w:rPr>
          <w:iCs/>
        </w:rPr>
      </w:pPr>
    </w:p>
    <w:p w14:paraId="5BAF695F" w14:textId="64410CB4">
      <w:pPr>
        <w:pStyle w:val="P68B1DB1-Normal16"/>
        <w:spacing w:after="0" w:line="278" w:lineRule="auto"/>
      </w:pPr>
      <w:r>
        <w:br w:type="page"/>
      </w:r>
    </w:p>
    <w:p w14:paraId="6577BC49" w14:textId="03B1ACB8">
      <w:pPr>
        <w:pStyle w:val="P68B1DB1-Heading13"/>
        <w:numPr>
          <w:ilvl w:val="0"/>
          <w:numId w:val="34"/>
        </w:numPr>
        <w:spacing w:before="0" w:after="0"/>
        <w:jc w:val="center"/>
        <w:rPr>
          <w:bCs/>
          <w:color w:val="auto"/>
          <w:sz w:val="22"/>
          <w:szCs w:val="22"/>
        </w:rPr>
      </w:pPr>
      <w:bookmarkStart w:id="149" w:name="_Ref195517367"/>
      <w:bookmarkStart w:id="150" w:name="_Toc203035679"/>
      <w:r>
        <w:t xml:space="preserve">Undantag från anmälningsskyldigheten</w:t>
      </w:r>
      <w:bookmarkEnd w:id="149"/>
      <w:bookmarkEnd w:id="150"/>
    </w:p>
    <w:p w14:paraId="3C30462C" w14:textId="2740E9B7">
      <w:pPr>
        <w:spacing w:after="0" w:line="278" w:lineRule="auto"/>
        <w:rPr>
          <w:rFonts w:ascii="Times New Roman" w:hAnsi="Times New Roman" w:cs="Times New Roman"/>
          <w:i/>
          <w:sz w:val="20"/>
          <w:szCs w:val="20"/>
        </w:rPr>
      </w:pPr>
    </w:p>
    <w:p w14:paraId="0F730AF8" w14:textId="3DA91853">
      <w:pPr>
        <w:pStyle w:val="P68B1DB1-Heading24"/>
        <w:numPr>
          <w:ilvl w:val="0"/>
          <w:numId w:val="37"/>
        </w:numPr>
        <w:spacing w:before="0" w:after="0"/>
        <w:jc w:val="center"/>
        <w:rPr>
          <w:bCs/>
          <w:color w:val="auto"/>
        </w:rPr>
      </w:pPr>
      <w:bookmarkStart w:id="151" w:name="_Ref194484715"/>
      <w:bookmarkStart w:id="152" w:name="_Ref194942600"/>
      <w:bookmarkStart w:id="153" w:name="_Toc203035680"/>
      <w:r>
        <w:t xml:space="preserve">Införlivande av en europeisk rättsakt</w:t>
      </w:r>
      <w:bookmarkEnd w:id="151"/>
      <w:bookmarkEnd w:id="152"/>
      <w:bookmarkEnd w:id="153"/>
    </w:p>
    <w:p w14:paraId="4B7876F4" w14:textId="77777777">
      <w:pPr>
        <w:pStyle w:val="BodyText"/>
        <w:rPr>
          <w:b/>
          <w:bCs/>
        </w:rPr>
      </w:pPr>
    </w:p>
    <w:p w14:paraId="61507248" w14:textId="663D0F44">
      <w:pPr>
        <w:pStyle w:val="P68B1DB1-BodyText11"/>
        <w:ind w:left="567"/>
        <w:rPr>
          <w:i/>
        </w:rPr>
      </w:pPr>
      <w:r>
        <w:t xml:space="preserve">”Artiklarna 5 och 6 ska inte tillämpas på de lagar och andra författningar i medlemsstaterna eller frivilliga överenskommelser genom vilka medlemsstaterna </w:t>
      </w:r>
    </w:p>
    <w:p w14:paraId="2762B474" w14:textId="77777777">
      <w:pPr>
        <w:pStyle w:val="BodyText"/>
        <w:ind w:left="567"/>
        <w:rPr>
          <w:i/>
        </w:rPr>
      </w:pPr>
    </w:p>
    <w:p w14:paraId="753FC221" w14:textId="4E9C46C0">
      <w:pPr>
        <w:pStyle w:val="P68B1DB1-BodyText11"/>
        <w:ind w:left="1440"/>
        <w:rPr>
          <w:iCs/>
        </w:rPr>
      </w:pPr>
      <w:r>
        <w:t xml:space="preserve">(a) följa bindande unionsakter som leder till antagandet av tekniska specifikationer eller föreskrifter för tjänster, ”</w:t>
      </w:r>
    </w:p>
    <w:p w14:paraId="2A077376" w14:textId="77777777">
      <w:pPr>
        <w:pStyle w:val="BodyText"/>
        <w:ind w:left="567"/>
        <w:rPr>
          <w:i/>
          <w:iCs/>
        </w:rPr>
      </w:pPr>
    </w:p>
    <w:p w14:paraId="7AE538ED" w14:textId="4CFA3BCA">
      <w:pPr>
        <w:pStyle w:val="BodyText"/>
        <w:jc w:val="right"/>
      </w:pPr>
      <w:r>
        <w:t xml:space="preserve">(Artikel 7.1 a i direktiv (EU) 2015/1535).</w:t>
      </w:r>
    </w:p>
    <w:p w14:paraId="7807BF7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C483B06" w14:textId="24AB8D26">
      <w:pPr>
        <w:pStyle w:val="P68B1DB1-Normal13"/>
        <w:widowControl w:val="0"/>
        <w:autoSpaceDE w:val="0"/>
        <w:autoSpaceDN w:val="0"/>
        <w:spacing w:after="0" w:line="240" w:lineRule="auto"/>
        <w:jc w:val="both"/>
        <w:outlineLvl w:val="1"/>
      </w:pPr>
      <w:hyperlink r:id="rId87" w:history="1">
        <w:r>
          <w:rPr>
            <w:color w:val="0000FF"/>
            <w:u w:val="single"/>
          </w:rPr>
          <w:t xml:space="preserve">Domstolens dom av den 17 september 1996</w:t>
        </w:r>
      </w:hyperlink>
      <w:r>
        <w:t xml:space="preserve"> i mål C-289/94, kommissionen mot Italien, punkterna 43–45.</w:t>
      </w:r>
      <w:bookmarkEnd w:id="154"/>
    </w:p>
    <w:p w14:paraId="5A0D4173"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4994C4AC" w14:textId="06B0EF04">
      <w:pPr>
        <w:pStyle w:val="P68B1DB1-Normal14"/>
        <w:widowControl w:val="0"/>
        <w:tabs>
          <w:tab w:val="left" w:pos="393"/>
          <w:tab w:val="left" w:pos="396"/>
        </w:tabs>
        <w:autoSpaceDE w:val="0"/>
        <w:autoSpaceDN w:val="0"/>
        <w:spacing w:after="0" w:line="240" w:lineRule="auto"/>
        <w:jc w:val="both"/>
      </w:pPr>
      <w:r>
        <w:t xml:space="preserve">För att en nationell åtgärd ska kunna betraktas som en införlivandeåtgärd som är undantagen från anmälningsskyldigheten måste det finnas ett direkt samband med en bindande gemenskapsrättsakt. </w:t>
      </w:r>
    </w:p>
    <w:p w14:paraId="6B49E9E7"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i/>
          <w:iCs/>
          <w:sz w:val="20"/>
          <w:szCs w:val="16"/>
        </w:rPr>
      </w:pPr>
    </w:p>
    <w:p w14:paraId="433CF3E1" w14:textId="20EF3A37">
      <w:pPr>
        <w:pStyle w:val="P68B1DB1-Normal15"/>
        <w:widowControl w:val="0"/>
        <w:tabs>
          <w:tab w:val="left" w:pos="393"/>
          <w:tab w:val="left" w:pos="396"/>
        </w:tabs>
        <w:autoSpaceDE w:val="0"/>
        <w:autoSpaceDN w:val="0"/>
        <w:spacing w:after="0" w:line="240" w:lineRule="auto"/>
        <w:ind w:left="567"/>
        <w:jc w:val="both"/>
      </w:pPr>
      <w:r>
        <w:t xml:space="preserve">”43. Direktiv 91/492 innehåller för sin del mycket mer omfattande bestämmelser om saluföring inte bara av musslor utan även av marina snäckor, manteldjur och tagghudingar. Där uppställs nämligen nya krav på alla skeden av upptagande, hantering, lagring, transport och distribution av blötdjur, samtidigt som där även inrättas ett system för registrering och märkning som gör det möjligt att i hälsoskyddssyfte spåra ursprunget av varje parti. </w:t>
      </w:r>
    </w:p>
    <w:p w14:paraId="7B3D1E4A" w14:textId="77777777">
      <w:pPr>
        <w:pStyle w:val="P68B1DB1-Normal15"/>
        <w:widowControl w:val="0"/>
        <w:tabs>
          <w:tab w:val="left" w:pos="393"/>
          <w:tab w:val="left" w:pos="396"/>
        </w:tabs>
        <w:autoSpaceDE w:val="0"/>
        <w:autoSpaceDN w:val="0"/>
        <w:spacing w:after="0" w:line="240" w:lineRule="auto"/>
        <w:ind w:left="567"/>
        <w:jc w:val="both"/>
      </w:pPr>
    </w:p>
    <w:p w14:paraId="48887BBE" w14:textId="149910F2">
      <w:pPr>
        <w:pStyle w:val="P68B1DB1-Normal15"/>
        <w:widowControl w:val="0"/>
        <w:tabs>
          <w:tab w:val="left" w:pos="393"/>
          <w:tab w:val="left" w:pos="396"/>
        </w:tabs>
        <w:autoSpaceDE w:val="0"/>
        <w:autoSpaceDN w:val="0"/>
        <w:spacing w:after="0" w:line="240" w:lineRule="auto"/>
        <w:ind w:left="567"/>
        <w:jc w:val="both"/>
      </w:pPr>
      <w:r>
        <w:t xml:space="preserve">44. Avsaknaden av ett direkt samband mellan direktiv 91/492 och de två aktuella dekreten bekräftas dessutom av den italienska regeringens påstående att detta direktiv har införlivats med italiensk rätt genom ovannämnda lagstiftningsdekret nr 530 av den 30 december 1992, vilket, såsom den själv har anfört, utgör den enda åtgärden för införlivande av direktiv 91/492 och för vilket kommissionen den 27 januari 1993 avgav ett detaljerat utlåtande där den kritiserade detta dekret, eftersom det var tillämpligt på ett annat toxin (NSP) som inte omfattades av direktiv 91/492. </w:t>
      </w:r>
    </w:p>
    <w:p w14:paraId="19342BDA" w14:textId="77777777">
      <w:pPr>
        <w:pStyle w:val="P68B1DB1-Normal15"/>
        <w:widowControl w:val="0"/>
        <w:tabs>
          <w:tab w:val="left" w:pos="393"/>
          <w:tab w:val="left" w:pos="396"/>
        </w:tabs>
        <w:autoSpaceDE w:val="0"/>
        <w:autoSpaceDN w:val="0"/>
        <w:spacing w:after="0" w:line="240" w:lineRule="auto"/>
        <w:ind w:left="567"/>
        <w:jc w:val="both"/>
      </w:pPr>
    </w:p>
    <w:p w14:paraId="1A450F93" w14:textId="4F2BD9E6">
      <w:pPr>
        <w:pStyle w:val="P68B1DB1-Normal15"/>
        <w:widowControl w:val="0"/>
        <w:tabs>
          <w:tab w:val="left" w:pos="393"/>
          <w:tab w:val="left" w:pos="396"/>
        </w:tabs>
        <w:autoSpaceDE w:val="0"/>
        <w:autoSpaceDN w:val="0"/>
        <w:spacing w:after="0" w:line="240" w:lineRule="auto"/>
        <w:ind w:left="567"/>
        <w:jc w:val="both"/>
      </w:pPr>
      <w:r>
        <w:t xml:space="preserve">45. Eftersom de inte utgör åtgärder för införlivande av direktiv 91/492 som kan motivera tillämpningen av artikel 10 i direktiv 83/189, måste dekret nr 257 av den 1 augusti 1990 och dekretet av den 1 september 1990 anmälas till kommissionen i enlighet med artikel 8 i sistnämnda direktiv. ”</w:t>
      </w:r>
    </w:p>
    <w:p w14:paraId="0EB5A280" w14:textId="77777777">
      <w:pPr>
        <w:pStyle w:val="P68B1DB1-Normal15"/>
        <w:widowControl w:val="0"/>
        <w:tabs>
          <w:tab w:val="left" w:pos="393"/>
          <w:tab w:val="left" w:pos="396"/>
        </w:tabs>
        <w:autoSpaceDE w:val="0"/>
        <w:autoSpaceDN w:val="0"/>
        <w:spacing w:after="0" w:line="240" w:lineRule="auto"/>
        <w:ind w:left="567"/>
        <w:jc w:val="both"/>
        <w:rPr>
          <w:iCs/>
        </w:rPr>
      </w:pPr>
    </w:p>
    <w:p w14:paraId="667344E1" w14:textId="52345967">
      <w:pPr>
        <w:pStyle w:val="P68B1DB1-Normal13"/>
        <w:widowControl w:val="0"/>
        <w:autoSpaceDE w:val="0"/>
        <w:autoSpaceDN w:val="0"/>
        <w:spacing w:after="0" w:line="240" w:lineRule="auto"/>
        <w:jc w:val="both"/>
        <w:outlineLvl w:val="1"/>
      </w:pPr>
      <w:hyperlink r:id="rId88" w:history="1">
        <w:r>
          <w:rPr>
            <w:color w:val="0000FF"/>
            <w:u w:val="single"/>
          </w:rPr>
          <w:t xml:space="preserve">Dom av den 26 september 2000</w:t>
        </w:r>
      </w:hyperlink>
      <w:r>
        <w:t xml:space="preserve"> i mål C-443/98, Unilever, punkterna 28 och 29.</w:t>
      </w:r>
      <w:bookmarkEnd w:id="155"/>
    </w:p>
    <w:p w14:paraId="6F265AB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72ABF8" w14:textId="6CA475E3">
      <w:pPr>
        <w:pStyle w:val="P68B1DB1-Normal14"/>
        <w:widowControl w:val="0"/>
        <w:autoSpaceDE w:val="0"/>
        <w:autoSpaceDN w:val="0"/>
        <w:spacing w:after="0" w:line="240" w:lineRule="auto"/>
        <w:jc w:val="both"/>
      </w:pPr>
      <w:r>
        <w:t xml:space="preserve">När medlemsstaterna har ett stort utrymme för skönsmässig bedömning vid införlivandet av ett unionsdirektiv, kan nationella åtgärder som vidtas i detta syfte inte betraktas som nationella bestämmelser ”som är förenliga med en bindande gemenskapsrättsakt”.</w:t>
      </w:r>
    </w:p>
    <w:p w14:paraId="233C173F" w14:textId="77777777">
      <w:pPr>
        <w:widowControl w:val="0"/>
        <w:autoSpaceDE w:val="0"/>
        <w:autoSpaceDN w:val="0"/>
        <w:spacing w:after="0" w:line="240" w:lineRule="auto"/>
        <w:jc w:val="both"/>
        <w:rPr>
          <w:rFonts w:ascii="Times New Roman" w:hAnsi="Times New Roman" w:cs="Times New Roman" w:eastAsia="Times New Roman"/>
          <w:szCs w:val="20"/>
        </w:rPr>
      </w:pPr>
    </w:p>
    <w:p w14:paraId="4D09BAA2" w14:textId="2C7E5999">
      <w:pPr>
        <w:pStyle w:val="P68B1DB1-Normal15"/>
        <w:widowControl w:val="0"/>
        <w:autoSpaceDE w:val="0"/>
        <w:autoSpaceDN w:val="0"/>
        <w:spacing w:after="0" w:line="240" w:lineRule="auto"/>
        <w:ind w:left="567"/>
        <w:jc w:val="both"/>
      </w:pPr>
      <w:r>
        <w:t xml:space="preserve">”28. För det andra har den italienska regeringen gjort gällande att den omtvistade lagen var undantagen från anmälningsskyldigheten enligt artikel 10 i direktiv 83/189, eftersom den antogs i enlighet med rådets direktiv 79/112/EEG av den 18 december 1978 om tillnärmning av medlemsstaternas lagstiftning om märkning och presentation av livsmedel samt om reklam för livsmedel (EGT L 1979, 33, s. 1). Enligt artikel 3.1 (7) i direktivet ska produktens ursprungs- eller härkomstplats anges på etiketten, om utelämnandet av sådan information skulle kunna vilseleda konsumenterna om livsmedlets verkliga ursprung eller härkomst.</w:t>
      </w:r>
    </w:p>
    <w:p w14:paraId="0949ABBA" w14:textId="77777777">
      <w:pPr>
        <w:pStyle w:val="P68B1DB1-Normal15"/>
        <w:widowControl w:val="0"/>
        <w:autoSpaceDE w:val="0"/>
        <w:autoSpaceDN w:val="0"/>
        <w:spacing w:after="0" w:line="240" w:lineRule="auto"/>
        <w:ind w:left="567"/>
        <w:jc w:val="both"/>
      </w:pPr>
    </w:p>
    <w:p w14:paraId="7E20C2A2" w14:textId="32F76FBD">
      <w:pPr>
        <w:pStyle w:val="P68B1DB1-Normal15"/>
        <w:widowControl w:val="0"/>
        <w:autoSpaceDE w:val="0"/>
        <w:autoSpaceDN w:val="0"/>
        <w:spacing w:after="0" w:line="240" w:lineRule="auto"/>
        <w:ind w:left="567"/>
        <w:jc w:val="both"/>
      </w:pPr>
      <w:r>
        <w:t xml:space="preserve">29. Dessa argument kan inte godtas. Såsom kommissionen har påpekat ger denna bestämmelse i direktiv 79/112, som är allmänt formulerad, medlemsstaterna ett tillräckligt handlingsutrymme för att dra slutsatsen att sådana nationella bestämmelser om ursprungsmärkning som de som antagits i den omtvistade lagen inte kan anses vara nationella bestämmelser som är förenliga med en bindande gemenskapsrättsakt i den mening som avses i artikel 10.1 första strecksatsen i direktiv 83/189. ”</w:t>
      </w:r>
    </w:p>
    <w:p w14:paraId="49D7BF4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4D10AEF" w14:textId="6F48CDC6">
      <w:pPr>
        <w:pStyle w:val="P68B1DB1-Normal13"/>
        <w:widowControl w:val="0"/>
        <w:autoSpaceDE w:val="0"/>
        <w:autoSpaceDN w:val="0"/>
        <w:spacing w:after="0" w:line="240" w:lineRule="auto"/>
        <w:jc w:val="both"/>
        <w:outlineLvl w:val="1"/>
      </w:pPr>
      <w:hyperlink r:id="rId89" w:history="1">
        <w:r>
          <w:rPr>
            <w:color w:val="0000FF"/>
            <w:u w:val="single"/>
          </w:rPr>
          <w:t xml:space="preserve">Dom av den 22 januari 2000</w:t>
        </w:r>
      </w:hyperlink>
      <w:r>
        <w:t xml:space="preserve"> i mål C-390/99, Canal Satélite Digital, punkt 48.</w:t>
      </w:r>
      <w:bookmarkEnd w:id="156"/>
    </w:p>
    <w:p w14:paraId="129D695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DFD60C" w14:textId="77777777">
      <w:pPr>
        <w:pStyle w:val="P68B1DB1-Normal14"/>
        <w:widowControl w:val="0"/>
        <w:tabs>
          <w:tab w:val="left" w:pos="396"/>
          <w:tab w:val="left" w:pos="405"/>
        </w:tabs>
        <w:autoSpaceDE w:val="0"/>
        <w:autoSpaceDN w:val="0"/>
        <w:spacing w:after="0" w:line="240" w:lineRule="auto"/>
        <w:jc w:val="both"/>
      </w:pPr>
      <w:r>
        <w:t xml:space="preserve">Nationella bestämmelser som införlivar bindande gemenskapsbestämmelser som innehåller ”tekniska specifikationer” omfattas inte av anmälningsskyldigheten, förutsatt att de är strikt begränsade till ett sådant införlivande.</w:t>
      </w:r>
    </w:p>
    <w:p w14:paraId="15236C38" w14:textId="77777777">
      <w:pPr>
        <w:pStyle w:val="P68B1DB1-Normal15"/>
        <w:widowControl w:val="0"/>
        <w:tabs>
          <w:tab w:val="left" w:pos="396"/>
          <w:tab w:val="left" w:pos="405"/>
        </w:tabs>
        <w:autoSpaceDE w:val="0"/>
        <w:autoSpaceDN w:val="0"/>
        <w:spacing w:after="0" w:line="240" w:lineRule="auto"/>
        <w:ind w:left="567" w:hanging="142"/>
        <w:jc w:val="both"/>
        <w:rPr>
          <w:iCs/>
        </w:rPr>
      </w:pPr>
      <w:r>
        <w:t xml:space="preserve">    </w:t>
      </w:r>
    </w:p>
    <w:p w14:paraId="6015C260" w14:textId="48904931">
      <w:pPr>
        <w:pStyle w:val="P68B1DB1-Normal15"/>
        <w:widowControl w:val="0"/>
        <w:tabs>
          <w:tab w:val="left" w:pos="396"/>
          <w:tab w:val="left" w:pos="405"/>
        </w:tabs>
        <w:autoSpaceDE w:val="0"/>
        <w:autoSpaceDN w:val="0"/>
        <w:spacing w:after="0" w:line="240" w:lineRule="auto"/>
        <w:ind w:left="567"/>
        <w:jc w:val="both"/>
      </w:pPr>
      <w:r>
        <w:t xml:space="preserve">”48. Vad gäller den andra delen av den tredje frågan, som avser meddelandeskyldigheten enligt artikel 8 i direktiv 83/189, följer det av artikel 10 i nämnda direktiv att artiklarna 8 och 9 inte är tillämpliga på de lagar och andra författningar i medlemsstaterna eller de frivilliga överenskommelser genom vilka medlemsstaterna rättar sig efter de bindande gemenskapsrättsakter som leder till att tekniska specifikationer antas. I den mån den nationella lagstiftning som är i fråga i målet vid den nationella domstolen införlivar direktiv 95/47, och endast i detta avseende, föreligger således inte någon anmälningsskyldighet enligt direktiv 83/189. ”</w:t>
      </w:r>
    </w:p>
    <w:p w14:paraId="0E6C95FC"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i/>
          <w:iCs/>
          <w:sz w:val="20"/>
          <w:szCs w:val="16"/>
        </w:rPr>
      </w:pPr>
    </w:p>
    <w:p w14:paraId="6306D56B" w14:textId="28E735BF">
      <w:pPr>
        <w:pStyle w:val="P68B1DB1-Normal13"/>
        <w:widowControl w:val="0"/>
        <w:autoSpaceDE w:val="0"/>
        <w:autoSpaceDN w:val="0"/>
        <w:spacing w:after="0" w:line="240" w:lineRule="auto"/>
        <w:jc w:val="both"/>
        <w:outlineLvl w:val="1"/>
      </w:pPr>
      <w:hyperlink r:id="rId90" w:history="1">
        <w:r>
          <w:rPr>
            <w:color w:val="0000FF"/>
            <w:u w:val="single"/>
          </w:rPr>
          <w:t xml:space="preserve">Domstolens dom av den 8 september 2005</w:t>
        </w:r>
      </w:hyperlink>
      <w:r>
        <w:t xml:space="preserve"> i mål C-500/03, kommissionen mot Portugal, punkterna 34 och 35.</w:t>
      </w:r>
      <w:bookmarkEnd w:id="157"/>
    </w:p>
    <w:p w14:paraId="183658EB"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630E23D4" w14:textId="570B0609">
      <w:pPr>
        <w:widowControl w:val="0"/>
        <w:tabs>
          <w:tab w:val="left" w:pos="467"/>
        </w:tabs>
        <w:autoSpaceDE w:val="0"/>
        <w:autoSpaceDN w:val="0"/>
        <w:spacing w:after="0" w:line="240" w:lineRule="auto"/>
        <w:jc w:val="both"/>
        <w:rPr>
          <w:rFonts w:ascii="Times New Roman" w:hAnsi="Times New Roman" w:cs="Times New Roman" w:eastAsia="Times New Roman"/>
          <w:szCs w:val="20"/>
        </w:rPr>
        <w:pStyle w:val="P68B1DB1-Normal14"/>
      </w:pPr>
      <w:r>
        <w:t xml:space="preserve">Nationella bestämmelser om fritidsbåtars egenskaper kan inte omfattas av det undantag från anmälningsskyldigheten som är förbehållet införlivande, eftersom det direktiv som åberopas ger medlemsstaterna frihet att fastställa de villkor som de anser nödvändiga för att skydda miljön, vattenvägarnas utformning och säkerhet.</w:t>
      </w:r>
    </w:p>
    <w:p w14:paraId="4D369937"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0FD9A15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(Eftersom domen endast finns tillgänglig på franska och portugisiska är följande text en översättning.)</w:t>
      </w:r>
    </w:p>
    <w:p w14:paraId="6FE719E7" w14:textId="77777777">
      <w:pPr>
        <w:pStyle w:val="P68B1DB1-Normal31"/>
        <w:widowControl w:val="0"/>
        <w:tabs>
          <w:tab w:val="left" w:pos="396"/>
          <w:tab w:val="left" w:pos="405"/>
        </w:tabs>
        <w:autoSpaceDE w:val="0"/>
        <w:autoSpaceDN w:val="0"/>
        <w:spacing w:after="0" w:line="240" w:lineRule="auto"/>
        <w:ind w:left="567"/>
        <w:jc w:val="both"/>
      </w:pPr>
    </w:p>
    <w:p w14:paraId="747BC5AF" w14:textId="6053190E">
      <w:pPr>
        <w:pStyle w:val="P68B1DB1-Normal31"/>
        <w:widowControl w:val="0"/>
        <w:tabs>
          <w:tab w:val="left" w:pos="396"/>
          <w:tab w:val="left" w:pos="405"/>
        </w:tabs>
        <w:autoSpaceDE w:val="0"/>
        <w:autoSpaceDN w:val="0"/>
        <w:spacing w:after="0" w:line="240" w:lineRule="auto"/>
        <w:ind w:left="567"/>
        <w:jc w:val="both"/>
        <w:rPr>
          <w:iCs/>
        </w:rPr>
      </w:pPr>
      <w:r>
        <w:t xml:space="preserve">”34. [...] Medlemsstaterna har rätt enligt artikel 2.2 i direktiv 94/25 att på nationell nivå fastställa de villkor som de anser nödvändiga för sjöfarten i vissa vatten för att skydda miljön och vattenvägarnas struktur och för att säkerställa säkerheten i dessa vatten. Dessa nationella bestämmelser kan emellertid inte under några omständigheter anses ha antagits i syfte att iaktta en bindande gemenskapsrättsakt.</w:t>
      </w:r>
    </w:p>
    <w:p w14:paraId="4B5BC30F" w14:textId="77777777">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pPr>
        <w:pStyle w:val="P68B1DB1-Normal31"/>
        <w:widowControl w:val="0"/>
        <w:tabs>
          <w:tab w:val="left" w:pos="396"/>
          <w:tab w:val="left" w:pos="405"/>
        </w:tabs>
        <w:autoSpaceDE w:val="0"/>
        <w:autoSpaceDN w:val="0"/>
        <w:spacing w:after="0" w:line="240" w:lineRule="auto"/>
        <w:ind w:left="567"/>
        <w:jc w:val="both"/>
      </w:pPr>
      <w:r>
        <w:t xml:space="preserve">35. Härav följer att förordningen om sjöfart i laguner, som inför tekniska begränsningar för fritidsbåtar i enlighet med artikel 2.2 i direktiv 94/25, inte omfattas av tillämpningsområdet för artikel 10.1 första strecksatsen i direktiv 98/34. ”</w:t>
      </w:r>
    </w:p>
    <w:p w14:paraId="7D5DF054" w14:textId="4AE1CCCE">
      <w:pPr>
        <w:spacing w:after="0" w:line="278" w:lineRule="auto"/>
        <w:rPr>
          <w:rFonts w:ascii="Times New Roman" w:hAnsi="Times New Roman" w:cs="Times New Roman" w:eastAsia="Times New Roman"/>
          <w:i/>
          <w:iCs/>
          <w:sz w:val="20"/>
          <w:szCs w:val="16"/>
        </w:rPr>
      </w:pPr>
      <w:r>
        <w:br w:type="page"/>
      </w:r>
    </w:p>
    <w:p w14:paraId="17D9CF1D" w14:textId="0805DD41">
      <w:pPr>
        <w:pStyle w:val="P68B1DB1-Heading24"/>
        <w:numPr>
          <w:ilvl w:val="0"/>
          <w:numId w:val="37"/>
        </w:numPr>
        <w:spacing w:before="0" w:after="0"/>
        <w:jc w:val="center"/>
        <w:rPr>
          <w:bCs/>
          <w:color w:val="auto"/>
        </w:rPr>
      </w:pPr>
      <w:bookmarkStart w:id="158" w:name="_Ref195517548"/>
      <w:bookmarkStart w:id="159" w:name="_Toc203035681"/>
      <w:r>
        <w:t xml:space="preserve">Användning av en skyddsklausul</w:t>
      </w:r>
      <w:bookmarkEnd w:id="158"/>
      <w:bookmarkEnd w:id="159"/>
    </w:p>
    <w:p w14:paraId="19EB441C" w14:textId="77777777">
      <w:pPr>
        <w:pStyle w:val="BodyText"/>
        <w:ind w:left="567"/>
      </w:pPr>
    </w:p>
    <w:p w14:paraId="3421D751" w14:textId="45643AD7">
      <w:pPr>
        <w:pStyle w:val="P68B1DB1-BodyText11"/>
        <w:ind w:left="567"/>
        <w:rPr>
          <w:iCs/>
        </w:rPr>
      </w:pPr>
      <w:r>
        <w:t xml:space="preserve">”Artiklarna 5 och 6 </w:t>
      </w:r>
      <w:r>
        <w:rPr>
          <w:i w:val="0"/>
        </w:rPr>
        <w:t xml:space="preserve">[om anmälningsskyldighet och frysningsperiod] </w:t>
      </w:r>
      <w:r>
        <w:t xml:space="preserve">ska inte tillämpas på de lagar och andra författningar i medlemsstaterna eller frivilliga överenskommelser genom vilka medlemsstaterna </w:t>
      </w:r>
    </w:p>
    <w:p w14:paraId="034842B2" w14:textId="40165944">
      <w:pPr>
        <w:pStyle w:val="P68B1DB1-BodyText11"/>
        <w:ind w:left="1134" w:firstLine="306"/>
        <w:rPr>
          <w:iCs/>
        </w:rPr>
      </w:pPr>
      <w:r>
        <w:t>[...]</w:t>
      </w:r>
    </w:p>
    <w:p w14:paraId="412F859B" w14:textId="2872F60B">
      <w:pPr>
        <w:pStyle w:val="P68B1DB1-BodyText11"/>
        <w:ind w:left="1287" w:firstLine="153"/>
        <w:rPr>
          <w:iCs/>
        </w:rPr>
      </w:pPr>
      <w:r>
        <w:t xml:space="preserve">(c) Användning av skyddsklausuler som föreskrivs i bindande unionsakter. ”</w:t>
      </w:r>
    </w:p>
    <w:p w14:paraId="3AF0BFA4" w14:textId="77777777">
      <w:pPr>
        <w:pStyle w:val="P68B1DB1-BodyText11"/>
        <w:ind w:left="567"/>
        <w:rPr>
          <w:iCs/>
        </w:rPr>
      </w:pPr>
    </w:p>
    <w:p w14:paraId="6099E717" w14:textId="6C5840E7">
      <w:pPr>
        <w:pStyle w:val="BodyText"/>
        <w:jc w:val="right"/>
      </w:pPr>
      <w:r>
        <w:t xml:space="preserve">(Artikel 7.1 c i direktiv (EU) 2015/1535).</w:t>
      </w:r>
    </w:p>
    <w:p w14:paraId="0B43480F" w14:textId="77777777">
      <w:pPr>
        <w:pStyle w:val="BodyText"/>
        <w:jc w:val="right"/>
      </w:pPr>
    </w:p>
    <w:p w14:paraId="2F300DBD" w14:textId="39C2EC6A">
      <w:pPr>
        <w:pStyle w:val="P68B1DB1-BodyText11"/>
        <w:ind w:left="567"/>
        <w:rPr>
          <w:iCs/>
        </w:rPr>
      </w:pPr>
      <w:r>
        <w:t xml:space="preserve">”De ovannämnda harmoniseringsåtgärderna ska vid behov omfatta en skyddsklausul som tillåter medlemsstaterna att på en eller flera av de icke-ekonomiska grunder som anges i artikel 36 vidta provisoriska åtgärder, som ska vara underkastade ett kontrollförfarande från unionens sida.”</w:t>
      </w:r>
    </w:p>
    <w:p w14:paraId="618BDE87" w14:textId="77777777">
      <w:pPr>
        <w:pStyle w:val="BodyText"/>
        <w:jc w:val="right"/>
      </w:pPr>
    </w:p>
    <w:p w14:paraId="4DE4DD33" w14:textId="77777777">
      <w:pPr>
        <w:pStyle w:val="BodyText"/>
        <w:jc w:val="right"/>
      </w:pPr>
      <w:r>
        <w:t xml:space="preserve">(Artikel 114.10 i EUF-fördraget)</w:t>
      </w:r>
    </w:p>
    <w:p w14:paraId="1738F0ED" w14:textId="77777777">
      <w:pPr>
        <w:widowControl w:val="0"/>
        <w:autoSpaceDE w:val="0"/>
        <w:autoSpaceDN w:val="0"/>
        <w:spacing w:after="0" w:line="240" w:lineRule="auto"/>
        <w:jc w:val="both"/>
        <w:outlineLvl w:val="1"/>
      </w:pPr>
    </w:p>
    <w:p w14:paraId="1204158B" w14:textId="77777777">
      <w:pPr>
        <w:pStyle w:val="P68B1DB1-Normal13"/>
        <w:widowControl w:val="0"/>
        <w:autoSpaceDE w:val="0"/>
        <w:autoSpaceDN w:val="0"/>
        <w:spacing w:after="0" w:line="240" w:lineRule="auto"/>
        <w:jc w:val="both"/>
        <w:outlineLvl w:val="1"/>
      </w:pPr>
      <w:hyperlink r:id="rId91" w:history="1">
        <w:r>
          <w:rPr>
            <w:color w:val="0000FF"/>
            <w:u w:val="single"/>
          </w:rPr>
          <w:t xml:space="preserve">Domstolens dom av den 8 september 2005</w:t>
        </w:r>
      </w:hyperlink>
      <w:r>
        <w:t xml:space="preserve"> i mål C-500/03, kommissionen mot Portugal, punkterna 34 och 35.</w:t>
      </w:r>
      <w:bookmarkEnd w:id="160"/>
    </w:p>
    <w:p w14:paraId="41BB4299"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35A522BC" w14:textId="2746C9C6">
      <w:pPr>
        <w:pStyle w:val="P68B1DB1-Normal14"/>
        <w:widowControl w:val="0"/>
        <w:tabs>
          <w:tab w:val="left" w:pos="467"/>
        </w:tabs>
        <w:autoSpaceDE w:val="0"/>
        <w:autoSpaceDN w:val="0"/>
        <w:spacing w:after="0" w:line="240" w:lineRule="auto"/>
        <w:jc w:val="both"/>
      </w:pPr>
      <w:r>
        <w:t xml:space="preserve">Nationella bestämmelser om permanenta åtgärder kan inte omfattas av det undantag från anmälningsskyldigheten som är förbehållet skyddsklausuler, eftersom de sistnämnda per definition endast omfattar provisoriska åtgärder.</w:t>
      </w:r>
    </w:p>
    <w:p w14:paraId="5FE003FC"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3005B5D0" w14:textId="1B50DC69">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(Eftersom domen endast finns tillgänglig på franska och portugisiska är följande text en översättning.)</w:t>
      </w:r>
    </w:p>
    <w:p w14:paraId="3BBB6CDB"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5FBF5694" w14:textId="0105632E">
      <w:pPr>
        <w:pStyle w:val="P68B1DB1-BodyText25"/>
        <w:ind w:left="567"/>
        <w:rPr>
          <w:iCs/>
        </w:rPr>
      </w:pPr>
      <w:r>
        <w:t xml:space="preserve">”39. Eftersom förevarande talan om fördragsbrott är begränsad till en talan om fördragsbrott, är det tillräckligt att erinra om att domstolen redan har slagit fast att medlemsstaterna enligt artikel 8.1 i direktiv 98/34 är skyldiga att omedelbart underrätta kommissionen om alla förslag till tekniska föreskrifter (se, för ett liknande resonemang, dom av den 2 augusti 1993 i mål C-139/92, kommissionen mot Italien, REG 4707, s. I-3, punkt 31, och dom av den 11 januari 1996 i mål C-273/94, kommissionen mot Nederländerna, REG 15, s. I-, punkt, och dom av den i mål, kommissionen mot Nederländerna, REG, s. I-, punkt).</w:t>
      </w:r>
    </w:p>
    <w:p w14:paraId="4A696586" w14:textId="77777777">
      <w:pPr>
        <w:pStyle w:val="BodyText"/>
        <w:ind w:left="567"/>
        <w:rPr>
          <w:i/>
          <w:iCs/>
          <w:sz w:val="20"/>
          <w:szCs w:val="16"/>
        </w:rPr>
      </w:pPr>
    </w:p>
    <w:p w14:paraId="7FC8797C" w14:textId="46BA7B1B">
      <w:pPr>
        <w:pStyle w:val="P68B1DB1-BodyText25"/>
        <w:ind w:left="567"/>
        <w:jc w:val="left"/>
      </w:pPr>
      <w:r>
        <w:t xml:space="preserve">40. Eftersom de relevanta bestämmelserna i dekret nr 783/98 utgör tekniska föreskrifter i den mening som avses i direktiv 98/34, såsom framgår av punkt 31 i förevarande dom, var Republiken Portugal skyldig att anmäla dem i form av ett utkast i enlighet med artikel 8.1 i direktiv 98/34 (se, för ett liknande resonemang, beträffande bestämmelser liknande dem i direktiv 98/34, dom av den 7 maj 1998 i mål C-145/97, kommissionen mot Belgien, REG 2643, s. I-13, punkt 43, och dom av den 21 april 2005 i mål C-267/03, Lindberg, REG, s. I-, punkt). ”</w:t>
      </w:r>
    </w:p>
    <w:p w14:paraId="4127997B" w14:textId="77777777">
      <w:pPr>
        <w:pStyle w:val="BodyText"/>
        <w:jc w:val="left"/>
      </w:pPr>
    </w:p>
    <w:p w14:paraId="74FE5E6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92" w:history="1">
        <w:r>
          <w:rPr>
            <w:color w:val="0000FF"/>
            <w:u w:val="single"/>
          </w:rPr>
          <w:t xml:space="preserve">Domstolens dom av den 8 oktober 2020</w:t>
        </w:r>
      </w:hyperlink>
      <w:r>
        <w:t xml:space="preserve"> i mål C-514/19, Union des industries de la protection des plantes, punkterna 46 och 47.</w:t>
      </w:r>
      <w:bookmarkEnd w:id="161"/>
      <w:r>
        <w:t xml:space="preserve"> </w:t>
      </w:r>
    </w:p>
    <w:p w14:paraId="4EFFE1E6" w14:textId="09D2A0BD">
      <w:pPr>
        <w:widowControl w:val="0"/>
        <w:autoSpaceDE w:val="0"/>
        <w:autoSpaceDN w:val="0"/>
        <w:spacing w:after="0" w:line="240" w:lineRule="auto"/>
        <w:jc w:val="both"/>
        <w:outlineLvl w:val="1"/>
        <w:rPr>
          <w:rFonts w:ascii="Times New Roman" w:hAnsi="Times New Roman" w:cs="Times New Roman" w:eastAsia="Times New Roman"/>
          <w:b/>
          <w:i/>
          <w:szCs w:val="20"/>
        </w:rPr>
      </w:pPr>
      <w:bookmarkStart w:id="162" w:name="_Toc198043891"/>
      <w:r>
        <w:rPr>
          <w:rFonts w:ascii="Times New Roman" w:hAnsi="Times New Roman" w:cs="Times New Roman" w:eastAsia="Times New Roman"/>
          <w:b/>
          <w:i/>
          <w:szCs w:val="20"/>
        </w:rPr>
        <w:t xml:space="preserve">(med hänvisning till </w:t>
      </w:r>
      <w:hyperlink r:id="rId93" w:history="1">
        <w:r>
          <w:rPr>
            <w:rStyle w:val="Hyperlink"/>
            <w:rFonts w:ascii="Times New Roman" w:hAnsi="Times New Roman" w:cs="Times New Roman" w:eastAsia="Times New Roman"/>
            <w:b/>
            <w:i/>
            <w:color w:val="0000FF"/>
            <w:szCs w:val="20"/>
          </w:rPr>
          <w:t xml:space="preserve">generaladvokatens förslag till avgörande i det ovannämnda målet Kokott</w:t>
        </w:r>
      </w:hyperlink>
      <w:r>
        <w:rPr>
          <w:rFonts w:ascii="Times New Roman" w:hAnsi="Times New Roman" w:cs="Times New Roman" w:eastAsia="Times New Roman"/>
          <w:b/>
          <w:i/>
          <w:szCs w:val="20"/>
        </w:rPr>
        <w:t xml:space="preserve">, punkt 58)</w:t>
      </w:r>
      <w:bookmarkEnd w:id="162"/>
    </w:p>
    <w:p w14:paraId="498A15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705E59" w14:textId="4AA22297">
      <w:pPr>
        <w:pStyle w:val="P68B1DB1-Normal14"/>
        <w:widowControl w:val="0"/>
        <w:autoSpaceDE w:val="0"/>
        <w:autoSpaceDN w:val="0"/>
        <w:spacing w:after="0" w:line="240" w:lineRule="auto"/>
        <w:jc w:val="both"/>
      </w:pPr>
      <w:r>
        <w:t xml:space="preserve">En klausul som motsvarar definitionen i artikel 114 i fördraget om Europeiska unionens funktionssätt är en skyddsklausul, även om den inte nämns i den rättsakt genom vilken den föreskrivs. Den omfattas därför av ett undantag från anmälningsskyldigheten.</w:t>
      </w:r>
    </w:p>
    <w:p w14:paraId="1CAE009C" w14:textId="77777777">
      <w:pPr>
        <w:widowControl w:val="0"/>
        <w:autoSpaceDE w:val="0"/>
        <w:autoSpaceDN w:val="0"/>
        <w:spacing w:after="0" w:line="240" w:lineRule="auto"/>
        <w:jc w:val="both"/>
        <w:rPr>
          <w:rFonts w:ascii="Times New Roman" w:hAnsi="Times New Roman" w:cs="Times New Roman" w:eastAsia="Times New Roman"/>
          <w:szCs w:val="20"/>
        </w:rPr>
      </w:pPr>
    </w:p>
    <w:p w14:paraId="659EDCBA" w14:textId="7C97939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32"/>
      </w:pPr>
      <w:r>
        <w:t xml:space="preserve">(Domstolens dom)</w:t>
      </w:r>
      <w:r>
        <w:rPr>
          <w:i/>
        </w:rPr>
        <w:t xml:space="preserve"> ”46 [...] artikel 71.1 i denna förordning ska, såsom generaladvokaten har påpekat i punkt 58 i sitt förslag till avgörande, behandlas som en skyddsklausul</w:t>
      </w:r>
      <w:r>
        <w:t>.</w:t>
      </w:r>
    </w:p>
    <w:p w14:paraId="1A86B765" w14:textId="77777777">
      <w:pPr>
        <w:widowControl w:val="0"/>
        <w:autoSpaceDE w:val="0"/>
        <w:autoSpaceDN w:val="0"/>
        <w:spacing w:after="0" w:line="240" w:lineRule="auto"/>
        <w:ind w:left="567"/>
        <w:jc w:val="both"/>
        <w:rPr>
          <w:rFonts w:ascii="Times New Roman" w:hAnsi="Times New Roman" w:cs="Times New Roman" w:eastAsia="Times New Roman"/>
          <w:i/>
          <w:sz w:val="20"/>
          <w:szCs w:val="20"/>
        </w:rPr>
      </w:pPr>
    </w:p>
    <w:p w14:paraId="42FB846B" w14:textId="4A135D8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18"/>
      </w:pPr>
      <w:r>
        <w:t xml:space="preserve">47. Skillnaden mellan de förfaranden som föreskrivs i artikel 5 i direktivet respektive i artikel 71 i samma förordning bekräftas således av artikel 7.1 c i direktivet, i vilken det föreskrivs att artiklarna 5 och 6 i direktivet inte ska tillämpas på bestämmelser i medlemsstaterna genom vilka dessa tillämpar skyddsklausuler som föreskrivs i bindande unionsakter. ”</w:t>
      </w:r>
    </w:p>
    <w:p w14:paraId="285FA492" w14:textId="77777777">
      <w:pPr>
        <w:widowControl w:val="0"/>
        <w:autoSpaceDE w:val="0"/>
        <w:autoSpaceDN w:val="0"/>
        <w:spacing w:after="0" w:line="240" w:lineRule="auto"/>
        <w:ind w:left="567"/>
        <w:jc w:val="both"/>
        <w:rPr>
          <w:rFonts w:ascii="Times New Roman" w:hAnsi="Times New Roman" w:cs="Times New Roman" w:eastAsia="Times New Roman"/>
          <w:i/>
          <w:iCs/>
          <w:sz w:val="20"/>
          <w:szCs w:val="20"/>
        </w:rPr>
      </w:pPr>
    </w:p>
    <w:p w14:paraId="7FF60EBF" w14:textId="14EB520E">
      <w:pPr>
        <w:pStyle w:val="P68B1DB1-Normal32"/>
        <w:widowControl w:val="0"/>
        <w:autoSpaceDE w:val="0"/>
        <w:autoSpaceDN w:val="0"/>
        <w:spacing w:after="0" w:line="240" w:lineRule="auto"/>
        <w:ind w:left="567"/>
        <w:jc w:val="both"/>
        <w:rPr>
          <w:i/>
          <w:iCs/>
        </w:rPr>
      </w:pPr>
      <w:r>
        <w:t xml:space="preserve">(förslag till avgörande av generaladvokat Kokott)</w:t>
      </w:r>
      <w:r>
        <w:rPr>
          <w:i/>
        </w:rPr>
        <w:t xml:space="preserve"> </w:t>
      </w:r>
      <w:bookmarkStart w:id="163" w:name="point58"/>
      <w:r>
        <w:rPr>
          <w:i/>
        </w:rPr>
        <w:t>”</w:t>
      </w:r>
      <w:bookmarkEnd w:id="163"/>
      <w:r>
        <w:rPr>
          <w:i/>
        </w:rPr>
        <w:t xml:space="preserve">58.      Visserligen har artikel 71 i växtskyddsförordningen till skillnad från många jämförbara bestämmelser inte rubriken ”skyddsklausul”, men till sitt innehåll överensstämmer denna bestämmelse med definitionen av skyddsklausuler i artikel 114.10 FEUF. Den kan därför också betraktas som en skyddsklausul i den mening som avses i artikel 7.1 c i anmälningsdirektivet. ”</w:t>
      </w:r>
    </w:p>
    <w:p w14:paraId="09CE6B87" w14:textId="77777777">
      <w:pPr>
        <w:pStyle w:val="BodyText"/>
        <w:jc w:val="left"/>
      </w:pPr>
    </w:p>
    <w:p w14:paraId="34956999" w14:textId="0CAA93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94" w:history="1">
        <w:r>
          <w:rPr>
            <w:rStyle w:val="Hyperlink"/>
            <w:rFonts w:ascii="Times New Roman" w:hAnsi="Times New Roman" w:cs="Times New Roman" w:eastAsia="Times New Roman"/>
            <w:b/>
            <w:i/>
            <w:color w:val="0000FF"/>
            <w:szCs w:val="20"/>
          </w:rPr>
          <w:t xml:space="preserve">Dom av den 9 mars 2023</w:t>
        </w:r>
      </w:hyperlink>
      <w:r>
        <w:rPr>
          <w:rFonts w:ascii="Times New Roman" w:hAnsi="Times New Roman" w:cs="Times New Roman" w:eastAsia="Times New Roman"/>
          <w:b/>
          <w:i/>
          <w:szCs w:val="20"/>
        </w:rPr>
        <w:t xml:space="preserve"> i mål C 604/21, Vapo Atlantic</w:t>
        <w:noBreakHyphen/>
        <w:t xml:space="preserve">, punkterna 55–57.</w:t>
      </w:r>
      <w:bookmarkEnd w:id="164"/>
    </w:p>
    <w:p w14:paraId="6300E3F4" w14:textId="77777777">
      <w:pPr>
        <w:widowControl w:val="0"/>
        <w:autoSpaceDE w:val="0"/>
        <w:autoSpaceDN w:val="0"/>
        <w:spacing w:after="0" w:line="240" w:lineRule="auto"/>
        <w:jc w:val="both"/>
        <w:rPr>
          <w:rFonts w:ascii="Times New Roman" w:hAnsi="Times New Roman" w:cs="Times New Roman" w:eastAsia="Times New Roman"/>
          <w:szCs w:val="20"/>
        </w:rPr>
      </w:pPr>
    </w:p>
    <w:p w14:paraId="13992C07" w14:textId="74D47E48">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165" w:name="_Toc198043893"/>
      <w:r>
        <w:t xml:space="preserve">Ett undantag från anmälningsskyldigheten på grundval av en skyddsklausul är endast möjligt om den harmoniseringsakt som åberopas uttryckligen innehåller en klausul som motsvarar definitionen i artikel 114 i fördraget om Europeiska unionens funktionssätt.</w:t>
      </w:r>
      <w:bookmarkEnd w:id="165"/>
    </w:p>
    <w:p w14:paraId="701D9589"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pPr>
        <w:pStyle w:val="P68B1DB1-Normal20"/>
        <w:widowControl w:val="0"/>
        <w:autoSpaceDE w:val="0"/>
        <w:autoSpaceDN w:val="0"/>
        <w:spacing w:after="0" w:line="240" w:lineRule="auto"/>
        <w:ind w:left="567"/>
        <w:jc w:val="both"/>
        <w:outlineLvl w:val="1"/>
      </w:pPr>
      <w:bookmarkStart w:id="166" w:name="_Toc198043894"/>
      <w:r>
        <w:t xml:space="preserve">”55. Det ska påpekas att de två första styckena i artikel 4.1 i direktiv 2009/30 endast innehåller en frist för när medlemsstaterna ska ha införlivat direktivet, nämligen den 31 december 2010, genom att anta de lagar och andra författningar som är nödvändiga för detta ändamål, samt en uppmaning till medlemsstaterna att omedelbart underrätta kommissionen om ordalydelsen i sådana bestämmelser. I artikel 4.1 tredje stycket föreskrivs att när medlemsstaterna antar sådana bestämmelser ska det i dessa hänvisas till direktiv 2009/30.</w:t>
      </w:r>
      <w:bookmarkEnd w:id="166"/>
    </w:p>
    <w:p w14:paraId="3168B0DE" w14:textId="77777777">
      <w:pPr>
        <w:pStyle w:val="P68B1DB1-Normal20"/>
        <w:widowControl w:val="0"/>
        <w:autoSpaceDE w:val="0"/>
        <w:autoSpaceDN w:val="0"/>
        <w:spacing w:after="0" w:line="240" w:lineRule="auto"/>
        <w:ind w:left="567"/>
        <w:jc w:val="both"/>
        <w:outlineLvl w:val="1"/>
      </w:pPr>
    </w:p>
    <w:p w14:paraId="18560400" w14:textId="0F72F49C">
      <w:pPr>
        <w:pStyle w:val="P68B1DB1-Normal20"/>
        <w:widowControl w:val="0"/>
        <w:autoSpaceDE w:val="0"/>
        <w:autoSpaceDN w:val="0"/>
        <w:spacing w:after="0" w:line="240" w:lineRule="auto"/>
        <w:ind w:left="567"/>
        <w:jc w:val="both"/>
        <w:outlineLvl w:val="1"/>
      </w:pPr>
      <w:bookmarkStart w:id="167" w:name="_Toc198043895"/>
      <w:r>
        <w:t xml:space="preserve">56. Det finns inget i lydelsen av artikel 4.1 i direktiv 2009/30 som tyder på att unionslagstiftaren hade för avsikt att i det direktivet införa en skyddsklausul i den mening som avses i artikel 114.10 FEUF som medlemsstaterna hade kunnat använda sig av.</w:t>
      </w:r>
      <w:bookmarkEnd w:id="167"/>
    </w:p>
    <w:p w14:paraId="36E43530" w14:textId="77777777">
      <w:pPr>
        <w:pStyle w:val="P68B1DB1-Normal20"/>
        <w:widowControl w:val="0"/>
        <w:autoSpaceDE w:val="0"/>
        <w:autoSpaceDN w:val="0"/>
        <w:spacing w:after="0" w:line="240" w:lineRule="auto"/>
        <w:ind w:left="567"/>
        <w:jc w:val="both"/>
        <w:outlineLvl w:val="1"/>
      </w:pPr>
    </w:p>
    <w:p w14:paraId="50D2526D" w14:textId="49B1A184">
      <w:pPr>
        <w:pStyle w:val="P68B1DB1-Normal20"/>
        <w:widowControl w:val="0"/>
        <w:autoSpaceDE w:val="0"/>
        <w:autoSpaceDN w:val="0"/>
        <w:spacing w:after="0" w:line="240" w:lineRule="auto"/>
        <w:ind w:left="567"/>
        <w:jc w:val="both"/>
        <w:outlineLvl w:val="1"/>
        <w:rPr>
          <w:iCs/>
        </w:rPr>
      </w:pPr>
      <w:bookmarkStart w:id="168" w:name="_Toc198043896"/>
      <w:r>
        <w:t xml:space="preserve">57. I sistnämnda bestämmelse föreskrivs att harmoniseringsåtgärder i förekommande fall ska innehålla en skyddsklausul som tillåter medlemsstaterna att, av en eller flera av de icke-ekonomiska skäl som anges i artikel 36 FEUF, vidta provisoriska åtgärder som är föremål för ett kontrollförfarande på unionsnivå. Av detta följer att en sådan skyddsklausul måste föreskrivas uttryckligen i harmoniseringsåtgärden. Artikel 4.1 i direktiv 2009/30 har inte dessa egenskaper och kan därför inte utgöra en sådan skyddsklausul. ”</w:t>
      </w:r>
      <w:bookmarkEnd w:id="168"/>
    </w:p>
    <w:p w14:paraId="12FF84E6" w14:textId="18A9A21E">
      <w:pPr>
        <w:pStyle w:val="P68B1DB1-Normal29"/>
        <w:spacing w:after="0" w:line="240" w:lineRule="auto"/>
      </w:pPr>
      <w:r>
        <w:br w:type="page"/>
      </w:r>
    </w:p>
    <w:p w14:paraId="6087D716" w14:textId="3F11D8EF">
      <w:pPr>
        <w:pStyle w:val="P68B1DB1-Heading24"/>
        <w:numPr>
          <w:ilvl w:val="0"/>
          <w:numId w:val="37"/>
        </w:numPr>
        <w:spacing w:before="0" w:after="0"/>
        <w:jc w:val="center"/>
        <w:rPr>
          <w:bCs/>
          <w:color w:val="auto"/>
        </w:rPr>
      </w:pPr>
      <w:bookmarkStart w:id="169" w:name="_Ref195517564"/>
      <w:bookmarkStart w:id="170" w:name="_Toc203035682"/>
      <w:r>
        <w:t xml:space="preserve">Ändring i enlighet med en begäran från kommissionen</w:t>
      </w:r>
      <w:bookmarkEnd w:id="169"/>
      <w:bookmarkEnd w:id="170"/>
    </w:p>
    <w:p w14:paraId="049085CF" w14:textId="77777777">
      <w:pPr>
        <w:pStyle w:val="BodyText"/>
        <w:jc w:val="left"/>
      </w:pPr>
    </w:p>
    <w:p w14:paraId="40F4BBF6" w14:textId="77777777">
      <w:pPr>
        <w:pStyle w:val="P68B1DB1-BodyText11"/>
        <w:ind w:left="567"/>
        <w:rPr>
          <w:iCs/>
        </w:rPr>
      </w:pPr>
      <w:r>
        <w:t xml:space="preserve">”Artiklarna 5 och 6 </w:t>
      </w:r>
      <w:r>
        <w:rPr>
          <w:i w:val="0"/>
        </w:rPr>
        <w:t xml:space="preserve">[om anmälningsskyldighet och frysningsperiod] </w:t>
      </w:r>
      <w:r>
        <w:t xml:space="preserve">ska inte tillämpas på de lagar och andra författningar i medlemsstaterna eller frivilliga överenskommelser genom vilka medlemsstaterna </w:t>
      </w:r>
    </w:p>
    <w:p w14:paraId="07DBADDA" w14:textId="77777777">
      <w:pPr>
        <w:pStyle w:val="P68B1DB1-BodyText11"/>
        <w:ind w:left="1287" w:firstLine="153"/>
        <w:rPr>
          <w:iCs/>
        </w:rPr>
      </w:pPr>
      <w:r>
        <w:t>[...]</w:t>
      </w:r>
    </w:p>
    <w:p w14:paraId="11A943BD" w14:textId="080C60F0">
      <w:pPr>
        <w:pStyle w:val="P68B1DB1-BodyText11"/>
        <w:ind w:left="1440"/>
        <w:rPr>
          <w:iCs/>
        </w:rPr>
      </w:pPr>
      <w:r>
        <w:t xml:space="preserve">(f) begränsa sig till att ändra en teknisk föreskrift i den mening som avses i artikel 1.1 f, i enlighet med en begäran från kommissionen, i syfte att undanröja ett handelshinder eller, när det gäller föreskrifter för tjänster, den fria rörligheten för tjänster eller tjänsteleverantörernas etableringsfrihet. ”</w:t>
      </w:r>
    </w:p>
    <w:p w14:paraId="21F03EA5" w14:textId="77777777">
      <w:pPr>
        <w:pStyle w:val="BodyText"/>
        <w:jc w:val="center"/>
      </w:pPr>
    </w:p>
    <w:p w14:paraId="7883B4B7" w14:textId="369773F7">
      <w:pPr>
        <w:pStyle w:val="BodyText"/>
        <w:jc w:val="right"/>
      </w:pPr>
      <w:r>
        <w:t xml:space="preserve">(Artikel 7.1 f i direktiv (EU) 2015/1535).</w:t>
      </w:r>
    </w:p>
    <w:p w14:paraId="21BFE903" w14:textId="77777777">
      <w:pPr>
        <w:pStyle w:val="BodyText"/>
        <w:jc w:val="left"/>
      </w:pPr>
    </w:p>
    <w:p w14:paraId="46B1E740" w14:textId="2C38BA2E">
      <w:pPr>
        <w:pStyle w:val="P68B1DB1-Normal13"/>
        <w:widowControl w:val="0"/>
        <w:autoSpaceDE w:val="0"/>
        <w:autoSpaceDN w:val="0"/>
        <w:spacing w:after="0" w:line="240" w:lineRule="auto"/>
        <w:jc w:val="both"/>
        <w:outlineLvl w:val="1"/>
      </w:pPr>
      <w:hyperlink r:id="rId95" w:history="1">
        <w:r>
          <w:rPr>
            <w:color w:val="0000FF"/>
            <w:u w:val="single"/>
          </w:rPr>
          <w:t xml:space="preserve">Dom av den 31 januari 2013</w:t>
        </w:r>
      </w:hyperlink>
      <w:r>
        <w:t xml:space="preserve"> i mål C-26/11, Belgische Petroleum Unie m.fl., punkterna 56 och 57.</w:t>
      </w:r>
      <w:bookmarkEnd w:id="171"/>
    </w:p>
    <w:p w14:paraId="320154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95DB689" w14:textId="2F4EA0A1">
      <w:pPr>
        <w:widowControl w:val="0"/>
        <w:tabs>
          <w:tab w:val="left" w:pos="412"/>
        </w:tabs>
        <w:autoSpaceDE w:val="0"/>
        <w:autoSpaceDN w:val="0"/>
        <w:spacing w:after="0" w:line="240" w:lineRule="auto"/>
        <w:jc w:val="both"/>
        <w:rPr>
          <w:rFonts w:ascii="Times New Roman" w:hAnsi="Times New Roman" w:cs="Times New Roman" w:eastAsia="Times New Roman"/>
          <w:szCs w:val="20"/>
        </w:rPr>
        <w:pStyle w:val="P68B1DB1-Normal14"/>
      </w:pPr>
      <w:r>
        <w:t xml:space="preserve">Enligt direktivet krävs ingen anmälan av utkast till nationell lagstiftning när förslaget efter den första anmälan har ändrats för att ta hänsyn till kommissionens synpunkter och den ändrade versionen därefter har överlämnats till kommissionen.</w:t>
      </w:r>
    </w:p>
    <w:p w14:paraId="0634FD8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D4E24F0" w14:textId="03842035">
      <w:pPr>
        <w:pStyle w:val="P68B1DB1-Normal15"/>
        <w:widowControl w:val="0"/>
        <w:tabs>
          <w:tab w:val="left" w:pos="412"/>
        </w:tabs>
        <w:autoSpaceDE w:val="0"/>
        <w:autoSpaceDN w:val="0"/>
        <w:spacing w:after="0" w:line="240" w:lineRule="auto"/>
        <w:ind w:left="567"/>
        <w:jc w:val="both"/>
      </w:pPr>
      <w:r>
        <w:t xml:space="preserve">”56. [...] Konungariket Belgien har under dessa omständigheter begränsat sig till att ändra bestämmelserna i lagförslaget i enlighet med en begäran från kommissionen om att undanröja ett handelshinder, varför skyldigheten enligt artikel 10.1 sista strecksatsen i direktiv 98/34 att underrätta kommissionen enligt artikel 8.1 första stycket i direktivet inte är tillämplig på förslaget till lag om blandfinansieringsplikten.</w:t>
      </w:r>
    </w:p>
    <w:p w14:paraId="39EC120F" w14:textId="77777777">
      <w:pPr>
        <w:pStyle w:val="P68B1DB1-Normal15"/>
        <w:widowControl w:val="0"/>
        <w:tabs>
          <w:tab w:val="left" w:pos="412"/>
        </w:tabs>
        <w:autoSpaceDE w:val="0"/>
        <w:autoSpaceDN w:val="0"/>
        <w:spacing w:after="0" w:line="240" w:lineRule="auto"/>
        <w:ind w:left="567"/>
        <w:jc w:val="both"/>
      </w:pPr>
    </w:p>
    <w:p w14:paraId="2E743C69" w14:textId="2B1CBA3C">
      <w:pPr>
        <w:pStyle w:val="P68B1DB1-Normal15"/>
        <w:widowControl w:val="0"/>
        <w:tabs>
          <w:tab w:val="left" w:pos="412"/>
        </w:tabs>
        <w:autoSpaceDE w:val="0"/>
        <w:autoSpaceDN w:val="0"/>
        <w:spacing w:after="0" w:line="240" w:lineRule="auto"/>
        <w:ind w:left="567"/>
        <w:jc w:val="both"/>
        <w:rPr>
          <w:iCs/>
        </w:rPr>
      </w:pPr>
      <w:r>
        <w:t xml:space="preserve">57. Artikel 8 i direktiv 98/34, jämförd med artikel 10.1 sista strecksatsen i samma direktiv, ska tolkas så, att den inte innebär någon skyldighet att anmäla ett förslag till nationell lagstiftning enligt vilken oljebolag som släpper ut bensin och/eller dieselbränslen på marknaden under samma kalenderår även är skyldiga att släppa ut vissa procentandelar biodrivmedel på marknaden, när förslaget, efter att ha anmälts i enlighet med artikel 8.1 första stycket, har ändrats för att ta hänsyn till kommissionens synpunkter på förslaget och det ändrade förslaget därefter har överlämnats till kommissionen. ”</w:t>
      </w:r>
    </w:p>
    <w:p w14:paraId="1F05DBDF" w14:textId="3ED0BCB3">
      <w:pPr>
        <w:spacing w:after="0" w:line="278" w:lineRule="auto"/>
        <w:rPr>
          <w:rFonts w:ascii="Times New Roman" w:hAnsi="Times New Roman" w:cs="Times New Roman" w:eastAsia="Times New Roman"/>
          <w:sz w:val="24"/>
          <w:szCs w:val="20"/>
        </w:rPr>
      </w:pPr>
      <w:r>
        <w:br w:type="page"/>
      </w:r>
    </w:p>
    <w:p w14:paraId="4DF08AEF" w14:textId="0EBF7EE3">
      <w:pPr>
        <w:pStyle w:val="P68B1DB1-Heading24"/>
        <w:numPr>
          <w:ilvl w:val="1"/>
          <w:numId w:val="1"/>
        </w:numPr>
        <w:spacing w:before="0" w:after="0"/>
        <w:jc w:val="center"/>
        <w:rPr>
          <w:bCs/>
          <w:color w:val="auto"/>
        </w:rPr>
      </w:pPr>
      <w:bookmarkStart w:id="172" w:name="_Ref195517581"/>
      <w:bookmarkStart w:id="173" w:name="_Toc203035683"/>
      <w:r>
        <w:t xml:space="preserve">Omständigheter som inte utgör undantag</w:t>
      </w:r>
      <w:bookmarkEnd w:id="172"/>
      <w:bookmarkEnd w:id="173"/>
    </w:p>
    <w:p w14:paraId="6006C68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pPr>
        <w:pStyle w:val="P68B1DB1-Normal13"/>
        <w:widowControl w:val="0"/>
        <w:autoSpaceDE w:val="0"/>
        <w:autoSpaceDN w:val="0"/>
        <w:spacing w:after="0" w:line="240" w:lineRule="auto"/>
        <w:jc w:val="both"/>
        <w:outlineLvl w:val="1"/>
      </w:pPr>
      <w:hyperlink r:id="rId96" w:history="1">
        <w:r>
          <w:rPr>
            <w:color w:val="0000FF"/>
            <w:u w:val="single"/>
          </w:rPr>
          <w:t xml:space="preserve">Domstolens dom av den 11 januari 1996</w:t>
        </w:r>
      </w:hyperlink>
      <w:r>
        <w:t xml:space="preserve"> i mål C-273/94, kommissionen mot Nederländerna, punkterna 14 och 15.</w:t>
      </w:r>
      <w:bookmarkEnd w:id="174"/>
    </w:p>
    <w:p w14:paraId="1472EEE2"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18431E5C" w14:textId="0D0BB9C0">
      <w:pPr>
        <w:pStyle w:val="P68B1DB1-Normal14"/>
        <w:widowControl w:val="0"/>
        <w:tabs>
          <w:tab w:val="left" w:pos="396"/>
          <w:tab w:val="left" w:pos="405"/>
        </w:tabs>
        <w:autoSpaceDE w:val="0"/>
        <w:autoSpaceDN w:val="0"/>
        <w:spacing w:after="0" w:line="240" w:lineRule="auto"/>
        <w:jc w:val="both"/>
      </w:pPr>
      <w:r>
        <w:t xml:space="preserve">Anmälningsskyldigheten är inte beroende av regelns förmodade effekt på handeln mellan medlemsstaterna.</w:t>
      </w:r>
    </w:p>
    <w:p w14:paraId="61F0631F" w14:textId="77777777">
      <w:pPr>
        <w:widowControl w:val="0"/>
        <w:tabs>
          <w:tab w:val="left" w:pos="396"/>
          <w:tab w:val="left" w:pos="405"/>
        </w:tabs>
        <w:autoSpaceDE w:val="0"/>
        <w:autoSpaceDN w:val="0"/>
        <w:spacing w:after="0" w:line="240" w:lineRule="auto"/>
        <w:ind w:hanging="142"/>
        <w:jc w:val="both"/>
        <w:rPr>
          <w:rFonts w:ascii="Times New Roman" w:hAnsi="Times New Roman" w:cs="Times New Roman" w:eastAsia="Times New Roman"/>
          <w:szCs w:val="20"/>
        </w:rPr>
      </w:pPr>
    </w:p>
    <w:p w14:paraId="4DB865D5" w14:textId="0821625F">
      <w:pPr>
        <w:pStyle w:val="P68B1DB1-Normal15"/>
        <w:widowControl w:val="0"/>
        <w:tabs>
          <w:tab w:val="left" w:pos="396"/>
          <w:tab w:val="left" w:pos="405"/>
        </w:tabs>
        <w:autoSpaceDE w:val="0"/>
        <w:autoSpaceDN w:val="0"/>
        <w:spacing w:after="0" w:line="240" w:lineRule="auto"/>
        <w:ind w:left="567"/>
        <w:jc w:val="both"/>
        <w:rPr>
          <w:iCs/>
        </w:rPr>
      </w:pPr>
      <w:r>
        <w:t xml:space="preserve">”14. Denna bedömning påverkas inte av den nederländska regeringens argument, enligt vilket den omtvistade förordningen medför att marknadsföringen av margarin gynnas, vilket skulle innebära att förordningen är i överensstämmelse med direktivets huvudsakliga mål, vilket är att undanröja hinder i handeln med varor inom gemenskapen. </w:t>
      </w:r>
    </w:p>
    <w:p w14:paraId="0A0FB981" w14:textId="77777777">
      <w:pPr>
        <w:pStyle w:val="P68B1DB1-Normal15"/>
        <w:widowControl w:val="0"/>
        <w:tabs>
          <w:tab w:val="left" w:pos="396"/>
          <w:tab w:val="left" w:pos="405"/>
        </w:tabs>
        <w:autoSpaceDE w:val="0"/>
        <w:autoSpaceDN w:val="0"/>
        <w:spacing w:after="0" w:line="240" w:lineRule="auto"/>
        <w:ind w:left="567"/>
        <w:jc w:val="both"/>
        <w:rPr>
          <w:iCs/>
        </w:rPr>
      </w:pPr>
    </w:p>
    <w:p w14:paraId="6299CAB3" w14:textId="03C7906F">
      <w:pPr>
        <w:pStyle w:val="P68B1DB1-Normal15"/>
        <w:widowControl w:val="0"/>
        <w:tabs>
          <w:tab w:val="left" w:pos="396"/>
          <w:tab w:val="left" w:pos="405"/>
        </w:tabs>
        <w:autoSpaceDE w:val="0"/>
        <w:autoSpaceDN w:val="0"/>
        <w:spacing w:after="0" w:line="240" w:lineRule="auto"/>
        <w:ind w:left="567"/>
        <w:jc w:val="both"/>
        <w:rPr>
          <w:iCs/>
        </w:rPr>
      </w:pPr>
      <w:r>
        <w:t xml:space="preserve">15. Medlemsstaterna är förpliktade att till kommissionen anmäla alla förslag till tekniska föreskrifter i enlighet med artikel 8 i direktivet. En sådan skyldighet kan inte vara beroende av att den medlemsstat som har utarbetat förordningen ensidigt bedömer vilka effekter den kan ha på handeln mellan medlemsstaterna. ”</w:t>
      </w:r>
    </w:p>
    <w:p w14:paraId="41021C9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pPr>
        <w:pStyle w:val="P68B1DB1-Normal13"/>
        <w:widowControl w:val="0"/>
        <w:autoSpaceDE w:val="0"/>
        <w:autoSpaceDN w:val="0"/>
        <w:spacing w:after="0" w:line="240" w:lineRule="auto"/>
        <w:jc w:val="both"/>
        <w:outlineLvl w:val="1"/>
      </w:pPr>
      <w:hyperlink r:id="rId97" w:history="1">
        <w:r>
          <w:rPr>
            <w:color w:val="0000FF"/>
            <w:u w:val="single"/>
          </w:rPr>
          <w:t xml:space="preserve">Dom av den 16 juni 1998</w:t>
        </w:r>
      </w:hyperlink>
      <w:r>
        <w:t xml:space="preserve"> i mål C-226/97, Lemmens, punkterna 18–20.</w:t>
      </w:r>
      <w:bookmarkEnd w:id="175"/>
    </w:p>
    <w:p w14:paraId="2763D12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5C4B0B" w14:textId="36C19F49">
      <w:pPr>
        <w:pStyle w:val="P68B1DB1-Normal14"/>
        <w:widowControl w:val="0"/>
        <w:tabs>
          <w:tab w:val="left" w:pos="396"/>
          <w:tab w:val="left" w:pos="461"/>
        </w:tabs>
        <w:autoSpaceDE w:val="0"/>
        <w:autoSpaceDN w:val="0"/>
        <w:spacing w:after="0" w:line="240" w:lineRule="auto"/>
        <w:jc w:val="both"/>
      </w:pPr>
      <w:r>
        <w:t xml:space="preserve">Direktivet är tillämpligt på ”tekniska föreskrifter” oavsett skälet till att de antagits. Den omständigheten att en åtgärd är straffrättslig befriar den inte från anmälningsskyldigheten. De nationella bestämmelser som reglerar de andningsapparater som polisen använder för att mäta alkohol utgör således en teknisk föreskrift som borde ha anmälts till kommissionen innan den antogs.</w:t>
      </w:r>
    </w:p>
    <w:p w14:paraId="5EB7B877"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B871DF8" w14:textId="6718B4DE">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”18. Den franska regeringen har gjort gällande att direktivet inte avser produkter vilka, liksom i förevarande fall, ska användas vid offentlig maktutövning och a fortiori inom medlemsstaternas straffrättsliga system.</w:t>
      </w:r>
    </w:p>
    <w:p w14:paraId="09959B2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6EE31E9F" w14:textId="39DFA6E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19. Dessa argument kan inte godtas. Även om straffrättslig lagstiftning och straffprocessrättsliga regler i princip är medlemsstaternas ansvar, innebär detta inte att gemenskapsrätten inte kan påverka denna rättsgren (se, för ett liknande resonemang, dom av den 1989 juni 195 i mål 186/87, Cowan, REG 19, s. 1981, punkt 2595, och av den 27 juni i mål 203/80, Casati, REG, s.).</w:t>
      </w:r>
    </w:p>
    <w:p w14:paraId="1A1AA4B0"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06227DC3" w14:textId="6F9850E1">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20. I förevarande fall framgår det inte på något sätt av direktivet att de tekniska föreskrifter som avses i artikel 1 faller utanför anmälningsskyldigheten på grund av att de tillhör straffrätten och att direktivet endast omfattar produkter som inte används vid offentlig maktutövning. Såsom domstolen redan har fastslagit i mål C-13/96, Bic Benelux (REG 1997, s. I-1753), punkt 19, är ett direktiv tillämpligt på tekniska föreskrifter oavsett på vilka grunder de har antagits. ”</w:t>
      </w:r>
    </w:p>
    <w:p w14:paraId="28C6FF3B"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743F486D" w14:textId="7F85DF8F">
      <w:pPr>
        <w:pStyle w:val="P68B1DB1-Normal13"/>
        <w:widowControl w:val="0"/>
        <w:autoSpaceDE w:val="0"/>
        <w:autoSpaceDN w:val="0"/>
        <w:spacing w:after="0" w:line="240" w:lineRule="auto"/>
        <w:jc w:val="both"/>
        <w:outlineLvl w:val="1"/>
      </w:pPr>
      <w:hyperlink r:id="rId98" w:history="1">
        <w:r>
          <w:rPr>
            <w:color w:val="0000FF"/>
            <w:u w:val="single"/>
          </w:rPr>
          <w:t xml:space="preserve">Domstolens dom av den 21 april 2005</w:t>
        </w:r>
      </w:hyperlink>
      <w:r>
        <w:t xml:space="preserve"> i mål C-267/03, Lindberg, punkterna 86, 91 och 92.</w:t>
      </w:r>
      <w:bookmarkEnd w:id="176"/>
    </w:p>
    <w:p w14:paraId="3ACA6C58"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02AB316E" w14:textId="77777777">
      <w:pPr>
        <w:pStyle w:val="P68B1DB1-Normal14"/>
        <w:widowControl w:val="0"/>
        <w:tabs>
          <w:tab w:val="left" w:pos="396"/>
          <w:tab w:val="left" w:pos="425"/>
        </w:tabs>
        <w:autoSpaceDE w:val="0"/>
        <w:autoSpaceDN w:val="0"/>
        <w:spacing w:after="0" w:line="240" w:lineRule="auto"/>
        <w:jc w:val="both"/>
      </w:pPr>
      <w:r>
        <w:t xml:space="preserve">Värdet på den produkt som en regel hänför sig till, storleken på dess marknad och dess inverkan på handeln inom gemenskapen är inte relevanta kriterier för att avgöra om en ”teknisk föreskrift” ska anmälas.</w:t>
      </w:r>
    </w:p>
    <w:p w14:paraId="7C940B0B" w14:textId="77777777">
      <w:pPr>
        <w:pStyle w:val="P68B1DB1-ListParagraph2"/>
        <w:tabs>
          <w:tab w:val="left" w:pos="396"/>
          <w:tab w:val="left" w:pos="425"/>
        </w:tabs>
        <w:ind w:left="0" w:right="0" w:firstLine="0"/>
        <w:rPr>
          <w:i/>
          <w:iCs/>
          <w:sz w:val="20"/>
          <w:szCs w:val="16"/>
        </w:rPr>
      </w:pPr>
    </w:p>
    <w:p w14:paraId="097F5F5F" w14:textId="000A86FC">
      <w:pPr>
        <w:pStyle w:val="P68B1DB1-P68B1DB1-ListParagraph226"/>
        <w:tabs>
          <w:tab w:val="left" w:pos="396"/>
          <w:tab w:val="left" w:pos="425"/>
        </w:tabs>
        <w:ind w:left="709"/>
      </w:pPr>
      <w:r>
        <w:t xml:space="preserve">”86. Den nationella domstolen har ställt den fjärde frågan för att få klarhet i följande: Vilken betydelse för anmälningsskyldigheten enligt direktiv 83/189 har sådana omständigheter som</w:t>
      </w:r>
    </w:p>
    <w:p w14:paraId="767A8711" w14:textId="77777777">
      <w:pPr>
        <w:pStyle w:val="P68B1DB1-P68B1DB1-ListParagraph226"/>
        <w:tabs>
          <w:tab w:val="left" w:pos="396"/>
          <w:tab w:val="left" w:pos="425"/>
        </w:tabs>
        <w:ind w:left="709"/>
      </w:pPr>
      <w:r>
        <w:t xml:space="preserve">— Ersättning av ett tillståndskrav med ett förbud i nationell rätt,</w:t>
      </w:r>
    </w:p>
    <w:p w14:paraId="559C82EC" w14:textId="77777777">
      <w:pPr>
        <w:pStyle w:val="P68B1DB1-P68B1DB1-ListParagraph226"/>
        <w:tabs>
          <w:tab w:val="left" w:pos="396"/>
          <w:tab w:val="left" w:pos="425"/>
        </w:tabs>
        <w:ind w:left="709"/>
      </w:pPr>
      <w:r>
        <w:t xml:space="preserve">— Produktens eller tjänstens högre eller lägre värde,</w:t>
      </w:r>
    </w:p>
    <w:p w14:paraId="7057795D" w14:textId="77777777">
      <w:pPr>
        <w:pStyle w:val="P68B1DB1-P68B1DB1-ListParagraph226"/>
        <w:tabs>
          <w:tab w:val="left" w:pos="396"/>
          <w:tab w:val="left" w:pos="425"/>
        </w:tabs>
        <w:ind w:left="709"/>
      </w:pPr>
      <w:r>
        <w:t xml:space="preserve">— Storleken på marknaden för produkten/tjänsten eller</w:t>
      </w:r>
    </w:p>
    <w:p w14:paraId="7E4DCD6F" w14:textId="27AB1FF7">
      <w:pPr>
        <w:pStyle w:val="P68B1DB1-P68B1DB1-ListParagraph226"/>
        <w:tabs>
          <w:tab w:val="left" w:pos="396"/>
          <w:tab w:val="left" w:pos="425"/>
        </w:tabs>
        <w:ind w:left="709"/>
      </w:pPr>
      <w:r>
        <w:t xml:space="preserve">— Effekten av en ny nationell bestämmelse om användning, som skulle kunna vara antingen ett totalförbud mot användning eller ett förbud eller en begränsning inom ett av flera möjliga användningsområden? ”</w:t>
      </w:r>
    </w:p>
    <w:p w14:paraId="09CF2785" w14:textId="77777777">
      <w:pPr>
        <w:pStyle w:val="P68B1DB1-ListParagraph2"/>
        <w:tabs>
          <w:tab w:val="left" w:pos="396"/>
          <w:tab w:val="left" w:pos="425"/>
        </w:tabs>
        <w:ind w:left="567" w:right="0" w:firstLine="0"/>
        <w:rPr>
          <w:i/>
          <w:iCs/>
          <w:sz w:val="20"/>
          <w:szCs w:val="16"/>
        </w:rPr>
      </w:pPr>
    </w:p>
    <w:p w14:paraId="3F0A28BA" w14:textId="4FD6ACDF">
      <w:pPr>
        <w:pStyle w:val="P68B1DB1-P68B1DB1-ListParagraph226"/>
        <w:tabs>
          <w:tab w:val="left" w:pos="396"/>
          <w:tab w:val="left" w:pos="425"/>
        </w:tabs>
        <w:ind w:firstLine="0"/>
      </w:pPr>
      <w:r>
        <w:t xml:space="preserve">”91. Vad beträffar den andra och den tredje omständighet som avses med den fjärde tolkningsfrågan, ska det erinras om att, såsom har påpekats i punkt 50 i denna dom, det genom direktiv 83/189 har införts ett förebyggande kontrollsystem som gör det möjligt att pröva huruvida en nationell bestämmelse som innehåller en teknisk föreskrift omfattas av bestämmelserna i fördraget om fri rörlighet för varor och att, om så är fallet, undersöka huruvida en sådan nationell bestämmelse är förenlig med dessa bestämmelser.</w:t>
      </w:r>
    </w:p>
    <w:p w14:paraId="057FE2DD" w14:textId="77777777">
      <w:pPr>
        <w:pStyle w:val="P68B1DB1-P68B1DB1-ListParagraph226"/>
        <w:tabs>
          <w:tab w:val="left" w:pos="396"/>
          <w:tab w:val="left" w:pos="425"/>
        </w:tabs>
        <w:ind w:firstLine="0"/>
      </w:pPr>
    </w:p>
    <w:p w14:paraId="56F7C7B8" w14:textId="2531A314">
      <w:pPr>
        <w:pStyle w:val="P68B1DB1-P68B1DB1-ListParagraph226"/>
        <w:tabs>
          <w:tab w:val="left" w:pos="396"/>
          <w:tab w:val="left" w:pos="425"/>
        </w:tabs>
        <w:ind w:firstLine="0"/>
      </w:pPr>
      <w:r>
        <w:t xml:space="preserve">92. I detta avseende har domstolen i punkt 51 i förevarande dom slagit fast att den tekniska föreskriftens eventuella inverkan på handeln inom gemenskapen inte utgör ett kriterium för definitionen av tillämpningsområdet för direktiv 83/189, särskilt vad gäller den anmälningsskyldighet som föreskrivs däri. ”</w:t>
      </w:r>
    </w:p>
    <w:p w14:paraId="197312D1" w14:textId="0484FE14">
      <w:pPr>
        <w:pStyle w:val="P68B1DB1-Normal33"/>
        <w:spacing w:after="0" w:line="278" w:lineRule="auto"/>
        <w:rPr>
          <w:rFonts w:ascii="Times New Roman" w:hAnsi="Times New Roman" w:cs="Times New Roman" w:eastAsia="Times New Roman"/>
          <w:i/>
          <w:iCs/>
        </w:rPr>
      </w:pPr>
      <w:r>
        <w:br w:type="page"/>
      </w:r>
    </w:p>
    <w:p w14:paraId="2785F247" w14:textId="4A9302E3">
      <w:pPr>
        <w:pStyle w:val="P68B1DB1-Heading13"/>
        <w:numPr>
          <w:ilvl w:val="0"/>
          <w:numId w:val="34"/>
        </w:numPr>
        <w:spacing w:before="0" w:after="0"/>
        <w:jc w:val="center"/>
        <w:rPr>
          <w:bCs/>
          <w:color w:val="auto"/>
        </w:rPr>
      </w:pPr>
      <w:bookmarkStart w:id="177" w:name="_Ref194485817"/>
      <w:bookmarkStart w:id="178" w:name="_Toc203035684"/>
      <w:r>
        <w:t xml:space="preserve">Ej tillämpligt</w:t>
      </w:r>
      <w:bookmarkEnd w:id="177"/>
      <w:bookmarkEnd w:id="178"/>
    </w:p>
    <w:p w14:paraId="20AC6D1C" w14:textId="77777777">
      <w:pPr>
        <w:pStyle w:val="BodyText"/>
        <w:ind w:left="2715"/>
        <w:rPr>
          <w:b/>
          <w:bCs/>
          <w:sz w:val="28"/>
          <w:szCs w:val="22"/>
        </w:rPr>
      </w:pPr>
    </w:p>
    <w:p w14:paraId="58AC44F0" w14:textId="1BBB272D">
      <w:pPr>
        <w:pStyle w:val="P68B1DB1-Heading24"/>
        <w:numPr>
          <w:ilvl w:val="0"/>
          <w:numId w:val="38"/>
        </w:numPr>
        <w:spacing w:before="0" w:after="0"/>
        <w:jc w:val="center"/>
        <w:rPr>
          <w:bCs/>
          <w:color w:val="auto"/>
        </w:rPr>
      </w:pPr>
      <w:bookmarkStart w:id="179" w:name="_Ref194485057"/>
      <w:bookmarkStart w:id="180" w:name="_Toc203035685"/>
      <w:r>
        <w:t xml:space="preserve">Ej tillämpligt vid utebliven anmälan</w:t>
      </w:r>
      <w:bookmarkEnd w:id="179"/>
      <w:bookmarkEnd w:id="180"/>
    </w:p>
    <w:p w14:paraId="39906D0F"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pPr>
        <w:pStyle w:val="P68B1DB1-Normal13"/>
        <w:widowControl w:val="0"/>
        <w:autoSpaceDE w:val="0"/>
        <w:autoSpaceDN w:val="0"/>
        <w:spacing w:after="0" w:line="240" w:lineRule="auto"/>
        <w:jc w:val="both"/>
        <w:outlineLvl w:val="1"/>
      </w:pPr>
      <w:hyperlink r:id="rId99" w:history="1">
        <w:r>
          <w:rPr>
            <w:color w:val="0000FF"/>
            <w:u w:val="single"/>
          </w:rPr>
          <w:t xml:space="preserve">Domstolens dom av den 30 april 1996</w:t>
        </w:r>
      </w:hyperlink>
      <w:r>
        <w:t xml:space="preserve"> i mål C-194/94, CIA Security International SA, punkterna 48 och 55.</w:t>
      </w:r>
      <w:bookmarkEnd w:id="181"/>
    </w:p>
    <w:p w14:paraId="6980445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8CBEA0B" w14:textId="2A001F71">
      <w:pPr>
        <w:pStyle w:val="P68B1DB1-Normal14"/>
        <w:widowControl w:val="0"/>
        <w:tabs>
          <w:tab w:val="left" w:pos="409"/>
        </w:tabs>
        <w:autoSpaceDE w:val="0"/>
        <w:autoSpaceDN w:val="0"/>
        <w:spacing w:after="0" w:line="240" w:lineRule="auto"/>
        <w:jc w:val="both"/>
      </w:pPr>
      <w:r>
        <w:t xml:space="preserve">Åsidosättandet av anmälningsskyldigheten medför att de berörda ”tekniska föreskrifterna” inte är tillämpliga, vilket innebär att de inte kan göras gällande mot enskilda. Enskilda kan åberopa artiklarna 8 och 9 i direktiv 83/189 vid en nationell domstol som ska vägra att tillämpa en nationell ”teknisk föreskrift” som inte har anmälts i enlighet med detta direktiv.</w:t>
      </w:r>
    </w:p>
    <w:p w14:paraId="41DE99AA"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13B9D75E" w14:textId="7C49EE29">
      <w:pPr>
        <w:pStyle w:val="P68B1DB1-Normal18"/>
        <w:widowControl w:val="0"/>
        <w:tabs>
          <w:tab w:val="left" w:pos="409"/>
        </w:tabs>
        <w:autoSpaceDE w:val="0"/>
        <w:autoSpaceDN w:val="0"/>
        <w:spacing w:after="0" w:line="240" w:lineRule="auto"/>
        <w:ind w:left="567"/>
        <w:jc w:val="both"/>
        <w:rPr>
          <w:iCs/>
        </w:rPr>
      </w:pPr>
      <w:r>
        <w:t xml:space="preserve">”48. En sådan följd av en överträdelse av de skyldigheter som följer av direktiv 83/189 är inte beroende av att det finns en uttrycklig bestämmelse av denna innebörd. Såsom redan har framhållits är det ostridigt att direktivets syfte är att genom en förebyggande kontroll skydda den fria rörligheten för varor och att anmälningsskyldigheten utgör ett väsentligt medel för att fullgöra denna gemenskapskontroll. Gemenskapskontrollens effektivitet kommer att bli mycket större om direktivet tolkas så, att ett åsidosättande av anmälningsskyldigheten utgör ett väsentligt förfarandefel som gör att de tekniska föreskrifterna i fråga inte kan tillämpas på enskilda. ”</w:t>
      </w:r>
    </w:p>
    <w:p w14:paraId="5B87E4FF" w14:textId="77777777">
      <w:pPr>
        <w:widowControl w:val="0"/>
        <w:tabs>
          <w:tab w:val="left" w:pos="409"/>
        </w:tabs>
        <w:autoSpaceDE w:val="0"/>
        <w:autoSpaceDN w:val="0"/>
        <w:spacing w:after="0" w:line="240" w:lineRule="auto"/>
        <w:ind w:left="567"/>
        <w:jc w:val="both"/>
        <w:rPr>
          <w:rFonts w:ascii="Times New Roman" w:hAnsi="Times New Roman" w:cs="Times New Roman" w:eastAsia="Times New Roman"/>
          <w:i/>
          <w:iCs/>
          <w:sz w:val="20"/>
          <w:szCs w:val="20"/>
        </w:rPr>
      </w:pPr>
    </w:p>
    <w:p w14:paraId="0768FF27" w14:textId="3B428811">
      <w:pPr>
        <w:pStyle w:val="P68B1DB1-Normal18"/>
        <w:widowControl w:val="0"/>
        <w:tabs>
          <w:tab w:val="left" w:pos="409"/>
        </w:tabs>
        <w:autoSpaceDE w:val="0"/>
        <w:autoSpaceDN w:val="0"/>
        <w:spacing w:after="0" w:line="240" w:lineRule="auto"/>
        <w:ind w:left="567"/>
        <w:jc w:val="both"/>
        <w:rPr>
          <w:iCs/>
        </w:rPr>
      </w:pPr>
      <w:r>
        <w:t xml:space="preserve">”55. Den femte och den sjätte frågan ska således besvaras så, att artiklarna 8 och 9 i direktiv 83/189 ska tolkas så, att enskilda kan åberopa dem vid den nationella domstolen, som ska underlåta att tillämpa en nationell teknisk föreskrift som inte har anmälts i enlighet med direktivet. ”</w:t>
      </w:r>
    </w:p>
    <w:p w14:paraId="44EDD958"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pPr>
        <w:pStyle w:val="P68B1DB1-Normal13"/>
        <w:widowControl w:val="0"/>
        <w:autoSpaceDE w:val="0"/>
        <w:autoSpaceDN w:val="0"/>
        <w:spacing w:after="0" w:line="240" w:lineRule="auto"/>
        <w:jc w:val="both"/>
        <w:outlineLvl w:val="1"/>
      </w:pPr>
      <w:hyperlink r:id="rId100" w:history="1">
        <w:r>
          <w:rPr>
            <w:color w:val="0000FF"/>
            <w:u w:val="single"/>
          </w:rPr>
          <w:t xml:space="preserve">Dom av den 16 juni 1998</w:t>
        </w:r>
      </w:hyperlink>
      <w:r>
        <w:t xml:space="preserve"> i mål C-226/97, Lemmens, punkterna 34–37.</w:t>
      </w:r>
      <w:bookmarkEnd w:id="182"/>
    </w:p>
    <w:p w14:paraId="758CEF0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ABB4A98" w14:textId="10F576AA">
      <w:pPr>
        <w:pStyle w:val="P68B1DB1-Normal14"/>
        <w:widowControl w:val="0"/>
        <w:tabs>
          <w:tab w:val="left" w:pos="406"/>
        </w:tabs>
        <w:autoSpaceDE w:val="0"/>
        <w:autoSpaceDN w:val="0"/>
        <w:spacing w:after="0" w:line="240" w:lineRule="auto"/>
        <w:jc w:val="both"/>
      </w:pPr>
      <w:r>
        <w:t xml:space="preserve">Underlåtenhet att uppfylla skyldigheten att anmäla en teknisk föreskrift om en apparat för andningsanalys medför inte att den bevisning som erhållits med hjälp av en apparat för andningsanalys som godkänts i enlighet med föreskrifter som inte har anmälts blir omöjlig att göra gällande mot en enskild person som åtalats för rattfylleri.</w:t>
      </w:r>
    </w:p>
    <w:p w14:paraId="3E297BB7" w14:textId="77777777">
      <w:pPr>
        <w:widowControl w:val="0"/>
        <w:tabs>
          <w:tab w:val="left" w:pos="406"/>
        </w:tabs>
        <w:autoSpaceDE w:val="0"/>
        <w:autoSpaceDN w:val="0"/>
        <w:spacing w:after="0" w:line="240" w:lineRule="auto"/>
        <w:jc w:val="both"/>
        <w:rPr>
          <w:rFonts w:ascii="Times New Roman" w:hAnsi="Times New Roman" w:cs="Times New Roman" w:eastAsia="Times New Roman"/>
          <w:szCs w:val="20"/>
        </w:rPr>
      </w:pPr>
    </w:p>
    <w:p w14:paraId="25103538" w14:textId="65BB17C7">
      <w:pPr>
        <w:pStyle w:val="P68B1DB1-Normal15"/>
        <w:widowControl w:val="0"/>
        <w:tabs>
          <w:tab w:val="left" w:pos="409"/>
        </w:tabs>
        <w:autoSpaceDE w:val="0"/>
        <w:autoSpaceDN w:val="0"/>
        <w:spacing w:after="0" w:line="240" w:lineRule="auto"/>
        <w:ind w:left="567"/>
        <w:jc w:val="both"/>
      </w:pPr>
      <w:r>
        <w:t xml:space="preserve">”34. I ett brottmål som det aktuella vid den nationella domstolen är de föreskrifter som tillämpas på den åtalade dels sådana som förbjuder och bestraffar framförande av fordon i onyktert tillstånd, dels sådana som tvingar föraren att blåsa i en apparat som mäter alkoholkoncentrationen. Resultatet av detta prov utgör bevisning i brottmålet. Dessa föreskrifter är inte desamma som de som inte kan göras gällande gentemot enskilda på grund av att de inte har anmälts till kommissionen i enlighet med direktivet.</w:t>
      </w:r>
    </w:p>
    <w:p w14:paraId="79D66062" w14:textId="77777777">
      <w:pPr>
        <w:pStyle w:val="P68B1DB1-Normal15"/>
        <w:widowControl w:val="0"/>
        <w:tabs>
          <w:tab w:val="left" w:pos="409"/>
        </w:tabs>
        <w:autoSpaceDE w:val="0"/>
        <w:autoSpaceDN w:val="0"/>
        <w:spacing w:after="0" w:line="240" w:lineRule="auto"/>
        <w:ind w:left="567"/>
        <w:jc w:val="both"/>
      </w:pPr>
    </w:p>
    <w:p w14:paraId="1F291ACA" w14:textId="0D4F54FD">
      <w:pPr>
        <w:pStyle w:val="P68B1DB1-Normal15"/>
        <w:widowControl w:val="0"/>
        <w:tabs>
          <w:tab w:val="left" w:pos="409"/>
        </w:tabs>
        <w:autoSpaceDE w:val="0"/>
        <w:autoSpaceDN w:val="0"/>
        <w:spacing w:after="0" w:line="240" w:lineRule="auto"/>
        <w:ind w:left="567"/>
        <w:jc w:val="both"/>
      </w:pPr>
      <w:r>
        <w:t xml:space="preserve">35. Det ska påpekas att underlåtenheten att anmäla tekniska föreskrifter, vilken förvisso utgör ett förfarandefel vid antagandet, medför att dessa föreskrifter inte kan tillämpas om de hindrar användning eller saluföring av en produkt som inte uppfyller kraven i dessa föreskrifter. Denna underlåtenhet medför däremot inte att all användning av en produkt som uppfyller villkoren i de icke anmälda föreskrifterna är förbjuden.</w:t>
      </w:r>
    </w:p>
    <w:p w14:paraId="06F58C0E" w14:textId="77777777">
      <w:pPr>
        <w:pStyle w:val="P68B1DB1-Normal15"/>
        <w:widowControl w:val="0"/>
        <w:tabs>
          <w:tab w:val="left" w:pos="409"/>
        </w:tabs>
        <w:autoSpaceDE w:val="0"/>
        <w:autoSpaceDN w:val="0"/>
        <w:spacing w:after="0" w:line="240" w:lineRule="auto"/>
        <w:ind w:left="567"/>
        <w:jc w:val="both"/>
      </w:pPr>
    </w:p>
    <w:p w14:paraId="56671D2C" w14:textId="0E44A6B4">
      <w:pPr>
        <w:pStyle w:val="P68B1DB1-Normal15"/>
        <w:widowControl w:val="0"/>
        <w:tabs>
          <w:tab w:val="left" w:pos="409"/>
        </w:tabs>
        <w:autoSpaceDE w:val="0"/>
        <w:autoSpaceDN w:val="0"/>
        <w:spacing w:after="0" w:line="240" w:lineRule="auto"/>
        <w:ind w:left="567"/>
        <w:jc w:val="both"/>
      </w:pPr>
      <w:r>
        <w:t xml:space="preserve">36. Det faktum att en produkt, som i förevarande fall, används i myndighetsutövning utgör inte ett handelshinder som hade kunnat undvikas om anmälningsförfarandet hade följts.</w:t>
      </w:r>
    </w:p>
    <w:p w14:paraId="4CD6FBB9" w14:textId="77777777">
      <w:pPr>
        <w:pStyle w:val="P68B1DB1-Normal15"/>
        <w:widowControl w:val="0"/>
        <w:tabs>
          <w:tab w:val="left" w:pos="409"/>
        </w:tabs>
        <w:autoSpaceDE w:val="0"/>
        <w:autoSpaceDN w:val="0"/>
        <w:spacing w:after="0" w:line="240" w:lineRule="auto"/>
        <w:ind w:left="567"/>
        <w:jc w:val="both"/>
      </w:pPr>
    </w:p>
    <w:p w14:paraId="638FC610" w14:textId="5C3DE903">
      <w:pPr>
        <w:pStyle w:val="P68B1DB1-Normal15"/>
        <w:widowControl w:val="0"/>
        <w:tabs>
          <w:tab w:val="left" w:pos="409"/>
        </w:tabs>
        <w:autoSpaceDE w:val="0"/>
        <w:autoSpaceDN w:val="0"/>
        <w:spacing w:after="0" w:line="240" w:lineRule="auto"/>
        <w:ind w:left="567"/>
        <w:jc w:val="both"/>
      </w:pPr>
      <w:r>
        <w:t xml:space="preserve">37. Den första frågan ska således besvaras på så sätt att direktivet ska tolkas så, att åsidosättandet av skyldigheten enligt artikel 8 i direktivet att anmäla en teknisk föreskrift för apparater för andningsanalys inte medför att det inte är omöjligt att åberopa bevis som erhållits med hjälp av en sådan apparat, som godkänts i enlighet med föreskrifter som inte har anmälts, mot en person som åtalats för att ha kört under alkoholpåverkan. ”</w:t>
      </w:r>
    </w:p>
    <w:p w14:paraId="03B0AE9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pPr>
        <w:pStyle w:val="P68B1DB1-Normal13"/>
        <w:widowControl w:val="0"/>
        <w:autoSpaceDE w:val="0"/>
        <w:autoSpaceDN w:val="0"/>
        <w:spacing w:after="0" w:line="240" w:lineRule="auto"/>
        <w:jc w:val="both"/>
        <w:outlineLvl w:val="1"/>
      </w:pPr>
      <w:hyperlink r:id="rId101" w:history="1">
        <w:r>
          <w:rPr>
            <w:color w:val="0000FF"/>
            <w:u w:val="single"/>
          </w:rPr>
          <w:t xml:space="preserve">Dom av den 6 juni 2002</w:t>
        </w:r>
      </w:hyperlink>
      <w:r>
        <w:t xml:space="preserve"> i mål C-159/00, Sapod Audic, punkterna 52 och 53.</w:t>
      </w:r>
      <w:bookmarkEnd w:id="183"/>
    </w:p>
    <w:p w14:paraId="7700A11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8E293C" w14:textId="6294F0EB">
      <w:pPr>
        <w:widowControl w:val="0"/>
        <w:tabs>
          <w:tab w:val="left" w:pos="409"/>
        </w:tabs>
        <w:autoSpaceDE w:val="0"/>
        <w:autoSpaceDN w:val="0"/>
        <w:spacing w:after="0" w:line="240" w:lineRule="auto"/>
        <w:jc w:val="both"/>
        <w:rPr>
          <w:rFonts w:ascii="Times New Roman" w:hAnsi="Times New Roman" w:cs="Times New Roman" w:eastAsia="Times New Roman"/>
          <w:szCs w:val="20"/>
        </w:rPr>
        <w:pStyle w:val="P68B1DB1-Normal14"/>
      </w:pPr>
      <w:r>
        <w:t xml:space="preserve">Det ankommer på den nationella domstolen att underlåta att tillämpa bestämmelser som inte är tillämpliga på grund av bristande anmälan. Följderna av en sådan icke-tillämpning regleras i nationell rätt, förutsatt att de inte är mindre förmånliga än för liknande talan som grundas på nationell rätt och inte gör det omöjligt att utöva unionsrättigheter.</w:t>
      </w:r>
    </w:p>
    <w:p w14:paraId="1E2D83F5"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4757B367" w14:textId="5B286B77">
      <w:pPr>
        <w:pStyle w:val="P68B1DB1-Normal15"/>
        <w:widowControl w:val="0"/>
        <w:tabs>
          <w:tab w:val="left" w:pos="409"/>
        </w:tabs>
        <w:autoSpaceDE w:val="0"/>
        <w:autoSpaceDN w:val="0"/>
        <w:spacing w:after="0"/>
        <w:ind w:left="567"/>
        <w:jc w:val="both"/>
      </w:pPr>
      <w:r>
        <w:t xml:space="preserve">”52. Det ska emellertid erinras om att frågan vilka slutsatser som ska dras i målet vid den nationella domstolen av att artikel 4 andra stycket i dekret nr 92–377 inte är tillämplig vad gäller omfattningen av den sanktionsåtgärd som föreskrivs härför, såsom till exempel att avtalet mellan Sapod och Eco-Emballages är ogiltigt eller inte kan göras gällande, regleras av nationell rätt. Detta gäller särskilt beträffande de avtalsrättsliga regler och principer som begränsar eller nyanserar en sådan sanktionsåtgärd i syfte att göra den proportionerlig i förhållande till de särskilda egenskaper som karaktäriserar det konstaterade felet. Dessa regler och principer får emellertid varken vara mindre förmånliga än dem som avser liknande talan som grundas på nationell rätt (likvärdighetsprincipen) eller utformas på ett sådant sätt att det i praktiken blir omöjligt att utöva rättigheter som följer av gemenskapsrätten (effektivitetsprincipen) (se bland annat dom av den 1976 juni 1989 i mål 33/76, Rewe, REG 5, s. 2001, punkt 1395, och av den 21 mars i de förenade målen C-52/99 och C-53/99, Camorotto och Vignone, REG, s. I-, punkt).</w:t>
      </w:r>
    </w:p>
    <w:p w14:paraId="0A8A5A27" w14:textId="77777777">
      <w:pPr>
        <w:pStyle w:val="P68B1DB1-Normal15"/>
        <w:widowControl w:val="0"/>
        <w:tabs>
          <w:tab w:val="left" w:pos="409"/>
        </w:tabs>
        <w:autoSpaceDE w:val="0"/>
        <w:autoSpaceDN w:val="0"/>
        <w:spacing w:after="0"/>
        <w:ind w:left="567"/>
        <w:jc w:val="both"/>
      </w:pPr>
    </w:p>
    <w:p w14:paraId="26C97D99" w14:textId="2C79F108">
      <w:pPr>
        <w:pStyle w:val="P68B1DB1-Normal15"/>
        <w:widowControl w:val="0"/>
        <w:tabs>
          <w:tab w:val="left" w:pos="409"/>
        </w:tabs>
        <w:autoSpaceDE w:val="0"/>
        <w:autoSpaceDN w:val="0"/>
        <w:spacing w:after="0"/>
        <w:ind w:left="567"/>
        <w:jc w:val="both"/>
      </w:pPr>
      <w:r>
        <w:t xml:space="preserve">53. Den andra delen av den andra frågan ska därför, i den utsträckning den berör direktiv 83/189, besvaras så att en enskild kan åberopa en underlåten anmälan enligt artikel 4 i nämnda direktiv av en nationell bestämmelse såsom artikel 8 andra stycket i dekret nr 92–377 för det fall den senare bestämmelsen ska tolkas som innehållande en märknings- eller etiketteringsskyldighet. Det ankommer då på den nationella domstolen att inte tillämpa denna bestämmelse. Det ankommer därefter på den nationella domstolen att underlåta att tillämpa denna bestämmelse, eftersom frågan om vilka slutsatser som kan dras av att denna nationella bestämmelse inte är tillämplig vad gäller påföljdens stränghet enligt tillämplig nationell rätt, såsom ett avtals ogiltighet eller avsaknad av verkställbarhet, är en fråga som regleras av nationell rätt. Denna slutsats förutsätter emellertid att de tillämpliga nationella bestämmelserna inte är mindre förmånliga än de som gäller för liknande talan som grundas på nationell rätt och inte är utformade på ett sådant sätt att det i praktiken blir omöjligt att utöva rättigheter som följer av gemenskapsrätten. ”</w:t>
      </w:r>
    </w:p>
    <w:p w14:paraId="7ECA13E2" w14:textId="77777777">
      <w:pPr>
        <w:pStyle w:val="P68B1DB1-Normal15"/>
        <w:widowControl w:val="0"/>
        <w:tabs>
          <w:tab w:val="left" w:pos="409"/>
        </w:tabs>
        <w:autoSpaceDE w:val="0"/>
        <w:autoSpaceDN w:val="0"/>
        <w:spacing w:after="0"/>
        <w:jc w:val="both"/>
      </w:pPr>
    </w:p>
    <w:p w14:paraId="25CD0695" w14:textId="4587EFBF">
      <w:pPr>
        <w:pStyle w:val="P68B1DB1-Normal13"/>
        <w:widowControl w:val="0"/>
        <w:autoSpaceDE w:val="0"/>
        <w:autoSpaceDN w:val="0"/>
        <w:spacing w:after="0" w:line="240" w:lineRule="auto"/>
        <w:jc w:val="both"/>
        <w:outlineLvl w:val="1"/>
      </w:pPr>
      <w:hyperlink r:id="rId102" w:history="1">
        <w:r>
          <w:rPr>
            <w:color w:val="0000FF"/>
            <w:u w:val="single"/>
          </w:rPr>
          <w:t xml:space="preserve">Dom av den 8 september 2005</w:t>
        </w:r>
      </w:hyperlink>
      <w:r>
        <w:t xml:space="preserve"> i mål C-303/04, Lidl Italia, punkterna 22 och 23.</w:t>
      </w:r>
    </w:p>
    <w:p w14:paraId="4582547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63F8A9D" w14:textId="77777777">
      <w:pPr>
        <w:pStyle w:val="P68B1DB1-Normal14"/>
        <w:widowControl w:val="0"/>
        <w:tabs>
          <w:tab w:val="left" w:pos="403"/>
        </w:tabs>
        <w:autoSpaceDE w:val="0"/>
        <w:autoSpaceDN w:val="0"/>
        <w:spacing w:after="0" w:line="240" w:lineRule="auto"/>
        <w:jc w:val="both"/>
      </w:pPr>
      <w:r>
        <w:t xml:space="preserve">Åsidosättandet av anmälningsskyldigheten utgör ett väsentligt förfarandefel som gör att de aktuella ”tekniska föreskrifterna” inte kan tillämpas och därmed inte kan göras gällande gentemot enskilda.</w:t>
      </w:r>
    </w:p>
    <w:p w14:paraId="099B7D88"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54B8211C" w14:textId="31CFA17B">
      <w:pPr>
        <w:pStyle w:val="P68B1DB1-Normal15"/>
        <w:widowControl w:val="0"/>
        <w:tabs>
          <w:tab w:val="left" w:pos="393"/>
        </w:tabs>
        <w:autoSpaceDE w:val="0"/>
        <w:autoSpaceDN w:val="0"/>
        <w:spacing w:after="0" w:line="240" w:lineRule="auto"/>
        <w:ind w:left="567"/>
        <w:jc w:val="both"/>
      </w:pPr>
      <w:r>
        <w:t xml:space="preserve">”22. [...] enligt fast rättspraxis är syftet med direktiv 98/34 att genom förebyggande kontroll skydda den fria rörligheten för varor, vilken utgör en av gemenskapens grundvalar, och att denna kontroll tjänar ett användbart syfte, eftersom tekniska föreskrifter som omfattas av direktivets tillämpningsområde kan utgöra hinder för varuhandeln mellan medlemsstaterna. Sådana hinder är endast tillåtna om de är nödvändiga för att tillgodose tvingande hänsyn till allmänintresset (se, för ett liknande resonemang, dom av den 1996 mars 2201 i mål C-194/94, CIA Security International, REG 40, s. I-1998, punkt 3711, och av den 32 november i mål C-226/97, Lemmens, REG, s. I-, punkt).</w:t>
      </w:r>
    </w:p>
    <w:p w14:paraId="36DAFFCC" w14:textId="77777777">
      <w:pPr>
        <w:pStyle w:val="P68B1DB1-Normal15"/>
        <w:widowControl w:val="0"/>
        <w:tabs>
          <w:tab w:val="left" w:pos="393"/>
        </w:tabs>
        <w:autoSpaceDE w:val="0"/>
        <w:autoSpaceDN w:val="0"/>
        <w:spacing w:after="0" w:line="240" w:lineRule="auto"/>
        <w:ind w:left="567"/>
        <w:jc w:val="both"/>
      </w:pPr>
    </w:p>
    <w:p w14:paraId="149570C3" w14:textId="7B9615CB">
      <w:pPr>
        <w:pStyle w:val="P68B1DB1-Normal15"/>
        <w:widowControl w:val="0"/>
        <w:tabs>
          <w:tab w:val="left" w:pos="393"/>
        </w:tabs>
        <w:autoSpaceDE w:val="0"/>
        <w:autoSpaceDN w:val="0"/>
        <w:spacing w:after="0" w:line="240" w:lineRule="auto"/>
        <w:ind w:left="567"/>
        <w:jc w:val="both"/>
      </w:pPr>
      <w:r>
        <w:t xml:space="preserve">23. Eftersom den anmälningsskyldighet som avses i bland annat artikel 8.1 första stycket i direktiv 98/34 är nödvändig för att uppnå denna gemenskapskontroll, är effektiviteten av en sådan kontroll mycket större om direktivet tolkas så, att ett åsidosättande av anmälningsskyldigheten utgör ett väsentligt förfarandefel som gör att de tekniska föreskrifterna i fråga inte kan tillämpas och därmed inte kan göras gällande gentemot enskilda (domarna i de ovannämnda målen CIA Security International, punkterna 44, 48 och 54, och Lemmens, punkt 33). ”</w:t>
      </w:r>
    </w:p>
    <w:p w14:paraId="6E201D8A" w14:textId="77777777">
      <w:pPr>
        <w:pStyle w:val="P68B1DB1-Normal15"/>
        <w:widowControl w:val="0"/>
        <w:tabs>
          <w:tab w:val="left" w:pos="393"/>
        </w:tabs>
        <w:autoSpaceDE w:val="0"/>
        <w:autoSpaceDN w:val="0"/>
        <w:spacing w:after="0" w:line="240" w:lineRule="auto"/>
        <w:ind w:left="567"/>
        <w:jc w:val="both"/>
        <w:rPr>
          <w:i w:val="0"/>
          <w:iCs/>
          <w:szCs w:val="20"/>
        </w:rPr>
      </w:pPr>
    </w:p>
    <w:p w14:paraId="3A7A3401" w14:textId="5474014F">
      <w:pPr>
        <w:pStyle w:val="P68B1DB1-Normal13"/>
        <w:widowControl w:val="0"/>
        <w:autoSpaceDE w:val="0"/>
        <w:autoSpaceDN w:val="0"/>
        <w:spacing w:after="0" w:line="240" w:lineRule="auto"/>
        <w:jc w:val="both"/>
        <w:outlineLvl w:val="1"/>
      </w:pPr>
      <w:hyperlink r:id="rId103" w:history="1">
        <w:r>
          <w:rPr>
            <w:color w:val="0000FF"/>
            <w:u w:val="single"/>
          </w:rPr>
          <w:t xml:space="preserve">Dom av den 31 januari 2013</w:t>
        </w:r>
      </w:hyperlink>
      <w:r>
        <w:t xml:space="preserve"> i mål C</w:t>
        <w:noBreakHyphen/>
        <w:t xml:space="preserve">26/11, Belgische Petroleum Unie m.fl., punkt 50.</w:t>
      </w:r>
      <w:bookmarkEnd w:id="184"/>
    </w:p>
    <w:p w14:paraId="7D29DEE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A5859BF" w14:textId="23CC69D0">
      <w:pPr>
        <w:pStyle w:val="P68B1DB1-Normal14"/>
        <w:widowControl w:val="0"/>
        <w:tabs>
          <w:tab w:val="left" w:pos="403"/>
        </w:tabs>
        <w:autoSpaceDE w:val="0"/>
        <w:autoSpaceDN w:val="0"/>
        <w:spacing w:after="0" w:line="240" w:lineRule="auto"/>
        <w:jc w:val="both"/>
      </w:pPr>
      <w:r>
        <w:t xml:space="preserve">Åsidosättandet av anmälningsskyldigheten utgör ett väsentligt förfarandefel som gör att de aktuella ”tekniska föreskrifterna” inte kan tillämpas och därmed inte kan göras gällande gentemot enskilda.</w:t>
      </w:r>
    </w:p>
    <w:p w14:paraId="3A77BF8A"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1EFBF218" w14:textId="0E7DE8F3">
      <w:pPr>
        <w:pStyle w:val="P68B1DB1-Normal15"/>
        <w:widowControl w:val="0"/>
        <w:tabs>
          <w:tab w:val="left" w:pos="403"/>
        </w:tabs>
        <w:autoSpaceDE w:val="0"/>
        <w:autoSpaceDN w:val="0"/>
        <w:spacing w:after="0" w:line="240" w:lineRule="auto"/>
        <w:ind w:left="567"/>
        <w:jc w:val="both"/>
        <w:rPr>
          <w:iCs/>
        </w:rPr>
      </w:pPr>
      <w:r>
        <w:t>”</w:t>
      </w:r>
      <w:bookmarkStart w:id="185" w:name="point50"/>
      <w:r>
        <w:t>50</w:t>
      </w:r>
      <w:bookmarkEnd w:id="185"/>
      <w:r>
        <w:t xml:space="preserve">.  Eftersom den anmälningsskyldighet som avses i artikel 8.1 första stycket i direktiv 98/34 är nödvändig för att genomföra denna kontroll, är effektiviteten av en sådan kontroll mycket större om direktivet tolkas så, att ett åsidosättande av anmälningsskyldigheten utgör ett materiellt förfarandefel som medför att de tekniska föreskrifterna i fråga inte kan tillämpas och därmed inte kan göras gällande gentemot enskilda (se domarna i de ovannämnda målen Lidl Italia, punkt 23, och Sandström, punkt 43). ”</w:t>
      </w:r>
    </w:p>
    <w:p w14:paraId="5A7C1A1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pPr>
        <w:pStyle w:val="P68B1DB1-Normal13"/>
        <w:widowControl w:val="0"/>
        <w:autoSpaceDE w:val="0"/>
        <w:autoSpaceDN w:val="0"/>
        <w:spacing w:after="0" w:line="240" w:lineRule="auto"/>
        <w:jc w:val="both"/>
        <w:outlineLvl w:val="1"/>
      </w:pPr>
      <w:hyperlink r:id="rId104" w:history="1">
        <w:r>
          <w:rPr>
            <w:color w:val="0000FF"/>
            <w:u w:val="single"/>
          </w:rPr>
          <w:t xml:space="preserve">Domstolens dom av den 2 februari 2016</w:t>
        </w:r>
      </w:hyperlink>
      <w:r>
        <w:t xml:space="preserve"> i mål C-336/14, Ince, punkterna 67 och 68.</w:t>
      </w:r>
      <w:bookmarkEnd w:id="186"/>
    </w:p>
    <w:p w14:paraId="5109C791" w14:textId="77777777">
      <w:pPr>
        <w:pStyle w:val="P68B1DB1-Normal13"/>
        <w:widowControl w:val="0"/>
        <w:autoSpaceDE w:val="0"/>
        <w:autoSpaceDN w:val="0"/>
        <w:spacing w:after="0" w:line="240" w:lineRule="auto"/>
        <w:jc w:val="both"/>
        <w:outlineLvl w:val="1"/>
      </w:pPr>
    </w:p>
    <w:p w14:paraId="0118741A" w14:textId="59CA11D9">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Underlåtenhet att anmäla en ”teknisk föreskrift” innebär att den inte är tillämplig och inte kan göras gällande mot enskilda. De sistnämnda kan åberopa artikel 8 i direktiv 98/34 vid nationella domstolar, vilka således är skyldiga att vägra att tillämpa den icke anmälda bestämmelsen.</w:t>
      </w:r>
    </w:p>
    <w:p w14:paraId="33041BEA" w14:textId="77777777">
      <w:pPr>
        <w:widowControl w:val="0"/>
        <w:autoSpaceDE w:val="0"/>
        <w:autoSpaceDN w:val="0"/>
        <w:spacing w:after="0" w:line="240" w:lineRule="auto"/>
        <w:jc w:val="both"/>
        <w:rPr>
          <w:rFonts w:ascii="Times New Roman" w:hAnsi="Times New Roman" w:cs="Times New Roman" w:eastAsia="Times New Roman"/>
          <w:i/>
          <w:iCs/>
          <w:sz w:val="20"/>
          <w:szCs w:val="20"/>
        </w:rPr>
      </w:pPr>
    </w:p>
    <w:p w14:paraId="0B90620E" w14:textId="22B6DE21">
      <w:pPr>
        <w:pStyle w:val="P68B1DB1-Normal18"/>
        <w:widowControl w:val="0"/>
        <w:autoSpaceDE w:val="0"/>
        <w:autoSpaceDN w:val="0"/>
        <w:spacing w:after="0" w:line="240" w:lineRule="auto"/>
        <w:ind w:left="567"/>
        <w:jc w:val="both"/>
      </w:pPr>
      <w:r>
        <w:t xml:space="preserve">”67. Domstolen erinrar inledningsvis om att ett åsidosättande av anmälningsskyldigheten enligt artikel 8.1 i direktiv 98/34 utgör ett förfarandefel vid antagandet av de berörda tekniska föreskrifterna och medför att dessa tekniska föreskrifter inte kan tillämpas och därmed inte kan göras gällande gentemot enskilda (se, bland annat, dom Ivansson m.fl., C-307/13, Dubli, punkt 48 och där angiven rättspraxis).</w:t>
      </w:r>
    </w:p>
    <w:p w14:paraId="3D0E63B7" w14:textId="77777777">
      <w:pPr>
        <w:pStyle w:val="P68B1DB1-Normal18"/>
        <w:widowControl w:val="0"/>
        <w:autoSpaceDE w:val="0"/>
        <w:autoSpaceDN w:val="0"/>
        <w:spacing w:after="0" w:line="240" w:lineRule="auto"/>
        <w:ind w:left="567"/>
        <w:jc w:val="both"/>
      </w:pPr>
    </w:p>
    <w:p w14:paraId="0BF09E0D" w14:textId="771301DC">
      <w:pPr>
        <w:pStyle w:val="P68B1DB1-Normal18"/>
        <w:widowControl w:val="0"/>
        <w:autoSpaceDE w:val="0"/>
        <w:autoSpaceDN w:val="0"/>
        <w:spacing w:after="0" w:line="240" w:lineRule="auto"/>
        <w:ind w:left="567"/>
        <w:jc w:val="both"/>
        <w:rPr>
          <w:iCs/>
        </w:rPr>
      </w:pPr>
      <w:r>
        <w:t xml:space="preserve">68. Det ska i detta hänseende understrykas, såsom generaladvokaten har påpekat i punkt 60 i sitt förslag till avgörande, att även om det enligt artikel 8.1 i direktivet krävs att hela utkastet till en lag som innehåller tekniska föreskrifter ska överlämnas till kommissionen (se, för ett liknande resonemang, dom kommissionen/Italien, C-279/94, punkterna 40 och 41), omfattar den icke-tillämplighet som följer av åsidosättandet av denna skyldighet inte samtliga bestämmelser i en sådan lag, utan endast de tekniska föreskrifter som ingår i den. ”</w:t>
      </w:r>
    </w:p>
    <w:p w14:paraId="3958CBE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pPr>
        <w:pStyle w:val="P68B1DB1-Normal13"/>
        <w:widowControl w:val="0"/>
        <w:autoSpaceDE w:val="0"/>
        <w:autoSpaceDN w:val="0"/>
        <w:spacing w:after="0" w:line="240" w:lineRule="auto"/>
        <w:jc w:val="both"/>
        <w:outlineLvl w:val="1"/>
      </w:pPr>
      <w:hyperlink r:id="rId105" w:history="1">
        <w:r>
          <w:rPr>
            <w:color w:val="0000FF"/>
            <w:u w:val="single"/>
          </w:rPr>
          <w:t xml:space="preserve">Beslut av den 21 april 2016</w:t>
        </w:r>
      </w:hyperlink>
      <w:r>
        <w:t xml:space="preserve"> i mål C-285/15, Beca Engineering, punkt 37.</w:t>
      </w:r>
      <w:bookmarkEnd w:id="187"/>
    </w:p>
    <w:p w14:paraId="4FF7730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95C5D13" w14:textId="319BB418">
      <w:pPr>
        <w:widowControl w:val="0"/>
        <w:tabs>
          <w:tab w:val="left" w:pos="436"/>
        </w:tabs>
        <w:autoSpaceDE w:val="0"/>
        <w:autoSpaceDN w:val="0"/>
        <w:spacing w:after="0" w:line="240" w:lineRule="auto"/>
        <w:jc w:val="both"/>
        <w:rPr>
          <w:rFonts w:ascii="Times New Roman" w:hAnsi="Times New Roman" w:cs="Times New Roman" w:eastAsia="Times New Roman"/>
          <w:szCs w:val="20"/>
        </w:rPr>
        <w:pStyle w:val="P68B1DB1-Normal14"/>
      </w:pPr>
      <w:r>
        <w:t xml:space="preserve">Underlåtenhet att anmäla en ”teknisk föreskrift” medför att den inte är tillämplig och inte kan göras gällande gentemot enskilda, vilka kan åberopa artikel 8 i direktiv 98/34 vid nationella domstolar, vilka följaktligen är skyldiga att avslå dess tillämpning.</w:t>
      </w:r>
    </w:p>
    <w:p w14:paraId="4B5D090C"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4CE283BE" w14:textId="354C4BFD">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(Eftersom beslutet endast finns tillgängligt på franska och italienska är följande text en översättning.)</w:t>
      </w:r>
    </w:p>
    <w:p w14:paraId="71B521E7"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176B997E" w14:textId="2F3B42D8">
      <w:pPr>
        <w:pStyle w:val="P68B1DB1-Normal15"/>
        <w:widowControl w:val="0"/>
        <w:tabs>
          <w:tab w:val="left" w:pos="436"/>
        </w:tabs>
        <w:autoSpaceDE w:val="0"/>
        <w:autoSpaceDN w:val="0"/>
        <w:spacing w:after="0" w:line="240" w:lineRule="auto"/>
        <w:ind w:left="567"/>
        <w:jc w:val="both"/>
        <w:rPr>
          <w:iCs/>
        </w:rPr>
      </w:pPr>
      <w:r>
        <w:t xml:space="preserve">”37. Enligt fast rättspraxis innebär ett åsidosättande av medlemsstaternas skyldighet att omedelbart anmäla tekniska föreskrifter till kommissionen, vilken föreskrivs i artikel 8 i direktiv 98/34, att de tekniska föreskrifterna i fråga inte är tillämpliga, vilket innebär att de inte kan göras gällande mot enskilda och att dessa således kan åberopa artikel 8 i direktiv 98/34 vid den nationella domstolen, vilken ska underlåta att tillämpa en nationell teknisk föreskrift som inte har anmälts i enlighet med detta direktiv (se, för ett liknande resonemang, dom av den 30 april 1996, CIA</w:t>
        <w:noBreakHyphen/>
        <w:t xml:space="preserve">Security International, 194/94, punkterna 44 och 54, dom av den 26 september 2000 i mål</w:t>
        <w:noBreakHyphen/>
        <w:t xml:space="preserve">443/98, Unilever, punkt 49, och av den 16 juli 2015, UNIC och Uni.co.pel</w:t>
        <w:noBreakHyphen/>
        <w:t xml:space="preserve">, 95/14, punkt 29). ”</w:t>
      </w:r>
    </w:p>
    <w:p w14:paraId="316A0C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pPr>
        <w:pStyle w:val="P68B1DB1-Normal13"/>
        <w:widowControl w:val="0"/>
        <w:autoSpaceDE w:val="0"/>
        <w:autoSpaceDN w:val="0"/>
        <w:spacing w:after="0" w:line="240" w:lineRule="auto"/>
        <w:jc w:val="both"/>
        <w:outlineLvl w:val="1"/>
      </w:pPr>
      <w:hyperlink r:id="rId106" w:history="1">
        <w:r>
          <w:rPr>
            <w:color w:val="0000FF"/>
            <w:u w:val="single"/>
          </w:rPr>
          <w:t xml:space="preserve">Dom av den 1 februari 2017</w:t>
        </w:r>
      </w:hyperlink>
      <w:r>
        <w:t xml:space="preserve">, Município de Palmela, C</w:t>
        <w:noBreakHyphen/>
        <w:t xml:space="preserve">144/16, punkterna 36 och 37</w:t>
      </w:r>
      <w:bookmarkEnd w:id="188"/>
    </w:p>
    <w:p w14:paraId="71CD8C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48608F0" w14:textId="4E7B20FD">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Den omständigheten att icke anmälda tekniska föreskrifter inte är tillämpliga omfattar endast de bestämmelser som kvalificerar sig som sådana och inte hela den text i vilken de fastställs. </w:t>
      </w:r>
    </w:p>
    <w:p w14:paraId="75A4341D" w14:textId="77777777">
      <w:pPr>
        <w:widowControl w:val="0"/>
        <w:tabs>
          <w:tab w:val="left" w:pos="506"/>
        </w:tabs>
        <w:autoSpaceDE w:val="0"/>
        <w:autoSpaceDN w:val="0"/>
        <w:spacing w:after="0" w:line="240" w:lineRule="auto"/>
        <w:jc w:val="both"/>
        <w:rPr>
          <w:rFonts w:ascii="Times New Roman" w:hAnsi="Times New Roman" w:cs="Times New Roman" w:eastAsia="Times New Roman"/>
          <w:szCs w:val="20"/>
        </w:rPr>
      </w:pPr>
    </w:p>
    <w:p w14:paraId="0AB4BF23" w14:textId="0FC0DDA5">
      <w:pPr>
        <w:pStyle w:val="P68B1DB1-Normal15"/>
        <w:widowControl w:val="0"/>
        <w:tabs>
          <w:tab w:val="left" w:pos="506"/>
        </w:tabs>
        <w:autoSpaceDE w:val="0"/>
        <w:autoSpaceDN w:val="0"/>
        <w:spacing w:after="0" w:line="240" w:lineRule="auto"/>
        <w:ind w:left="567"/>
        <w:jc w:val="both"/>
      </w:pPr>
      <w:r>
        <w:t xml:space="preserve">”36. Påföljden för underlåtenhet att uppfylla en sådan anmälningsskyldighet är dessutom att tekniska föreskrifter som inte har anmälts inte är tillämpliga (se, för ett liknande resonemang, vad gäller direktiv 83/189, dom av den 30 april 1996, CIA Security International, C-194/94, EU:C:54:67, punkt, och, vad gäller direktiv 98/34, dom av den 4 februari 2016, Ince, C-336/14, Dubli, punkt och där angiven rättspraxis).</w:t>
      </w:r>
    </w:p>
    <w:p w14:paraId="53154754" w14:textId="77777777">
      <w:pPr>
        <w:pStyle w:val="P68B1DB1-Normal15"/>
        <w:widowControl w:val="0"/>
        <w:tabs>
          <w:tab w:val="left" w:pos="506"/>
        </w:tabs>
        <w:autoSpaceDE w:val="0"/>
        <w:autoSpaceDN w:val="0"/>
        <w:spacing w:after="0" w:line="240" w:lineRule="auto"/>
        <w:ind w:left="567"/>
        <w:jc w:val="both"/>
      </w:pPr>
    </w:p>
    <w:p w14:paraId="3D0698B5" w14:textId="300775AA">
      <w:pPr>
        <w:pStyle w:val="P68B1DB1-Normal15"/>
        <w:widowControl w:val="0"/>
        <w:tabs>
          <w:tab w:val="left" w:pos="506"/>
        </w:tabs>
        <w:autoSpaceDE w:val="0"/>
        <w:autoSpaceDN w:val="0"/>
        <w:spacing w:after="0" w:line="240" w:lineRule="auto"/>
        <w:ind w:left="567"/>
        <w:jc w:val="both"/>
        <w:rPr>
          <w:iCs/>
        </w:rPr>
      </w:pPr>
      <w:r>
        <w:t xml:space="preserve">37. Även om det enligt artikel 8.1 i direktiv 83/189 och artikel 8.1 i direktiv 98/34 krävs att hela utkastet till en lag som innehåller tekniska föreskrifter överlämnas till kommissionen, omfattar den omständigheten att en sådan sanktion inte är tillämplig till följd av åsidosättandet av denna skyldighet inte samtliga bestämmelser i en sådan lag, utan endast de tekniska föreskrifter som ingår i denna (se, för ett liknande resonemang, dom av den 4 februari 2016 i mål C-336/14, Ince, punkt 68). ”</w:t>
      </w:r>
    </w:p>
    <w:p w14:paraId="554FD6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pPr>
        <w:pStyle w:val="P68B1DB1-Normal13"/>
        <w:widowControl w:val="0"/>
        <w:autoSpaceDE w:val="0"/>
        <w:autoSpaceDN w:val="0"/>
        <w:spacing w:after="0" w:line="240" w:lineRule="auto"/>
        <w:jc w:val="both"/>
        <w:outlineLvl w:val="1"/>
      </w:pPr>
      <w:hyperlink r:id="rId107" w:history="1">
        <w:r>
          <w:rPr>
            <w:color w:val="0000FF"/>
            <w:u w:val="single"/>
          </w:rPr>
          <w:t xml:space="preserve">Dom av den 12 september 2019</w:t>
        </w:r>
      </w:hyperlink>
      <w:r>
        <w:t xml:space="preserve"> i mål C-299/17, VG Media, punkt 39.</w:t>
      </w:r>
      <w:bookmarkEnd w:id="189"/>
    </w:p>
    <w:p w14:paraId="4D9638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70EAA48" w14:textId="672654D1">
      <w:pPr>
        <w:pStyle w:val="P68B1DB1-Normal14"/>
        <w:widowControl w:val="0"/>
        <w:tabs>
          <w:tab w:val="left" w:pos="396"/>
        </w:tabs>
        <w:autoSpaceDE w:val="0"/>
        <w:autoSpaceDN w:val="0"/>
        <w:spacing w:after="0" w:line="240" w:lineRule="auto"/>
        <w:jc w:val="both"/>
      </w:pPr>
      <w:r>
        <w:t xml:space="preserve">Att en icke anmäld ”teknisk föreskrift” inte är tillämplig kan åberopas i en tvist mellan enskilda.</w:t>
      </w:r>
    </w:p>
    <w:p w14:paraId="28A74567" w14:textId="77777777">
      <w:pPr>
        <w:widowControl w:val="0"/>
        <w:tabs>
          <w:tab w:val="left" w:pos="396"/>
        </w:tabs>
        <w:autoSpaceDE w:val="0"/>
        <w:autoSpaceDN w:val="0"/>
        <w:spacing w:after="0" w:line="240" w:lineRule="auto"/>
        <w:jc w:val="both"/>
        <w:rPr>
          <w:rFonts w:ascii="Times New Roman" w:hAnsi="Times New Roman" w:cs="Times New Roman" w:eastAsia="Times New Roman"/>
          <w:szCs w:val="20"/>
        </w:rPr>
      </w:pPr>
    </w:p>
    <w:p w14:paraId="341E5191" w14:textId="072C374E">
      <w:pPr>
        <w:pStyle w:val="P68B1DB1-Normal15"/>
        <w:widowControl w:val="0"/>
        <w:tabs>
          <w:tab w:val="left" w:pos="396"/>
        </w:tabs>
        <w:autoSpaceDE w:val="0"/>
        <w:autoSpaceDN w:val="0"/>
        <w:spacing w:after="0" w:line="240" w:lineRule="auto"/>
        <w:ind w:left="567"/>
        <w:jc w:val="both"/>
        <w:rPr>
          <w:iCs/>
        </w:rPr>
      </w:pPr>
      <w:r>
        <w:t>”</w:t>
      </w:r>
      <w:bookmarkStart w:id="190" w:name="point39"/>
      <w:r>
        <w:t>39</w:t>
      </w:r>
      <w:bookmarkEnd w:id="190"/>
      <w:r>
        <w:t xml:space="preserve">. I den mån en sådan föreskrift som den som är aktuell i det nationella målet specifikt avser informationssamhällets tjänster, ska utkastet till teknisk föreskrift anmälas till kommissionen enligt artikel 8.1 i direktiv 98/34. I annat fall kan enligt fast rättspraxis den omständigheten att en teknisk föreskrift som inte har anmälts i enlighet med denna bestämmelse inte är tillämplig åberopas i en tvist mellan enskilda (dom av den 27 oktober 2016, James Elliott Construction</w:t>
        <w:noBreakHyphen/>
        <w:t xml:space="preserve">, C 613/14, punkt 64 och där angiven rättspraxis). ”</w:t>
      </w:r>
    </w:p>
    <w:p w14:paraId="67343887" w14:textId="77777777">
      <w:pPr>
        <w:pStyle w:val="P68B1DB1-Normal16"/>
        <w:spacing w:after="0" w:line="240" w:lineRule="auto"/>
        <w:rPr>
          <w:i/>
          <w:iCs/>
        </w:rPr>
      </w:pPr>
      <w:r>
        <w:br w:type="page"/>
      </w:r>
    </w:p>
    <w:p w14:paraId="3EE7303A" w14:textId="250577BE">
      <w:pPr>
        <w:pStyle w:val="P68B1DB1-Heading24"/>
        <w:numPr>
          <w:ilvl w:val="0"/>
          <w:numId w:val="38"/>
        </w:numPr>
        <w:spacing w:before="0" w:after="0"/>
        <w:jc w:val="center"/>
        <w:rPr>
          <w:bCs/>
          <w:color w:val="auto"/>
        </w:rPr>
      </w:pPr>
      <w:bookmarkStart w:id="191" w:name="_Ref194485069"/>
      <w:bookmarkStart w:id="192" w:name="_Toc203035686"/>
      <w:r>
        <w:t xml:space="preserve">Ej tillämpligt i händelse av antagande under frysningsperioden</w:t>
      </w:r>
      <w:bookmarkEnd w:id="191"/>
      <w:bookmarkEnd w:id="192"/>
    </w:p>
    <w:p w14:paraId="37876FE6" w14:textId="77777777">
      <w:pPr>
        <w:widowControl w:val="0"/>
        <w:tabs>
          <w:tab w:val="left" w:pos="396"/>
        </w:tabs>
        <w:autoSpaceDE w:val="0"/>
        <w:autoSpaceDN w:val="0"/>
        <w:spacing w:after="0" w:line="240" w:lineRule="auto"/>
        <w:ind w:left="567"/>
        <w:jc w:val="both"/>
        <w:rPr>
          <w:rFonts w:ascii="Times New Roman" w:hAnsi="Times New Roman" w:cs="Times New Roman" w:eastAsia="Times New Roman"/>
          <w:i/>
          <w:iCs/>
          <w:sz w:val="20"/>
          <w:szCs w:val="16"/>
        </w:rPr>
      </w:pPr>
    </w:p>
    <w:p w14:paraId="0D0639E5" w14:textId="5783481F">
      <w:pPr>
        <w:pStyle w:val="P68B1DB1-Normal13"/>
        <w:widowControl w:val="0"/>
        <w:autoSpaceDE w:val="0"/>
        <w:autoSpaceDN w:val="0"/>
        <w:spacing w:after="0" w:line="240" w:lineRule="auto"/>
        <w:jc w:val="both"/>
        <w:outlineLvl w:val="1"/>
      </w:pPr>
      <w:hyperlink r:id="rId108" w:history="1">
        <w:r>
          <w:rPr>
            <w:color w:val="0000FF"/>
            <w:u w:val="single"/>
          </w:rPr>
          <w:t xml:space="preserve">Dom av den 26 september 2000</w:t>
        </w:r>
      </w:hyperlink>
      <w:r>
        <w:t xml:space="preserve"> i mål C-443/98, Unilever, punkterna 44 och 49.</w:t>
      </w:r>
      <w:bookmarkEnd w:id="193"/>
    </w:p>
    <w:p w14:paraId="42E7AF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BBEE81D" w14:textId="01D7910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Åsidosättandet av skyldigheten att skjuta upp antagandet av en ”teknisk föreskrift” utgör ett väsentligt förfarandefel och den därav följande avsaknaden av tillämplighet kan åberopas i civilrättsliga avtalsrättsliga förfaranden.</w:t>
      </w:r>
    </w:p>
    <w:p w14:paraId="44D1FDCE" w14:textId="77777777">
      <w:pPr>
        <w:widowControl w:val="0"/>
        <w:autoSpaceDE w:val="0"/>
        <w:autoSpaceDN w:val="0"/>
        <w:spacing w:after="0" w:line="240" w:lineRule="auto"/>
        <w:jc w:val="both"/>
        <w:rPr>
          <w:rFonts w:ascii="Times New Roman" w:hAnsi="Times New Roman" w:cs="Times New Roman" w:eastAsia="Times New Roman"/>
          <w:szCs w:val="20"/>
        </w:rPr>
      </w:pPr>
    </w:p>
    <w:p w14:paraId="75DB8828" w14:textId="28728DEC">
      <w:pPr>
        <w:pStyle w:val="P68B1DB1-Normal15"/>
        <w:widowControl w:val="0"/>
        <w:autoSpaceDE w:val="0"/>
        <w:autoSpaceDN w:val="0"/>
        <w:spacing w:after="0"/>
        <w:ind w:left="567"/>
        <w:jc w:val="both"/>
      </w:pPr>
      <w:r>
        <w:t xml:space="preserve">”44. Även om domstolen i punkt 48 i domen i det ovannämnda målet CIA Security, efter att ha erinrat om att syftet med direktiv 83/189 var att skydda den fria rörligheten för varor genom förebyggande kontroll och att anmälningsskyldigheten var nödvändig för att genomföra en sådan gemenskapskontroll, fann att effektiviteten av en sådan kontroll skulle vara mycket större om direktivet tolkades på så sätt att ett åsidosättande av anmälningsskyldigheten utgjorde ett väsentligt förfarandefel som gjorde att de tekniska föreskrifterna i fråga inte kunde tillämpas på enskilda, följer det av övervägandena i punkterna 40–43 i förevarande dom att åsidosättandet av skyldigheten att skjuta upp antagandet enligt artikel 9 i direktiv 83/189 även utgör ett väsentligt formfel som gör att tekniska föreskrifter inte kan tillämpas. ”</w:t>
      </w:r>
    </w:p>
    <w:p w14:paraId="02036EC1"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58BC9E48" w14:textId="635AF4A5">
      <w:pPr>
        <w:pStyle w:val="P68B1DB1-Normal15"/>
        <w:widowControl w:val="0"/>
        <w:autoSpaceDE w:val="0"/>
        <w:autoSpaceDN w:val="0"/>
        <w:spacing w:after="0" w:line="240" w:lineRule="auto"/>
        <w:ind w:left="567"/>
        <w:jc w:val="both"/>
        <w:rPr>
          <w:iCs/>
        </w:rPr>
      </w:pPr>
      <w:r>
        <w:t xml:space="preserve">”49. Det framgår således av domstolens praxis att den omständigheten att en teknisk föreskrift som inte har anmälts i enlighet med artikel 8 i direktiv 83/189 inte är tillämplig kan åberopas i en tvist mellan enskilda av de skäl som anges i punkterna 40–43 i förevarande dom. Detsamma gäller åsidosättande av de skyldigheter som föreskrivs i artikel 9 i direktivet, och det saknas i detta avseende anledning att behandla tvister mellan enskilda som rör illojal konkurrens på olika sätt, såsom i målet CIA Security International, från tvister mellan enskilda om rättigheter och skyldigheter av avtalskaraktär, såsom i målet vid den nationella domstolen. ”</w:t>
      </w:r>
    </w:p>
    <w:p w14:paraId="2398ED1C"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pPr>
        <w:pStyle w:val="P68B1DB1-Normal13"/>
        <w:widowControl w:val="0"/>
        <w:autoSpaceDE w:val="0"/>
        <w:autoSpaceDN w:val="0"/>
        <w:spacing w:after="0" w:line="240" w:lineRule="auto"/>
        <w:jc w:val="both"/>
        <w:outlineLvl w:val="1"/>
      </w:pPr>
      <w:hyperlink r:id="rId109" w:history="1">
        <w:r>
          <w:rPr>
            <w:color w:val="0000FF"/>
            <w:u w:val="single"/>
          </w:rPr>
          <w:t xml:space="preserve">Dom av den 16 juli 2015</w:t>
        </w:r>
      </w:hyperlink>
      <w:r>
        <w:t xml:space="preserve"> i mål C-95/14, UNIC och Uni.co.pel, punkterna 29 och 30.</w:t>
      </w:r>
      <w:bookmarkEnd w:id="194"/>
    </w:p>
    <w:p w14:paraId="1A2641F5" w14:textId="77777777">
      <w:pPr>
        <w:pStyle w:val="P68B1DB1-Normal13"/>
        <w:widowControl w:val="0"/>
        <w:autoSpaceDE w:val="0"/>
        <w:autoSpaceDN w:val="0"/>
        <w:spacing w:after="0" w:line="240" w:lineRule="auto"/>
        <w:jc w:val="both"/>
        <w:outlineLvl w:val="1"/>
        <w:rPr>
          <w:color w:val="0000FF"/>
          <w:u w:val="single"/>
        </w:rPr>
      </w:pPr>
    </w:p>
    <w:p w14:paraId="6A41CA20" w14:textId="5D78CD99">
      <w:pPr>
        <w:pStyle w:val="P68B1DB1-Normal14"/>
        <w:widowControl w:val="0"/>
        <w:tabs>
          <w:tab w:val="left" w:pos="458"/>
        </w:tabs>
        <w:autoSpaceDE w:val="0"/>
        <w:autoSpaceDN w:val="0"/>
        <w:spacing w:after="0" w:line="240" w:lineRule="auto"/>
        <w:jc w:val="both"/>
      </w:pPr>
      <w:r>
        <w:t xml:space="preserve">En teknisk föreskrift kan inte tillämpas om den inte har anmälts eller om den, även om den anmälts, har antagits och genomförts före utgången av frysningsperioden. Underlåtenheten att iaktta denna period under vilken avtal inte får ingås utgör ett materiellt förfarandefel som gör att den aktuella ”tekniska föreskriften” inte är tillämplig och inte kan göras gällande mot enskilda.</w:t>
      </w:r>
    </w:p>
    <w:p w14:paraId="78F423B5" w14:textId="77777777">
      <w:pPr>
        <w:widowControl w:val="0"/>
        <w:tabs>
          <w:tab w:val="left" w:pos="458"/>
        </w:tabs>
        <w:autoSpaceDE w:val="0"/>
        <w:autoSpaceDN w:val="0"/>
        <w:spacing w:after="0" w:line="240" w:lineRule="auto"/>
        <w:jc w:val="both"/>
        <w:rPr>
          <w:rFonts w:ascii="Times New Roman" w:hAnsi="Times New Roman" w:cs="Times New Roman" w:eastAsia="Times New Roman"/>
          <w:szCs w:val="20"/>
        </w:rPr>
      </w:pPr>
    </w:p>
    <w:p w14:paraId="671D359F" w14:textId="02315FA1">
      <w:pPr>
        <w:pStyle w:val="P68B1DB1-Normal15"/>
        <w:widowControl w:val="0"/>
        <w:tabs>
          <w:tab w:val="left" w:pos="413"/>
        </w:tabs>
        <w:autoSpaceDE w:val="0"/>
        <w:autoSpaceDN w:val="0"/>
        <w:spacing w:after="0" w:line="240" w:lineRule="auto"/>
        <w:ind w:left="567"/>
        <w:jc w:val="both"/>
      </w:pPr>
      <w:r>
        <w:t xml:space="preserve">”29. Det ska i detta hänseende påpekas att en teknisk föreskrift inte kan tillämpas om den inte har anmälts i enlighet med artikel 8.1 i direktiv 98/34 eller om den, trots att den har anmälts, har antagits och genomförts före utgången av den tremånadersperiod under vilken avtal inte får ingås enligt artikel 9.1 i direktivet (se dom CIA Security International, C-194/94, EU:C:41:44, punkterna 54, 49 och, och dom i mål C-443/98, Unilever, punkt).</w:t>
      </w:r>
    </w:p>
    <w:p w14:paraId="669F0D65" w14:textId="77777777">
      <w:pPr>
        <w:pStyle w:val="P68B1DB1-Normal15"/>
        <w:widowControl w:val="0"/>
        <w:tabs>
          <w:tab w:val="left" w:pos="413"/>
        </w:tabs>
        <w:autoSpaceDE w:val="0"/>
        <w:autoSpaceDN w:val="0"/>
        <w:spacing w:after="0" w:line="240" w:lineRule="auto"/>
        <w:ind w:left="567"/>
        <w:jc w:val="both"/>
      </w:pPr>
    </w:p>
    <w:p w14:paraId="6F40553C" w14:textId="5546CC32">
      <w:pPr>
        <w:pStyle w:val="P68B1DB1-Normal15"/>
        <w:widowControl w:val="0"/>
        <w:tabs>
          <w:tab w:val="left" w:pos="413"/>
        </w:tabs>
        <w:autoSpaceDE w:val="0"/>
        <w:autoSpaceDN w:val="0"/>
        <w:spacing w:after="0" w:line="240" w:lineRule="auto"/>
        <w:ind w:left="567"/>
        <w:jc w:val="both"/>
        <w:rPr>
          <w:iCs/>
        </w:rPr>
      </w:pPr>
      <w:r>
        <w:t xml:space="preserve">30. I det nationella målet ankommer det följaktligen på den hänskjutande domstolen att pröva huruvida lag nr 8/2013 har trätt i kraft utan att iaktta den period under vilken avtal inte får ingås enligt artikel 9 i direktiv 98/34. Om så är fallet, utgör underlåtenheten att iaktta frysningsperioden ett väsentligt formfel som medför att den tekniska föreskriften i fråga inte får tillämpas. Såsom generaladvokaten påpekade i punkterna 44–47 i sitt förslag till avgörande skulle artikel 3.2 i lag nr 8/2103 i det fallet inte kunna göras gällande mot enskilda. ”</w:t>
      </w:r>
    </w:p>
    <w:p w14:paraId="6059C0D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10" w:history="1">
        <w:r>
          <w:rPr>
            <w:rStyle w:val="Hyperlink"/>
            <w:rFonts w:ascii="Times New Roman" w:hAnsi="Times New Roman" w:cs="Times New Roman" w:eastAsia="Times New Roman"/>
            <w:b/>
            <w:i/>
            <w:color w:val="0000FF"/>
            <w:szCs w:val="20"/>
          </w:rPr>
          <w:t xml:space="preserve">Domstolens dom av den 21 december 2023</w:t>
        </w:r>
      </w:hyperlink>
      <w:r>
        <w:rPr>
          <w:rFonts w:ascii="Times New Roman" w:hAnsi="Times New Roman" w:cs="Times New Roman" w:eastAsia="Times New Roman"/>
          <w:b/>
          <w:i/>
          <w:szCs w:val="20"/>
        </w:rPr>
        <w:t xml:space="preserve"> i mål C-86/22, Papier Mettler Italia, punkterna 48 och 51.</w:t>
      </w:r>
      <w:bookmarkEnd w:id="195"/>
    </w:p>
    <w:p w14:paraId="72FE2D2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184A21" w14:textId="5074D777">
      <w:pPr>
        <w:pStyle w:val="P68B1DB1-Normal17"/>
        <w:widowControl w:val="0"/>
        <w:autoSpaceDE w:val="0"/>
        <w:autoSpaceDN w:val="0"/>
        <w:spacing w:after="0" w:line="240" w:lineRule="auto"/>
        <w:jc w:val="both"/>
      </w:pPr>
      <w:r>
        <w:t xml:space="preserve">Antagandet av ett utkast till ”teknisk föreskrift” sex dagar efter anmälan strider mot direktivet.</w:t>
      </w:r>
    </w:p>
    <w:p w14:paraId="6AE096BF" w14:textId="77777777">
      <w:pPr>
        <w:widowControl w:val="0"/>
        <w:autoSpaceDE w:val="0"/>
        <w:autoSpaceDN w:val="0"/>
        <w:spacing w:after="0" w:line="240" w:lineRule="auto"/>
        <w:jc w:val="both"/>
        <w:rPr>
          <w:rFonts w:ascii="Times New Roman" w:hAnsi="Times New Roman" w:cs="Times New Roman" w:eastAsia="Times New Roman"/>
        </w:rPr>
      </w:pPr>
    </w:p>
    <w:p w14:paraId="49072627" w14:textId="0533C648">
      <w:pPr>
        <w:pStyle w:val="P68B1DB1-Normal17"/>
        <w:widowControl w:val="0"/>
        <w:autoSpaceDE w:val="0"/>
        <w:autoSpaceDN w:val="0"/>
        <w:spacing w:after="0" w:line="240" w:lineRule="auto"/>
        <w:jc w:val="both"/>
      </w:pPr>
      <w:r>
        <w:t xml:space="preserve">Klausuler som uppställer som villkor för att lagstiftning ska träda i kraft att kommissionen inte reagerar på denna lagstiftning (”suspensiva klausuler”) strider mot direktivet, eftersom antagandet av sådan lagstiftning inte gör det möjligt att beakta andra medlemsstaters synpunkter och strider mot rättssäkerhetsprincipen. </w:t>
      </w:r>
    </w:p>
    <w:p w14:paraId="324F8208"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F3C3AE8" w14:textId="66B8593F">
      <w:pPr>
        <w:pStyle w:val="P68B1DB1-Normal15"/>
        <w:widowControl w:val="0"/>
        <w:autoSpaceDE w:val="0"/>
        <w:autoSpaceDN w:val="0"/>
        <w:spacing w:after="0" w:line="240" w:lineRule="auto"/>
        <w:ind w:left="567"/>
        <w:jc w:val="both"/>
        <w:outlineLvl w:val="1"/>
        <w:rPr>
          <w:iCs/>
        </w:rPr>
      </w:pPr>
      <w:bookmarkStart w:id="196" w:name="_Toc198043912"/>
      <w:r>
        <w:t>”</w:t>
      </w:r>
      <w:bookmarkStart w:id="197" w:name="point48"/>
      <w:r>
        <w:t>48</w:t>
      </w:r>
      <w:bookmarkEnd w:id="197"/>
      <w:r>
        <w:t xml:space="preserve">. För det andra strider antagandet av det dekret som är aktuellt i det nationella målet inom sex dagar efter det att det anmälts till kommissionen enligt artikel 8.1 i direktivet även mot den skyldighet som föreskrivs i artikel 9.1 i direktivet, enligt vilken medlemsstaterna ska skjuta upp antagandet av ett ”förslag till teknisk föreskrift” med tre månader från den dag då kommissionen mottog det meddelande som avses i artikel 8.1 i direktivet. ”</w:t>
      </w:r>
      <w:bookmarkEnd w:id="196"/>
    </w:p>
    <w:p w14:paraId="34ACB37E" w14:textId="77777777">
      <w:pPr>
        <w:widowControl w:val="0"/>
        <w:autoSpaceDE w:val="0"/>
        <w:autoSpaceDN w:val="0"/>
        <w:spacing w:after="0" w:line="240" w:lineRule="auto"/>
        <w:ind w:left="567"/>
        <w:jc w:val="both"/>
        <w:outlineLvl w:val="1"/>
      </w:pPr>
    </w:p>
    <w:p w14:paraId="14BB6DC8" w14:textId="1355B8C7">
      <w:pPr>
        <w:pStyle w:val="P68B1DB1-Normal15"/>
        <w:widowControl w:val="0"/>
        <w:autoSpaceDE w:val="0"/>
        <w:autoSpaceDN w:val="0"/>
        <w:spacing w:after="0" w:line="240" w:lineRule="auto"/>
        <w:ind w:left="567"/>
        <w:jc w:val="both"/>
        <w:rPr>
          <w:iCs/>
        </w:rPr>
      </w:pPr>
      <w:r>
        <w:t>”</w:t>
      </w:r>
      <w:bookmarkStart w:id="198" w:name="point51"/>
      <w:r>
        <w:t>51</w:t>
      </w:r>
      <w:bookmarkEnd w:id="198"/>
      <w:r>
        <w:t xml:space="preserve">. Vad gäller det andra skälet som den italienska regeringen har åberopat, det vill säga att det angavs i artikel 6 i det omstridda dekretet att det endast skulle kunna träda i kraft om det anmälningsförfarande som inleddes den 12 mars 2013 med stöd av artikel 8.1 i direktiv 98/34 fick ”en positiv utgång”, vilket det dock inte fick, då kommissionen inte lämnade något utlåtande om dekretet, kan följande invändningar göras. För det första kan redan den omständigheten att det omstridda dekretet antogs och offentliggjordes ha haft viss inverkan på den fria rörligheten för de berörda varorna. Detta argument kan inte godtas, eftersom antagandet och offentliggörandet av dekretet i sig kan få vissa konsekvenser för den fria rörligheten för de berörda varorna. för det andra har de inte gjort det möjligt att beakta yttranden och detaljerade utlåtanden från Konungariket Nederländerna, Konungariket Sverige och Förenade konungariket Storbritannien och Nordirland. för det tredje utgör de, såsom generaladvokaten har påpekat i punkt 52 i sitt förslag till avgörande, en lagstiftningsteknik som är oförenlig med rättssäkerhetsprincipen. ”</w:t>
      </w:r>
    </w:p>
    <w:p w14:paraId="4AC163BF" w14:textId="77777777">
      <w:pPr>
        <w:pStyle w:val="P68B1DB1-Normal16"/>
        <w:spacing w:after="0" w:line="240" w:lineRule="auto"/>
        <w:rPr>
          <w:i/>
          <w:iCs/>
        </w:rPr>
      </w:pPr>
      <w:r>
        <w:br w:type="page"/>
      </w:r>
    </w:p>
    <w:p w14:paraId="781C6309" w14:textId="325A6AD3">
      <w:pPr>
        <w:pStyle w:val="P68B1DB1-Heading24"/>
        <w:numPr>
          <w:ilvl w:val="0"/>
          <w:numId w:val="38"/>
        </w:numPr>
        <w:spacing w:before="0" w:after="0"/>
        <w:jc w:val="center"/>
        <w:rPr>
          <w:bCs/>
          <w:color w:val="auto"/>
        </w:rPr>
      </w:pPr>
      <w:bookmarkStart w:id="199" w:name="_Ref194485197"/>
      <w:bookmarkStart w:id="200" w:name="_Toc203035687"/>
      <w:r>
        <w:t xml:space="preserve">Förtydligande av verkningarna av att direktivet inte är tillämpligt</w:t>
      </w:r>
      <w:bookmarkEnd w:id="199"/>
      <w:bookmarkEnd w:id="200"/>
    </w:p>
    <w:p w14:paraId="606EC11D" w14:textId="756F529E">
      <w:pPr>
        <w:pStyle w:val="P68B1DB1-Normal15"/>
        <w:widowControl w:val="0"/>
        <w:autoSpaceDE w:val="0"/>
        <w:autoSpaceDN w:val="0"/>
        <w:spacing w:after="0" w:line="240" w:lineRule="auto"/>
        <w:ind w:left="567"/>
        <w:jc w:val="both"/>
        <w:rPr>
          <w:iCs/>
        </w:rPr>
      </w:pPr>
      <w:r>
        <w:t xml:space="preserve">          </w:t>
      </w:r>
    </w:p>
    <w:p w14:paraId="7D2667CD" w14:textId="02A04B70">
      <w:pPr>
        <w:pStyle w:val="P68B1DB1-Normal13"/>
        <w:widowControl w:val="0"/>
        <w:autoSpaceDE w:val="0"/>
        <w:autoSpaceDN w:val="0"/>
        <w:spacing w:after="0" w:line="240" w:lineRule="auto"/>
        <w:jc w:val="both"/>
        <w:outlineLvl w:val="1"/>
      </w:pPr>
      <w:hyperlink r:id="rId111" w:anchor="ctx1" w:history="1">
        <w:r>
          <w:rPr>
            <w:color w:val="0000FF"/>
            <w:u w:val="single"/>
          </w:rPr>
          <w:t xml:space="preserve">Dom av den 11 juni 2015</w:t>
        </w:r>
      </w:hyperlink>
      <w:r>
        <w:t xml:space="preserve"> i mål C-98/14, Berlington Hungary m.fl., punkterna 108 och 109</w:t>
      </w:r>
      <w:bookmarkEnd w:id="201"/>
    </w:p>
    <w:p w14:paraId="4569287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68A195" w14:textId="7B49416F">
      <w:pPr>
        <w:widowControl w:val="0"/>
        <w:tabs>
          <w:tab w:val="left" w:pos="416"/>
        </w:tabs>
        <w:autoSpaceDE w:val="0"/>
        <w:autoSpaceDN w:val="0"/>
        <w:spacing w:after="0" w:line="240" w:lineRule="auto"/>
        <w:jc w:val="both"/>
        <w:rPr>
          <w:rFonts w:ascii="Times New Roman" w:hAnsi="Times New Roman" w:cs="Times New Roman" w:eastAsia="Times New Roman"/>
          <w:szCs w:val="20"/>
        </w:rPr>
        <w:pStyle w:val="P68B1DB1-Normal14"/>
      </w:pPr>
      <w:r>
        <w:t xml:space="preserve">Anmälnings- och genomförandeskyldigheter är inte avsedda att ge enskilda rättigheter. Följaktligen ger inte en medlemsstat, enligt unionsrätten, enskilda rätt att begära ersättning från denna medlemsstat för eventuell skada.</w:t>
      </w:r>
    </w:p>
    <w:p w14:paraId="3D1B5CA6" w14:textId="77777777">
      <w:pPr>
        <w:widowControl w:val="0"/>
        <w:tabs>
          <w:tab w:val="left" w:pos="416"/>
        </w:tabs>
        <w:autoSpaceDE w:val="0"/>
        <w:autoSpaceDN w:val="0"/>
        <w:spacing w:after="0" w:line="240" w:lineRule="auto"/>
        <w:jc w:val="both"/>
        <w:rPr>
          <w:rFonts w:ascii="Times New Roman" w:hAnsi="Times New Roman" w:cs="Times New Roman" w:eastAsia="Times New Roman"/>
          <w:szCs w:val="20"/>
        </w:rPr>
      </w:pPr>
    </w:p>
    <w:p w14:paraId="689BAE8B" w14:textId="2C62B4CE">
      <w:pPr>
        <w:pStyle w:val="P68B1DB1-Normal15"/>
        <w:widowControl w:val="0"/>
        <w:tabs>
          <w:tab w:val="left" w:pos="416"/>
        </w:tabs>
        <w:autoSpaceDE w:val="0"/>
        <w:autoSpaceDN w:val="0"/>
        <w:spacing w:after="0" w:line="240" w:lineRule="auto"/>
        <w:ind w:left="567"/>
        <w:jc w:val="both"/>
      </w:pPr>
      <w:r>
        <w:t xml:space="preserve">”108. Det framgår av rättspraxis att direktiv 98/34 visserligen syftar till att säkerställa den fria rörligheten för varor genom att organisera en förebyggande kontroll vars effektivitet kräver att en nationell åtgärd som antagits i strid med artiklarna 8 och 9 i direktivet inte tillämpas i en tvist mellan enskilda. Direktivet innehåller emellertid inte någon definition av det materiella tillämpningsområdet för den rättsregel på grundval av vilken den nationella domstolen ska avgöra det mål som är anhängigt vid den. Direktivet skapar således varken rättigheter eller skyldigheter för enskilda (dom Unilever, C-443/98, Dubli, punkt 51).</w:t>
      </w:r>
    </w:p>
    <w:p w14:paraId="3783F5A5" w14:textId="77777777">
      <w:pPr>
        <w:pStyle w:val="P68B1DB1-Normal15"/>
        <w:widowControl w:val="0"/>
        <w:tabs>
          <w:tab w:val="left" w:pos="416"/>
        </w:tabs>
        <w:autoSpaceDE w:val="0"/>
        <w:autoSpaceDN w:val="0"/>
        <w:spacing w:after="0" w:line="240" w:lineRule="auto"/>
        <w:ind w:left="567"/>
        <w:jc w:val="both"/>
      </w:pPr>
    </w:p>
    <w:p w14:paraId="6B92FF8B" w14:textId="78BC6D0C">
      <w:pPr>
        <w:pStyle w:val="P68B1DB1-Normal15"/>
        <w:widowControl w:val="0"/>
        <w:tabs>
          <w:tab w:val="left" w:pos="416"/>
        </w:tabs>
        <w:autoSpaceDE w:val="0"/>
        <w:autoSpaceDN w:val="0"/>
        <w:spacing w:after="0" w:line="240" w:lineRule="auto"/>
        <w:ind w:left="567"/>
        <w:jc w:val="both"/>
        <w:rPr>
          <w:iCs/>
        </w:rPr>
      </w:pPr>
      <w:r>
        <w:t xml:space="preserve">109. Under dessa omständigheter konstaterar domstolen att det första av de villkor som anges i punkt 104 inte är uppfyllt, vilket innebär att enskilda inte kan göra gällande att artiklarna 8 och 9 i direktivet har åsidosatts för att göra den berörda medlemsstaten ansvarig på grundval av unionsrätten. ”</w:t>
      </w:r>
    </w:p>
    <w:p w14:paraId="73CEA11C" w14:textId="62A8886A">
      <w:pPr>
        <w:pStyle w:val="P68B1DB1-Normal29"/>
        <w:spacing w:after="0" w:line="240" w:lineRule="auto"/>
        <w:rPr>
          <w:i/>
          <w:iCs/>
        </w:rPr>
      </w:pPr>
      <w:r>
        <w:br w:type="page"/>
      </w:r>
    </w:p>
    <w:p w14:paraId="1EE58DB8" w14:textId="063FB854">
      <w:pPr>
        <w:pStyle w:val="P68B1DB1-Heading24"/>
        <w:numPr>
          <w:ilvl w:val="0"/>
          <w:numId w:val="38"/>
        </w:numPr>
        <w:spacing w:before="0" w:after="0"/>
        <w:jc w:val="center"/>
        <w:rPr>
          <w:bCs/>
          <w:color w:val="auto"/>
        </w:rPr>
      </w:pPr>
      <w:bookmarkStart w:id="202" w:name="_Ref194943555"/>
      <w:bookmarkStart w:id="203" w:name="_Toc198043914"/>
      <w:bookmarkStart w:id="204" w:name="_Toc203035688"/>
      <w:r>
        <w:t>Överträdelseförfarande</w:t>
      </w:r>
      <w:bookmarkEnd w:id="202"/>
      <w:bookmarkEnd w:id="203"/>
      <w:bookmarkEnd w:id="204"/>
    </w:p>
    <w:p w14:paraId="7CCCC14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pPr>
        <w:pStyle w:val="P68B1DB1-Normal13"/>
        <w:widowControl w:val="0"/>
        <w:autoSpaceDE w:val="0"/>
        <w:autoSpaceDN w:val="0"/>
        <w:spacing w:after="0" w:line="240" w:lineRule="auto"/>
        <w:jc w:val="both"/>
        <w:outlineLvl w:val="1"/>
      </w:pPr>
      <w:hyperlink r:id="rId112" w:history="1">
        <w:r>
          <w:rPr>
            <w:color w:val="0000FF"/>
            <w:u w:val="single"/>
          </w:rPr>
          <w:t xml:space="preserve">Domstolens dom av den 4 juni 2009</w:t>
        </w:r>
      </w:hyperlink>
      <w:r>
        <w:t xml:space="preserve"> i mål C-109/08, kommissionen mot Grekland, punkterna 14–17.</w:t>
      </w:r>
      <w:bookmarkEnd w:id="205"/>
    </w:p>
    <w:p w14:paraId="764614BF" w14:textId="77777777">
      <w:pPr>
        <w:widowControl w:val="0"/>
        <w:autoSpaceDE w:val="0"/>
        <w:autoSpaceDN w:val="0"/>
        <w:spacing w:after="0" w:line="240" w:lineRule="auto"/>
        <w:jc w:val="both"/>
        <w:rPr>
          <w:rFonts w:ascii="Times New Roman" w:hAnsi="Times New Roman" w:cs="Times New Roman" w:eastAsia="Times New Roman"/>
          <w:szCs w:val="20"/>
        </w:rPr>
      </w:pPr>
    </w:p>
    <w:p w14:paraId="2AE57DC7" w14:textId="4EB830F5">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För att säkerställa en enhetlig tillämpning av unionsrätten är det nödvändigt att omedelbart följa en dom från EU-domstolen i vilken ett åsidosättande av anmälningsskyldigheten konstateras. Frågan huruvida det föreligger en sådan underlåtenhet enligt artikel 228 EG ska bedömas vid utgången av den frist som har angetts i det motiverade yttrandet. I förevarande fall har Grekland underlåtit att uppfylla sina skyldigheter enligt artikel 228.1 EG, eftersom landet inte har vidtagit några åtgärder före utgången av den föreskrivna fristen.</w:t>
      </w:r>
    </w:p>
    <w:p w14:paraId="09B61ED9" w14:textId="77777777">
      <w:pPr>
        <w:widowControl w:val="0"/>
        <w:autoSpaceDE w:val="0"/>
        <w:autoSpaceDN w:val="0"/>
        <w:spacing w:after="0" w:line="240" w:lineRule="auto"/>
        <w:jc w:val="both"/>
        <w:rPr>
          <w:rFonts w:ascii="Times New Roman" w:hAnsi="Times New Roman" w:cs="Times New Roman" w:eastAsia="Times New Roman"/>
          <w:szCs w:val="20"/>
        </w:rPr>
      </w:pPr>
    </w:p>
    <w:p w14:paraId="387679BD" w14:textId="0C49733C">
      <w:pPr>
        <w:spacing w:after="0" w:line="240" w:lineRule="auto"/>
        <w:ind w:left="567"/>
        <w:jc w:val="both"/>
        <w:rPr>
          <w:rFonts w:ascii="Times New Roman" w:hAnsi="Times New Roman" w:cs="Times New Roman"/>
          <w:i/>
          <w:iCs/>
          <w:sz w:val="20"/>
          <w:szCs w:val="20"/>
        </w:rPr>
        <w:pStyle w:val="P68B1DB1-Normal20"/>
      </w:pPr>
      <w:r>
        <w:t>”</w:t>
      </w:r>
      <w:bookmarkStart w:id="206" w:name="point14"/>
      <w:r>
        <w:t>14</w:t>
      </w:r>
      <w:bookmarkEnd w:id="206"/>
      <w:r>
        <w:t xml:space="preserve">. Även om det i artikel 228 EG inte anges inom vilken frist en dom från domstolen i vilken det fastställs att en medlemsstat har underlåtit att uppfylla sina skyldigheter ska iakttas, följer det av fast rättspraxis att vikten av en omedelbar och enhetlig tillämpning av gemenskapsrätten innebär att förfarandet för att följa domen ska inledas omedelbart och avslutas så snart som möjligt (se bland annat dom av den 2008</w:t>
        <w:noBreakHyphen/>
        <w:t xml:space="preserve">januari 0000 i mål C-121/07, kommissionen mot Frankrike, punkt 21</w:t>
        <w:noBreakHyphen/>
        <w:t xml:space="preserve">och där angiven rättspraxis).</w:t>
      </w:r>
    </w:p>
    <w:p w14:paraId="79FE7B6A" w14:textId="77777777">
      <w:pPr>
        <w:spacing w:after="0" w:line="240" w:lineRule="auto"/>
        <w:ind w:left="567"/>
        <w:jc w:val="both"/>
        <w:rPr>
          <w:rFonts w:ascii="Times New Roman" w:hAnsi="Times New Roman" w:cs="Times New Roman"/>
          <w:i/>
          <w:iCs/>
          <w:sz w:val="20"/>
          <w:szCs w:val="20"/>
        </w:rPr>
      </w:pPr>
    </w:p>
    <w:p w14:paraId="34290D7F" w14:textId="2B2B8F25">
      <w:pPr>
        <w:spacing w:after="0" w:line="240" w:lineRule="auto"/>
        <w:ind w:left="567"/>
        <w:jc w:val="both"/>
        <w:rPr>
          <w:rFonts w:ascii="Times New Roman" w:hAnsi="Times New Roman" w:cs="Times New Roman"/>
          <w:i/>
          <w:iCs/>
          <w:sz w:val="20"/>
          <w:szCs w:val="20"/>
        </w:rPr>
        <w:pStyle w:val="P68B1DB1-Normal20"/>
      </w:pPr>
      <w:bookmarkStart w:id="207" w:name="point15"/>
      <w:r>
        <w:t>15</w:t>
      </w:r>
      <w:bookmarkEnd w:id="207"/>
      <w:r>
        <w:t xml:space="preserve">. Dessutom är referenstidpunkten för att bedöma huruvida det föreligger ett fördragsbrott enligt artikel 228 EG utgången av den frist som har angetts i det motiverade yttrande som avgetts med stöd av denna bestämmelse (se bland annat dom av den 2007 juni 6153 i</w:t>
        <w:noBreakHyphen/>
        <w:t xml:space="preserve">mål 503/04, kommissionen mot Tyskland, REG</w:t>
        <w:noBreakHyphen/>
        <w:t xml:space="preserve">19, s. I, punkt och</w:t>
        <w:noBreakHyphen/>
        <w:t xml:space="preserve">där angiven rättspraxis).</w:t>
      </w:r>
    </w:p>
    <w:p w14:paraId="473BFE9F" w14:textId="77777777">
      <w:pPr>
        <w:spacing w:after="0" w:line="240" w:lineRule="auto"/>
        <w:ind w:left="567"/>
        <w:jc w:val="both"/>
        <w:rPr>
          <w:rFonts w:ascii="Times New Roman" w:hAnsi="Times New Roman" w:cs="Times New Roman"/>
          <w:i/>
          <w:iCs/>
          <w:sz w:val="20"/>
          <w:szCs w:val="20"/>
        </w:rPr>
      </w:pPr>
    </w:p>
    <w:p w14:paraId="25F77FB4" w14:textId="525C8130">
      <w:pPr>
        <w:spacing w:after="0" w:line="240" w:lineRule="auto"/>
        <w:ind w:left="567"/>
        <w:jc w:val="both"/>
        <w:rPr>
          <w:rFonts w:ascii="Times New Roman" w:hAnsi="Times New Roman" w:cs="Times New Roman"/>
          <w:i/>
          <w:iCs/>
          <w:sz w:val="20"/>
          <w:szCs w:val="20"/>
        </w:rPr>
        <w:pStyle w:val="P68B1DB1-Normal20"/>
      </w:pPr>
      <w:bookmarkStart w:id="208" w:name="point16"/>
      <w:r>
        <w:t>16</w:t>
      </w:r>
      <w:bookmarkEnd w:id="208"/>
      <w:r>
        <w:t xml:space="preserve">. I förevarande fall är det uppenbart att Republiken Grekland, vid utgången av den frist på två månader som angavs i det motiverade yttrandet av den 29 juni 2007, inte hade vidtagit några av de åtgärder som var nödvändiga för att följa domen i mål</w:t>
        <w:noBreakHyphen/>
        <w:t xml:space="preserve">65/05, kommissionen mot Grekland, eftersom förslaget till en första åtgärd för att följa denna dom inte delgavs kommissionen förrän den 7 maj 2008.</w:t>
      </w:r>
    </w:p>
    <w:p w14:paraId="42C25375" w14:textId="77777777">
      <w:pPr>
        <w:spacing w:after="0" w:line="240" w:lineRule="auto"/>
        <w:ind w:left="567"/>
        <w:jc w:val="both"/>
        <w:rPr>
          <w:rFonts w:ascii="Times New Roman" w:hAnsi="Times New Roman" w:cs="Times New Roman"/>
          <w:i/>
          <w:iCs/>
          <w:sz w:val="20"/>
          <w:szCs w:val="20"/>
        </w:rPr>
      </w:pPr>
    </w:p>
    <w:p w14:paraId="4F21B78F" w14:textId="2C79CD2A">
      <w:pPr>
        <w:spacing w:after="0" w:line="240" w:lineRule="auto"/>
        <w:ind w:left="567"/>
        <w:jc w:val="both"/>
        <w:rPr>
          <w:rFonts w:ascii="Times New Roman" w:hAnsi="Times New Roman" w:cs="Times New Roman"/>
          <w:i/>
          <w:iCs/>
          <w:sz w:val="20"/>
          <w:szCs w:val="20"/>
        </w:rPr>
        <w:pStyle w:val="P68B1DB1-Normal20"/>
      </w:pPr>
      <w:bookmarkStart w:id="209" w:name="point17"/>
      <w:r>
        <w:t>17</w:t>
      </w:r>
      <w:bookmarkEnd w:id="209"/>
      <w:r>
        <w:t xml:space="preserve">. Under dessa omständigheter konstaterar domstolen att Republiken Grekland har underlåtit att uppfylla sina skyldigheter enligt artikel 228.1 EG, vilket den själv har medgett. ”</w:t>
      </w:r>
    </w:p>
    <w:sectPr>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2E30" w14:textId="77777777">
      <w:pPr>
        <w:spacing w:after="0" w:line="240" w:lineRule="auto"/>
      </w:pPr>
      <w:r>
        <w:separator/>
      </w:r>
    </w:p>
  </w:endnote>
  <w:endnote w:type="continuationSeparator" w:id="0">
    <w:p w14:paraId="42F9C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115"/>
      <w:docPartObj>
        <w:docPartGallery w:val="Page Numbers (Bottom of Page)"/>
        <w:docPartUnique/>
      </w:docPartObj>
    </w:sdtPr>
    <w:sdtEndPr>
      <w:rPr>
        <w:noProof/>
      </w:rPr>
    </w:sdtEndPr>
    <w:sdtContent>
      <w:p w14:paraId="169A474F" w14:textId="1212D73C">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A389" w14:textId="77777777">
      <w:pPr>
        <w:spacing w:after="0" w:line="240" w:lineRule="auto"/>
      </w:pPr>
      <w:r>
        <w:separator/>
      </w:r>
    </w:p>
  </w:footnote>
  <w:footnote w:type="continuationSeparator" w:id="0">
    <w:p w14:paraId="415CF120" w14:textId="77777777">
      <w:pPr>
        <w:spacing w:after="0" w:line="240" w:lineRule="auto"/>
      </w:pPr>
      <w:r>
        <w:continuationSeparator/>
      </w:r>
    </w:p>
  </w:footnote>
  <w:footnote w:id="1">
    <w:p w14:paraId="1FA0C861" w14:textId="399A73E6">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Jämförelsen mellan direktiv 2015/1535 och direktiv 83/189/EEG grundar sig på de ursprungliga oändrade rättsakterna, medan jämförelsen av direktiv 98/34/EG grundar sig på den lydelse som ändrades genom direktiv 98/48/EG av den 20 juli 1998.</w:t>
      </w:r>
    </w:p>
  </w:footnote>
  <w:footnote w:id="2">
    <w:p w14:paraId="76340588" w14:textId="755D0E80">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Europaparlamentets och rådets direktiv (EU) 2015/1535 av den 9 september 2015 om ett informationsförfarande beträffande tekniska föreskrifter och beträffande föreskrifter för informationssamhällets tjänster (kodifiering)</w:t>
      </w:r>
    </w:p>
  </w:footnote>
  <w:footnote w:id="3">
    <w:p w14:paraId="44C51982" w14:textId="0D8DBE21">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Europaparlamentets och rådets direktiv 98/34/EG av den 22 juni 1998 om ett informationsförfarande beträffande tekniska standarder och föreskrifter, ändrat genom direktiv 98/48/EG av den 20 juli 1998 (inklusive föreskrifter för tjänster)</w:t>
      </w:r>
    </w:p>
  </w:footnote>
  <w:footnote w:id="4">
    <w:p w14:paraId="587067AB" w14:textId="06FBABC3">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Rådets direktiv 83/189/EEG av den 28 mars 1983 om ett informationsförfarande beträffande tekniska standarder och föreskrifter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FF6" w14:textId="236766A6">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63DCF"/>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B7C81"/>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A6A9C"/>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84C84"/>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szCs w:val="24"/>
        <w14:ligatures w14:val="standardContextual"/>
        <w:lang w:val="sv"/>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7F205B"/>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7F205B"/>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7F205B"/>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7F205B"/>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7F205B"/>
    <w:rPr>
      <w:rFonts w:cstheme="majorBidi" w:eastAsiaTheme="majorEastAsia"/>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7F205B"/>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7F205B"/>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7F205B"/>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hAnsi="Times New Roman" w:cs="Times New Roman" w:eastAsia="Times New Roman"/>
      <w:sz w:val="24"/>
      <w:szCs w:val="20"/>
    </w:rPr>
  </w:style>
  <w:style w:type="character" w:customStyle="1" w:styleId="BodyTextChar">
    <w:name w:val="Body Text Char"/>
    <w:basedOn w:val="DefaultParagraphFont"/>
    <w:link w:val="BodyText"/>
    <w:uiPriority w:val="1"/>
    <w:rsid w:val="007F205B"/>
    <w:rPr>
      <w:rFonts w:ascii="Times New Roman" w:hAnsi="Times New Roman" w:cs="Times New Roman" w:eastAsia="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hAnsi="Times New Roman" w:cs="Times New Roman" w:eastAsia="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hAnsi="Times New Roman" w:cs="Times New Roman" w:eastAsia="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hAnsi="Times New Roman" w:cs="Times New Roman" w:eastAsia="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hAnsi="Times New Roman" w:cs="Times New Roman" w:eastAsia="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cs="Times New Roman" w:eastAsia="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hAnsi="Times New Roman" w:cs="Times New Roman" w:eastAsia="Times New Roman"/>
      <w:b/>
      <w:i/>
      <w:szCs w:val="20"/>
    </w:rPr>
  </w:style>
  <w:style w:type="paragraph" w:customStyle="1" w:styleId="P68B1DB1-Normal14">
    <w:name w:val="P68B1DB1-Normal14"/>
    <w:basedOn w:val="Normal"/>
    <w:rPr>
      <w:rFonts w:ascii="Times New Roman" w:hAnsi="Times New Roman" w:cs="Times New Roman" w:eastAsia="Times New Roman"/>
      <w:szCs w:val="20"/>
    </w:rPr>
  </w:style>
  <w:style w:type="paragraph" w:customStyle="1" w:styleId="P68B1DB1-Normal15">
    <w:name w:val="P68B1DB1-Normal15"/>
    <w:basedOn w:val="Normal"/>
    <w:rPr>
      <w:rFonts w:ascii="Times New Roman" w:hAnsi="Times New Roman" w:cs="Times New Roman" w:eastAsia="Times New Roman"/>
      <w:i/>
      <w:sz w:val="20"/>
      <w:szCs w:val="16"/>
    </w:rPr>
  </w:style>
  <w:style w:type="paragraph" w:customStyle="1" w:styleId="P68B1DB1-Normal16">
    <w:name w:val="P68B1DB1-Normal16"/>
    <w:basedOn w:val="Normal"/>
    <w:rPr>
      <w:rFonts w:ascii="Times New Roman" w:hAnsi="Times New Roman" w:cs="Times New Roman" w:eastAsia="Times New Roman"/>
      <w:sz w:val="20"/>
      <w:szCs w:val="16"/>
    </w:rPr>
  </w:style>
  <w:style w:type="paragraph" w:customStyle="1" w:styleId="P68B1DB1-Normal17">
    <w:name w:val="P68B1DB1-Normal17"/>
    <w:basedOn w:val="Normal"/>
    <w:rPr>
      <w:rFonts w:ascii="Times New Roman" w:hAnsi="Times New Roman" w:cs="Times New Roman" w:eastAsia="Times New Roman"/>
    </w:rPr>
  </w:style>
  <w:style w:type="paragraph" w:customStyle="1" w:styleId="P68B1DB1-Normal18">
    <w:name w:val="P68B1DB1-Normal18"/>
    <w:basedOn w:val="Normal"/>
    <w:rPr>
      <w:rFonts w:ascii="Times New Roman" w:hAnsi="Times New Roman" w:cs="Times New Roman" w:eastAsia="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hAnsi="Times New Roman" w:cs="Times New Roman" w:eastAsia="Times New Roman"/>
      <w:b/>
      <w:sz w:val="20"/>
      <w:szCs w:val="16"/>
    </w:rPr>
  </w:style>
  <w:style w:type="paragraph" w:customStyle="1" w:styleId="P68B1DB1-Normal28">
    <w:name w:val="P68B1DB1-Normal28"/>
    <w:basedOn w:val="Normal"/>
    <w:rPr>
      <w:rFonts w:ascii="Times New Roman" w:hAnsi="Times New Roman" w:cs="Times New Roman" w:eastAsia="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hAnsi="Times New Roman" w:cs="Times New Roman" w:eastAsia="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 w:type="paragraph" w:styleId="P68B1DB1-P68B1DB1-Title11">
    <w:name w:val="P68B1DB1-P68B1DB1-Title11"/>
    <w:basedOn w:val="P68B1DB1-Title1"/>
    <w:rPr>
      <w:i/>
      <w:color w:val="FF0000"/>
      <w:sz w:val="24"/>
      <w:szCs w:val="24"/>
      <w:u w:val="none"/>
    </w:rPr>
  </w:style>
  <w:style w:type="paragraph" w:styleId="P68B1DB1-TOC12">
    <w:name w:val="P68B1DB1-TOC12"/>
    <w:basedOn w:val="TOC1"/>
    <w:rPr>
      <w:rFonts w:ascii="Times New Roman" w:hAnsi="Times New Roman" w:cs="Times New Roman"/>
    </w:rPr>
  </w:style>
  <w:style w:type="paragraph" w:styleId="P68B1DB1-Heading13">
    <w:name w:val="P68B1DB1-Heading13"/>
    <w:basedOn w:val="Heading1"/>
    <w:rPr>
      <w:color w:val="auto"/>
    </w:rPr>
  </w:style>
  <w:style w:type="paragraph" w:styleId="P68B1DB1-Heading24">
    <w:name w:val="P68B1DB1-Heading24"/>
    <w:basedOn w:val="Heading2"/>
    <w:rPr>
      <w:color w:val="auto"/>
    </w:rPr>
  </w:style>
  <w:style w:type="paragraph" w:styleId="P68B1DB1-P68B1DB1-Normal135">
    <w:name w:val="P68B1DB1-P68B1DB1-Normal135"/>
    <w:basedOn w:val="P68B1DB1-Normal13"/>
    <w:rPr>
      <w:b w:val="0"/>
      <w:i w:val="0"/>
    </w:rPr>
  </w:style>
  <w:style w:type="paragraph" w:styleId="P68B1DB1-P68B1DB1-Normal146">
    <w:name w:val="P68B1DB1-P68B1DB1-Normal146"/>
    <w:basedOn w:val="P68B1DB1-Normal14"/>
    <w:rPr>
      <w:i/>
      <w:sz w:val="20"/>
    </w:rPr>
  </w:style>
  <w:style w:type="paragraph" w:styleId="P68B1DB1-P68B1DB1-Normal147">
    <w:name w:val="P68B1DB1-P68B1DB1-Normal147"/>
    <w:basedOn w:val="P68B1DB1-Normal14"/>
    <w:rPr>
      <w:i/>
      <w:sz w:val="20"/>
      <w:szCs w:val="18"/>
    </w:rPr>
  </w:style>
  <w:style w:type="paragraph" w:styleId="P68B1DB1-P68B1DB1-Normal168">
    <w:name w:val="P68B1DB1-P68B1DB1-Normal168"/>
    <w:basedOn w:val="P68B1DB1-Normal16"/>
    <w:rPr>
      <w:b/>
      <w:i/>
      <w:sz w:val="22"/>
      <w:szCs w:val="18"/>
    </w:rPr>
  </w:style>
  <w:style w:type="paragraph" w:styleId="P68B1DB1-P68B1DB1-Normal169">
    <w:name w:val="P68B1DB1-P68B1DB1-Normal169"/>
    <w:basedOn w:val="P68B1DB1-Normal16"/>
    <w:rPr>
      <w:b/>
      <w:i/>
      <w:sz w:val="24"/>
      <w:szCs w:val="20"/>
    </w:rPr>
  </w:style>
  <w:style w:type="paragraph" w:styleId="P68B1DB1-P68B1DB1-Normal1710">
    <w:name w:val="P68B1DB1-P68B1DB1-Normal1710"/>
    <w:basedOn w:val="P68B1DB1-Normal17"/>
    <w:rPr>
      <w:i/>
      <w:sz w:val="20"/>
      <w:szCs w:val="18"/>
    </w:rPr>
  </w:style>
  <w:style w:type="paragraph" w:styleId="P68B1DB1-Normal11">
    <w:name w:val="P68B1DB1-Normal11"/>
    <w:basedOn w:val="Normal"/>
    <w:rPr>
      <w:rFonts w:ascii="Times New Roman" w:hAnsi="Times New Roman" w:cs="Times New Roman" w:eastAsia="Times New Roman"/>
      <w:sz w:val="20"/>
      <w:szCs w:val="18"/>
    </w:rPr>
  </w:style>
  <w:style w:type="paragraph" w:styleId="P68B1DB1-Normal19">
    <w:name w:val="P68B1DB1-Normal19"/>
    <w:basedOn w:val="Normal"/>
    <w:rPr>
      <w:rFonts w:ascii="Times New Roman" w:hAnsi="Times New Roman" w:cs="Times New Roman" w:eastAsia="Times New Roman"/>
      <w:i/>
      <w:sz w:val="20"/>
      <w:szCs w:val="18"/>
    </w:rPr>
  </w:style>
  <w:style w:type="paragraph" w:styleId="P68B1DB1-P68B1DB1-Normal1820">
    <w:name w:val="P68B1DB1-P68B1DB1-Normal1820"/>
    <w:basedOn w:val="P68B1DB1-Normal18"/>
    <w:rPr>
      <w:sz w:val="18"/>
      <w:szCs w:val="18"/>
    </w:rPr>
  </w:style>
  <w:style w:type="paragraph" w:styleId="P68B1DB1-P68B1DB1-Normal1421">
    <w:name w:val="P68B1DB1-P68B1DB1-Normal1421"/>
    <w:basedOn w:val="P68B1DB1-Normal14"/>
    <w:rPr>
      <w:i/>
    </w:rPr>
  </w:style>
  <w:style w:type="paragraph" w:styleId="P68B1DB1-P68B1DB1-Normal1622">
    <w:name w:val="P68B1DB1-P68B1DB1-Normal1622"/>
    <w:basedOn w:val="P68B1DB1-Normal16"/>
    <w:rPr>
      <w:b/>
      <w:i/>
      <w:sz w:val="22"/>
      <w:szCs w:val="22"/>
    </w:rPr>
  </w:style>
  <w:style w:type="paragraph" w:styleId="P68B1DB1-P68B1DB1-Normal1623">
    <w:name w:val="P68B1DB1-P68B1DB1-Normal1623"/>
    <w:basedOn w:val="P68B1DB1-Normal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32170</Words>
  <Characters>174042</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ANTOSOVA Sarka (GROW)</cp:lastModifiedBy>
  <cp:revision>2</cp:revision>
  <cp:lastPrinted>2025-05-13T14:46:00Z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