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8CA5" w14:textId="71F4B4E0" w:rsidR="002478C1" w:rsidRPr="002478C1" w:rsidRDefault="002478C1" w:rsidP="002478C1">
      <w:pPr>
        <w:rPr>
          <w:sz w:val="20"/>
          <w:szCs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0658 E-- SV- ------ 20201030 --- --- PROJET</w:t>
      </w:r>
    </w:p>
    <w:p w14:paraId="49EB711B" w14:textId="1BD8DA40" w:rsidR="004B4311" w:rsidRPr="00F1001A" w:rsidRDefault="00E53BF7" w:rsidP="002478C1">
      <w:pPr>
        <w:spacing w:before="120" w:after="120" w:line="240" w:lineRule="auto"/>
        <w:jc w:val="center"/>
        <w:rPr>
          <w:b/>
          <w:sz w:val="24"/>
          <w:rFonts w:ascii="Arial" w:hAnsi="Arial"/>
        </w:rPr>
      </w:pPr>
      <w:r>
        <w:rPr>
          <w:b/>
          <w:sz w:val="24"/>
          <w:rFonts w:ascii="Arial" w:hAnsi="Arial"/>
        </w:rPr>
        <w:t xml:space="preserve">Bestämmelser om plast i utkastet till lag om avfall och förorenad mark</w:t>
      </w:r>
    </w:p>
    <w:p w14:paraId="77D31614" w14:textId="07E3C837" w:rsidR="00A96224" w:rsidRPr="00F1001A" w:rsidRDefault="0040563B" w:rsidP="002478C1">
      <w:pPr>
        <w:spacing w:before="120" w:after="120" w:line="240" w:lineRule="auto"/>
        <w:jc w:val="center"/>
        <w:rPr>
          <w:b/>
          <w:sz w:val="24"/>
          <w:rFonts w:ascii="Arial" w:hAnsi="Arial"/>
        </w:rPr>
      </w:pPr>
      <w:r>
        <w:rPr>
          <w:b/>
          <w:sz w:val="24"/>
          <w:rFonts w:ascii="Arial" w:hAnsi="Arial"/>
        </w:rPr>
        <w:t xml:space="preserve">(23.10.2020)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b/>
          <w:bCs/>
          <w:i/>
          <w:iCs/>
          <w:sz w:val="24"/>
          <w:szCs w:val="24"/>
          <w:rFonts w:ascii="Arial" w:eastAsia="Arial" w:hAnsi="Arial" w:cs="Arial"/>
        </w:rPr>
      </w:pPr>
      <w:r>
        <w:rPr>
          <w:b/>
          <w:sz w:val="24"/>
          <w:rFonts w:ascii="Arial" w:hAnsi="Arial"/>
        </w:rPr>
        <w:t xml:space="preserve">Artikel 2.</w:t>
      </w:r>
      <w:r>
        <w:rPr>
          <w:b/>
          <w:sz w:val="24"/>
          <w:rFonts w:ascii="Arial" w:hAnsi="Arial"/>
        </w:rPr>
        <w:t xml:space="preserve"> </w:t>
      </w:r>
      <w:r>
        <w:rPr>
          <w:b/>
          <w:sz w:val="24"/>
          <w:i/>
          <w:rFonts w:ascii="Arial" w:hAnsi="Arial"/>
        </w:rPr>
        <w:t xml:space="preserve">Definitioner.</w:t>
      </w:r>
    </w:p>
    <w:p w14:paraId="708E7869" w14:textId="7C44797C" w:rsidR="0F588873" w:rsidRDefault="0F588873" w:rsidP="00512B74">
      <w:pPr>
        <w:keepNext/>
        <w:keepLines/>
        <w:jc w:val="both"/>
        <w:rPr>
          <w:sz w:val="24"/>
          <w:szCs w:val="24"/>
          <w:rFonts w:ascii="Arial" w:eastAsia="Arial" w:hAnsi="Arial" w:cs="Arial"/>
        </w:rPr>
      </w:pPr>
      <w:r>
        <w:rPr>
          <w:sz w:val="24"/>
          <w:rFonts w:ascii="Arial" w:hAnsi="Arial"/>
        </w:rPr>
        <w:t xml:space="preserve">I denna lag gäller följande definitioner:</w:t>
      </w:r>
    </w:p>
    <w:p w14:paraId="63AB60FA" w14:textId="741E4A52" w:rsidR="0F588873" w:rsidRDefault="0F588873" w:rsidP="002478C1">
      <w:pPr>
        <w:jc w:val="both"/>
        <w:rPr>
          <w:sz w:val="24"/>
          <w:szCs w:val="24"/>
          <w:rFonts w:ascii="Arial" w:eastAsia="Arial" w:hAnsi="Arial" w:cs="Arial"/>
        </w:rPr>
      </w:pPr>
      <w:r>
        <w:rPr>
          <w:sz w:val="24"/>
          <w:rFonts w:ascii="Arial" w:hAnsi="Arial"/>
        </w:rPr>
        <w:t xml:space="preserve">a) </w:t>
      </w:r>
      <w:r>
        <w:rPr>
          <w:sz w:val="24"/>
          <w:i/>
          <w:iCs/>
          <w:rFonts w:ascii="Arial" w:hAnsi="Arial"/>
        </w:rPr>
        <w:t xml:space="preserve">avfall</w:t>
      </w:r>
      <w:r>
        <w:rPr>
          <w:sz w:val="24"/>
          <w:rFonts w:ascii="Arial" w:hAnsi="Arial"/>
        </w:rPr>
        <w:t xml:space="preserve">: ämne eller föremål som innehavaren gör sig av med eller avser eller är skyldig att göra sig av med.</w:t>
      </w:r>
    </w:p>
    <w:p w14:paraId="4EBE1F1C" w14:textId="26E35B40" w:rsidR="0F588873" w:rsidRDefault="0F588873" w:rsidP="002478C1">
      <w:pPr>
        <w:jc w:val="both"/>
        <w:rPr>
          <w:sz w:val="24"/>
          <w:szCs w:val="24"/>
          <w:rFonts w:ascii="Arial" w:eastAsia="Arial" w:hAnsi="Arial" w:cs="Arial"/>
        </w:rPr>
      </w:pPr>
      <w:r>
        <w:rPr>
          <w:sz w:val="24"/>
          <w:rFonts w:ascii="Arial" w:hAnsi="Arial"/>
        </w:rPr>
        <w:t xml:space="preserve">b) </w:t>
      </w:r>
      <w:r>
        <w:rPr>
          <w:sz w:val="24"/>
          <w:i/>
          <w:iCs/>
          <w:rFonts w:ascii="Arial" w:hAnsi="Arial"/>
        </w:rPr>
        <w:t xml:space="preserve">hushållsavfall</w:t>
      </w:r>
      <w:r>
        <w:rPr>
          <w:sz w:val="24"/>
          <w:rFonts w:ascii="Arial" w:hAnsi="Arial"/>
        </w:rPr>
        <w:t xml:space="preserve">: avfall som genereras av hushåll till följd av hushållsaktiviteter.</w:t>
      </w:r>
      <w:r>
        <w:rPr>
          <w:sz w:val="24"/>
          <w:rFonts w:ascii="Arial" w:hAnsi="Arial"/>
        </w:rPr>
        <w:t xml:space="preserve"> </w:t>
      </w:r>
      <w:r>
        <w:rPr>
          <w:sz w:val="24"/>
          <w:rFonts w:ascii="Arial" w:hAnsi="Arial"/>
        </w:rPr>
        <w:t xml:space="preserve">Som hushållsavfall räknas även sådant avfall som liknar ovannämnda avfall, som genereras av tjänster eller industrier men som inte genereras till följd av tjänstens eller industrins huvudsakliga verksamhet.</w:t>
      </w:r>
    </w:p>
    <w:p w14:paraId="24B4C1F4" w14:textId="37E72098" w:rsidR="0F588873" w:rsidRDefault="0F588873" w:rsidP="002478C1">
      <w:pPr>
        <w:jc w:val="both"/>
        <w:rPr>
          <w:sz w:val="24"/>
          <w:szCs w:val="24"/>
          <w:rFonts w:ascii="Arial" w:eastAsia="Arial" w:hAnsi="Arial" w:cs="Arial"/>
        </w:rPr>
      </w:pPr>
      <w:r>
        <w:rPr>
          <w:sz w:val="24"/>
          <w:rFonts w:ascii="Arial" w:hAnsi="Arial"/>
        </w:rPr>
        <w:t xml:space="preserve">Inom denna kategori ingår även avfall som genereras av hushåll, såsom elektrisk och elektronisk utrustning, kläder, batterier, ackumulatorer, möbler och anordningar, samt avfall och byggavfall från mindre byggnadsarbeten och hemreparationer.</w:t>
      </w:r>
    </w:p>
    <w:p w14:paraId="75DBDA38" w14:textId="1CA89DE0" w:rsidR="0F588873" w:rsidRDefault="0F588873" w:rsidP="002478C1">
      <w:pPr>
        <w:jc w:val="both"/>
        <w:rPr>
          <w:sz w:val="24"/>
          <w:szCs w:val="24"/>
          <w:rFonts w:ascii="Arial" w:eastAsia="Arial" w:hAnsi="Arial" w:cs="Arial"/>
        </w:rPr>
      </w:pPr>
      <w:r>
        <w:rPr>
          <w:sz w:val="24"/>
          <w:rFonts w:ascii="Arial" w:hAnsi="Arial"/>
        </w:rPr>
        <w:t xml:space="preserve">Som hushållsavfall avses även avfall som härrör från renhållning av allmänna vägar, gröna områden, rekreationsområden och stränder, döda djur och övergivna fordon.</w:t>
      </w:r>
    </w:p>
    <w:p w14:paraId="39C8C7DC" w14:textId="0082B682" w:rsidR="0F588873" w:rsidRDefault="0F588873" w:rsidP="002478C1">
      <w:pPr>
        <w:jc w:val="both"/>
        <w:rPr>
          <w:sz w:val="24"/>
          <w:szCs w:val="24"/>
          <w:rFonts w:ascii="Arial" w:eastAsia="Arial" w:hAnsi="Arial" w:cs="Arial"/>
        </w:rPr>
      </w:pPr>
      <w:r>
        <w:rPr>
          <w:sz w:val="24"/>
          <w:rFonts w:ascii="Arial" w:hAnsi="Arial"/>
        </w:rPr>
        <w:t xml:space="preserve">c) </w:t>
      </w:r>
      <w:r>
        <w:rPr>
          <w:sz w:val="24"/>
          <w:i/>
          <w:iCs/>
          <w:rFonts w:ascii="Arial" w:hAnsi="Arial"/>
        </w:rPr>
        <w:t xml:space="preserve">kommersiellt avfall</w:t>
      </w:r>
      <w:r>
        <w:rPr>
          <w:sz w:val="24"/>
          <w:rFonts w:ascii="Arial" w:hAnsi="Arial"/>
        </w:rPr>
        <w:t xml:space="preserve">: avfall som genereras av handelns egen verksamhet, både från catering- och barverksamhet, kontor och marknader samt den övriga tjänstesektorn.</w:t>
      </w:r>
    </w:p>
    <w:p w14:paraId="27F68E63" w14:textId="5A11FE90" w:rsidR="0F588873" w:rsidRDefault="0F588873" w:rsidP="002478C1">
      <w:pPr>
        <w:jc w:val="both"/>
        <w:rPr>
          <w:sz w:val="24"/>
          <w:szCs w:val="24"/>
          <w:rFonts w:ascii="Arial" w:eastAsia="Arial" w:hAnsi="Arial" w:cs="Arial"/>
        </w:rPr>
      </w:pPr>
      <w:r>
        <w:rPr>
          <w:sz w:val="24"/>
          <w:rFonts w:ascii="Arial" w:hAnsi="Arial"/>
        </w:rPr>
        <w:t xml:space="preserve">d) </w:t>
      </w:r>
      <w:r>
        <w:rPr>
          <w:sz w:val="24"/>
          <w:i/>
          <w:iCs/>
          <w:rFonts w:ascii="Arial" w:hAnsi="Arial"/>
        </w:rPr>
        <w:t xml:space="preserve">industriavfall</w:t>
      </w:r>
      <w:r>
        <w:rPr>
          <w:sz w:val="24"/>
          <w:rFonts w:ascii="Arial" w:hAnsi="Arial"/>
        </w:rPr>
        <w:t xml:space="preserve">: avfall från processer för tillverkning, bearbetning, användning, förbrukning, rengöring eller underhåll som genereras av industriell verksamhet.</w:t>
      </w:r>
      <w:r>
        <w:rPr>
          <w:sz w:val="24"/>
          <w:rFonts w:ascii="Arial" w:hAnsi="Arial"/>
        </w:rPr>
        <w:t xml:space="preserve"> </w:t>
      </w:r>
    </w:p>
    <w:p w14:paraId="5859F5E2" w14:textId="6103E5BF" w:rsidR="0F588873" w:rsidRDefault="0F588873" w:rsidP="002478C1">
      <w:pPr>
        <w:jc w:val="both"/>
        <w:rPr>
          <w:sz w:val="24"/>
          <w:szCs w:val="24"/>
          <w:rFonts w:ascii="Arial" w:eastAsia="Arial" w:hAnsi="Arial" w:cs="Arial"/>
        </w:rPr>
      </w:pPr>
      <w:r>
        <w:rPr>
          <w:sz w:val="24"/>
          <w:rFonts w:ascii="Arial" w:hAnsi="Arial"/>
        </w:rPr>
        <w:t xml:space="preserve">e) </w:t>
      </w:r>
      <w:r>
        <w:rPr>
          <w:sz w:val="24"/>
          <w:i/>
          <w:iCs/>
          <w:rFonts w:ascii="Arial" w:hAnsi="Arial"/>
        </w:rPr>
        <w:t xml:space="preserve">avfall</w:t>
      </w:r>
      <w:r>
        <w:rPr>
          <w:sz w:val="24"/>
          <w:rFonts w:ascii="Arial" w:hAnsi="Arial"/>
        </w:rPr>
        <w:t xml:space="preserve">: avfall som hanteras av lokala organ i enlighet med artikel 12.5.</w:t>
      </w:r>
    </w:p>
    <w:p w14:paraId="57BB0354" w14:textId="0E640E33" w:rsidR="0F588873" w:rsidRDefault="0F588873" w:rsidP="00512B74">
      <w:pPr>
        <w:keepNext/>
        <w:keepLines/>
        <w:jc w:val="both"/>
        <w:rPr>
          <w:sz w:val="24"/>
          <w:szCs w:val="24"/>
          <w:rFonts w:ascii="Arial" w:eastAsia="Arial" w:hAnsi="Arial" w:cs="Arial"/>
        </w:rPr>
      </w:pPr>
      <w:r>
        <w:rPr>
          <w:sz w:val="24"/>
          <w:rFonts w:ascii="Arial" w:hAnsi="Arial"/>
        </w:rPr>
        <w:t xml:space="preserve">f) </w:t>
      </w:r>
      <w:r>
        <w:rPr>
          <w:sz w:val="24"/>
          <w:i/>
          <w:iCs/>
          <w:rFonts w:ascii="Arial" w:hAnsi="Arial"/>
        </w:rPr>
        <w:t xml:space="preserve">kommunalt avfall</w:t>
      </w:r>
      <w:r>
        <w:rPr>
          <w:sz w:val="24"/>
          <w:rFonts w:ascii="Arial" w:hAnsi="Arial"/>
        </w:rPr>
        <w:t xml:space="preserve">:</w:t>
      </w:r>
      <w:r>
        <w:rPr>
          <w:sz w:val="24"/>
          <w:rFonts w:ascii="Arial" w:hAnsi="Arial"/>
        </w:rPr>
        <w:t xml:space="preserve"> </w:t>
      </w:r>
    </w:p>
    <w:p w14:paraId="26F01E84" w14:textId="6D85E59D" w:rsidR="0F588873" w:rsidRDefault="0F588873" w:rsidP="002478C1">
      <w:pPr>
        <w:jc w:val="both"/>
        <w:rPr>
          <w:sz w:val="24"/>
          <w:szCs w:val="24"/>
          <w:rFonts w:ascii="Arial" w:eastAsia="Arial" w:hAnsi="Arial" w:cs="Arial"/>
        </w:rPr>
      </w:pPr>
      <w:r>
        <w:rPr>
          <w:sz w:val="24"/>
          <w:rFonts w:ascii="Arial" w:hAnsi="Arial"/>
        </w:rPr>
        <w:t xml:space="preserve">1. blandat avfall och avfall som har samlats in separat från hushåll, däribland papper och kartong, glas, metall, plast, biologiskt avfall, trä, textil, förpackningar, avfall som utgörs av eller innehåller elektrisk och elektronisk utrustning, förbrukade batterier och ackumulatorer och skrymmande avfall, däribland madrasser och möbler,</w:t>
      </w:r>
    </w:p>
    <w:p w14:paraId="3133CB51" w14:textId="68A17CF7" w:rsidR="0F588873" w:rsidRDefault="0F588873" w:rsidP="002478C1">
      <w:pPr>
        <w:jc w:val="both"/>
        <w:rPr>
          <w:sz w:val="24"/>
          <w:szCs w:val="24"/>
          <w:rFonts w:ascii="Arial" w:eastAsia="Arial" w:hAnsi="Arial" w:cs="Arial"/>
        </w:rPr>
      </w:pPr>
      <w:r>
        <w:rPr>
          <w:sz w:val="24"/>
          <w:rFonts w:ascii="Arial" w:hAnsi="Arial"/>
        </w:rPr>
        <w:t xml:space="preserve">2. blandat avfall och avfall som har samlats in separat som härrör från andra källor, om sådant avfall har liknande egenskaper och sammansättning som hushållsavfall.</w:t>
      </w:r>
    </w:p>
    <w:p w14:paraId="22A0A140" w14:textId="2B9C0C08" w:rsidR="0F588873" w:rsidRDefault="0F588873" w:rsidP="002478C1">
      <w:pPr>
        <w:jc w:val="both"/>
        <w:rPr>
          <w:sz w:val="24"/>
          <w:szCs w:val="24"/>
          <w:rFonts w:ascii="Arial" w:eastAsia="Arial" w:hAnsi="Arial" w:cs="Arial"/>
        </w:rPr>
      </w:pPr>
      <w:r>
        <w:rPr>
          <w:sz w:val="24"/>
          <w:rFonts w:ascii="Arial" w:hAnsi="Arial"/>
        </w:rPr>
        <w:t xml:space="preserve">Som kommunalt avfall avses inte avfall som härrör från produktion, jordbruk, skogsbruk, fiske, septiska tankar eller avloppsnätet och avloppsreningsverk, däribland avloppsslam, uttjänta fordon eller bygg och- rivningsavfall.</w:t>
      </w:r>
    </w:p>
    <w:p w14:paraId="6BFB726D" w14:textId="0FCB9E76" w:rsidR="0F588873" w:rsidRDefault="0F588873" w:rsidP="002478C1">
      <w:pPr>
        <w:jc w:val="both"/>
        <w:rPr>
          <w:sz w:val="24"/>
          <w:szCs w:val="24"/>
          <w:rFonts w:ascii="Arial" w:eastAsia="Arial" w:hAnsi="Arial" w:cs="Arial"/>
        </w:rPr>
      </w:pPr>
      <w:r>
        <w:rPr>
          <w:sz w:val="24"/>
          <w:rFonts w:ascii="Arial" w:hAnsi="Arial"/>
        </w:rPr>
        <w:t xml:space="preserve">Denna definition införs i syfte att fastställa målens tillämpningsområde avseende förberedelse för återanvändning och materialåtervinning och de beräkningsnormer som föreskrivs i denna lag. Definitionen ska tolkas utan att det påverkar fördelningen av ansvaret för avfallshanteringen mellan offentliga och privata aktörer mot bakgrund av den fördelning av behörighet som avses i artikel 12.5.</w:t>
      </w:r>
    </w:p>
    <w:p w14:paraId="6FCED93B" w14:textId="35EA644C" w:rsidR="0F588873" w:rsidRDefault="0F588873" w:rsidP="002478C1">
      <w:pPr>
        <w:jc w:val="both"/>
        <w:rPr>
          <w:sz w:val="24"/>
          <w:szCs w:val="24"/>
          <w:rFonts w:ascii="Arial" w:eastAsia="Arial" w:hAnsi="Arial" w:cs="Arial"/>
        </w:rPr>
      </w:pPr>
      <w:r>
        <w:rPr>
          <w:sz w:val="24"/>
          <w:rFonts w:ascii="Arial" w:hAnsi="Arial"/>
        </w:rPr>
        <w:t xml:space="preserve">g) </w:t>
      </w:r>
      <w:r>
        <w:rPr>
          <w:sz w:val="24"/>
          <w:i/>
          <w:iCs/>
          <w:rFonts w:ascii="Arial" w:hAnsi="Arial"/>
        </w:rPr>
        <w:t xml:space="preserve">farligt avfall</w:t>
      </w:r>
      <w:r>
        <w:rPr>
          <w:sz w:val="24"/>
          <w:rFonts w:ascii="Arial" w:hAnsi="Arial"/>
        </w:rPr>
        <w:t xml:space="preserve">: avfall med minst en av de farliga egenskaper som förtecknas i bilaga I och sådant avfall som regeringen kan anta i enlighet med det som föreskrivs i Europeiska unionens lagstiftning eller i internationella konventioner som Spanien är part i.</w:t>
      </w:r>
      <w:r>
        <w:rPr>
          <w:sz w:val="24"/>
          <w:rFonts w:ascii="Arial" w:hAnsi="Arial"/>
        </w:rPr>
        <w:t xml:space="preserve"> </w:t>
      </w:r>
      <w:r>
        <w:rPr>
          <w:sz w:val="24"/>
          <w:rFonts w:ascii="Arial" w:hAnsi="Arial"/>
        </w:rPr>
        <w:t xml:space="preserve">I denna definition ingår även behållare och förpackningar som innehåller rester av eller som är förorenade av farliga ämnen.</w:t>
      </w:r>
    </w:p>
    <w:p w14:paraId="11D46221" w14:textId="233A520E" w:rsidR="0F588873" w:rsidRDefault="0F588873" w:rsidP="002478C1">
      <w:pPr>
        <w:jc w:val="both"/>
        <w:rPr>
          <w:sz w:val="24"/>
          <w:szCs w:val="24"/>
          <w:rFonts w:ascii="Arial" w:eastAsia="Arial" w:hAnsi="Arial" w:cs="Arial"/>
        </w:rPr>
      </w:pPr>
      <w:r>
        <w:rPr>
          <w:sz w:val="24"/>
          <w:rFonts w:ascii="Arial" w:hAnsi="Arial"/>
        </w:rPr>
        <w:t xml:space="preserve">h) </w:t>
      </w:r>
      <w:r>
        <w:rPr>
          <w:sz w:val="24"/>
          <w:i/>
          <w:iCs/>
          <w:rFonts w:ascii="Arial" w:hAnsi="Arial"/>
        </w:rPr>
        <w:t xml:space="preserve">icke-farligt avfall</w:t>
      </w:r>
      <w:r>
        <w:rPr>
          <w:sz w:val="24"/>
          <w:rFonts w:ascii="Arial" w:hAnsi="Arial"/>
        </w:rPr>
        <w:t xml:space="preserve">: avfall som inte omfattas av led g.</w:t>
      </w:r>
    </w:p>
    <w:p w14:paraId="21E1A848" w14:textId="14C078B6" w:rsidR="0F588873" w:rsidRDefault="0F588873" w:rsidP="002478C1">
      <w:pPr>
        <w:jc w:val="both"/>
        <w:rPr>
          <w:sz w:val="24"/>
          <w:szCs w:val="24"/>
          <w:rFonts w:ascii="Arial" w:eastAsia="Arial" w:hAnsi="Arial" w:cs="Arial"/>
        </w:rPr>
      </w:pPr>
      <w:r>
        <w:rPr>
          <w:sz w:val="24"/>
          <w:rFonts w:ascii="Arial" w:hAnsi="Arial"/>
        </w:rPr>
        <w:t xml:space="preserve">i) </w:t>
      </w:r>
      <w:r>
        <w:rPr>
          <w:sz w:val="24"/>
          <w:i/>
          <w:iCs/>
          <w:rFonts w:ascii="Arial" w:hAnsi="Arial"/>
        </w:rPr>
        <w:t xml:space="preserve">spilloljor</w:t>
      </w:r>
      <w:r>
        <w:rPr>
          <w:sz w:val="24"/>
          <w:rFonts w:ascii="Arial" w:hAnsi="Arial"/>
        </w:rPr>
        <w:t xml:space="preserve">: mineralbaserade eller syntetiska smörjoljor eller oljor för industriella ändamål som inte längre lämpar sig för det syfte som de ursprungligen var avsedda för, t.ex. använda oljor för förbränningsmotorer och växellådor samt turbinoljor och hydrauloljor, med undantag för använd matolja från växter eller djur.</w:t>
      </w:r>
    </w:p>
    <w:p w14:paraId="143268EB" w14:textId="18184C87" w:rsidR="0F588873" w:rsidRDefault="0F588873" w:rsidP="002478C1">
      <w:pPr>
        <w:jc w:val="both"/>
        <w:rPr>
          <w:sz w:val="24"/>
          <w:szCs w:val="24"/>
          <w:rFonts w:ascii="Arial" w:eastAsia="Arial" w:hAnsi="Arial" w:cs="Arial"/>
        </w:rPr>
      </w:pPr>
      <w:r>
        <w:rPr>
          <w:sz w:val="24"/>
          <w:rFonts w:ascii="Arial" w:hAnsi="Arial"/>
        </w:rPr>
        <w:t xml:space="preserve">j) </w:t>
      </w:r>
      <w:r>
        <w:rPr>
          <w:sz w:val="24"/>
          <w:i/>
          <w:iCs/>
          <w:rFonts w:ascii="Arial" w:hAnsi="Arial"/>
        </w:rPr>
        <w:t xml:space="preserve">bygg- och rivningsavfall</w:t>
      </w:r>
      <w:r>
        <w:rPr>
          <w:sz w:val="24"/>
          <w:rFonts w:ascii="Arial" w:hAnsi="Arial"/>
        </w:rPr>
        <w:t xml:space="preserve">: avfall från bygg- och rivningsverksamhet.</w:t>
      </w:r>
    </w:p>
    <w:p w14:paraId="07179E8D" w14:textId="77777777" w:rsidR="009F092F" w:rsidRDefault="009F092F" w:rsidP="002478C1">
      <w:pPr>
        <w:jc w:val="both"/>
        <w:rPr>
          <w:sz w:val="24"/>
          <w:szCs w:val="24"/>
          <w:rFonts w:ascii="Arial" w:eastAsia="Arial" w:hAnsi="Arial" w:cs="Arial"/>
        </w:rPr>
      </w:pPr>
      <w:r>
        <w:rPr>
          <w:sz w:val="24"/>
          <w:rFonts w:ascii="Arial" w:hAnsi="Arial"/>
        </w:rPr>
        <w:t xml:space="preserve">k) </w:t>
      </w:r>
      <w:r>
        <w:rPr>
          <w:sz w:val="24"/>
          <w:i/>
          <w:iCs/>
          <w:rFonts w:ascii="Arial" w:hAnsi="Arial"/>
        </w:rPr>
        <w:t xml:space="preserve">uttjänta fiskeredskap</w:t>
      </w:r>
      <w:r>
        <w:rPr>
          <w:sz w:val="24"/>
          <w:rFonts w:ascii="Arial" w:hAnsi="Arial"/>
        </w:rPr>
        <w:t xml:space="preserve">: alla fiskeredskap som omfattas av definitionen av avfall, inbegripet alla separata komponenter, ämnen eller material som var en del av eller var fästa vid ett sådant fiskeredskap när detta kasserades.</w:t>
      </w:r>
      <w:r>
        <w:rPr>
          <w:sz w:val="24"/>
          <w:rFonts w:ascii="Arial" w:hAnsi="Arial"/>
        </w:rPr>
        <w:t xml:space="preserve"> </w:t>
      </w:r>
      <w:r>
        <w:rPr>
          <w:sz w:val="24"/>
          <w:rFonts w:ascii="Arial" w:hAnsi="Arial"/>
        </w:rPr>
        <w:t xml:space="preserve">Här ingår även övergivna eller förlorade fiskeredskap eller dess material.</w:t>
      </w:r>
    </w:p>
    <w:p w14:paraId="72C0E29D" w14:textId="59538BD2" w:rsidR="0F588873" w:rsidRDefault="0F588873" w:rsidP="002478C1">
      <w:pPr>
        <w:jc w:val="both"/>
        <w:rPr>
          <w:sz w:val="24"/>
          <w:szCs w:val="24"/>
          <w:rFonts w:ascii="Arial" w:eastAsia="Arial" w:hAnsi="Arial" w:cs="Arial"/>
        </w:rPr>
      </w:pPr>
      <w:r>
        <w:rPr>
          <w:sz w:val="24"/>
          <w:rFonts w:ascii="Arial" w:hAnsi="Arial"/>
        </w:rPr>
        <w:t xml:space="preserve">l) </w:t>
      </w:r>
      <w:r>
        <w:rPr>
          <w:sz w:val="24"/>
          <w:i/>
          <w:iCs/>
          <w:rFonts w:ascii="Arial" w:hAnsi="Arial"/>
        </w:rPr>
        <w:t xml:space="preserve">matavfall</w:t>
      </w:r>
      <w:r>
        <w:rPr>
          <w:sz w:val="24"/>
          <w:rFonts w:ascii="Arial" w:hAnsi="Arial"/>
        </w:rPr>
        <w:t xml:space="preserve">: alla livsmedel, enligt definitionen i artikel 2 i Europaparlamentets och rådets förordning (EG) nr 178/2002 av den 28 januari 2002 om allmänna principer och krav för livsmedelslagstiftning, om inrättande av Europeiska myndigheten för livsmedelssäkerhet och om förfaranden i frågor som gäller livsmedelssäkerhet, som blivit avfall.</w:t>
      </w:r>
    </w:p>
    <w:p w14:paraId="4915AD57" w14:textId="69ABEB0F" w:rsidR="0F588873" w:rsidRDefault="0F588873" w:rsidP="002478C1">
      <w:pPr>
        <w:jc w:val="both"/>
        <w:rPr>
          <w:sz w:val="24"/>
          <w:szCs w:val="24"/>
          <w:rFonts w:ascii="Arial" w:eastAsia="Arial" w:hAnsi="Arial" w:cs="Arial"/>
        </w:rPr>
      </w:pPr>
      <w:r>
        <w:rPr>
          <w:sz w:val="24"/>
          <w:rFonts w:ascii="Arial" w:hAnsi="Arial"/>
        </w:rPr>
        <w:t xml:space="preserve">m) </w:t>
      </w:r>
      <w:r>
        <w:rPr>
          <w:sz w:val="24"/>
          <w:i/>
          <w:iCs/>
          <w:rFonts w:ascii="Arial" w:hAnsi="Arial"/>
        </w:rPr>
        <w:t xml:space="preserve">biologiskt avfall</w:t>
      </w:r>
      <w:r>
        <w:rPr>
          <w:sz w:val="24"/>
          <w:rFonts w:ascii="Arial" w:hAnsi="Arial"/>
        </w:rPr>
        <w:t xml:space="preserve">: biologiskt nedbrytbart trädgårds- och parkavfall, livsmedels- och köksavfall från hushåll, kontor, restauranger, grossister, serveringsställen, catering och detaljhandelslokaler och jämförbart avfall från livsmedelsindustrin.</w:t>
      </w:r>
    </w:p>
    <w:p w14:paraId="16BEBDFF" w14:textId="7E420C37" w:rsidR="0F588873" w:rsidRDefault="0F588873" w:rsidP="002478C1">
      <w:pPr>
        <w:jc w:val="both"/>
        <w:rPr>
          <w:sz w:val="24"/>
          <w:szCs w:val="24"/>
          <w:rFonts w:ascii="Arial" w:eastAsia="Arial" w:hAnsi="Arial" w:cs="Arial"/>
        </w:rPr>
      </w:pPr>
      <w:r>
        <w:rPr>
          <w:sz w:val="24"/>
          <w:rFonts w:ascii="Arial" w:hAnsi="Arial"/>
        </w:rPr>
        <w:t xml:space="preserve">n) </w:t>
      </w:r>
      <w:r>
        <w:rPr>
          <w:sz w:val="24"/>
          <w:i/>
          <w:iCs/>
          <w:rFonts w:ascii="Arial" w:hAnsi="Arial"/>
        </w:rPr>
        <w:t xml:space="preserve">kompost</w:t>
      </w:r>
      <w:r>
        <w:rPr>
          <w:sz w:val="24"/>
          <w:rFonts w:ascii="Arial" w:hAnsi="Arial"/>
        </w:rPr>
        <w:t xml:space="preserve">: organisk förändring som erhålls genom aerob biologisk och termofil rening av separat insamlat biologiskt nedbrytbart avfall.</w:t>
      </w:r>
      <w:r>
        <w:rPr>
          <w:sz w:val="24"/>
          <w:rFonts w:ascii="Arial" w:hAnsi="Arial"/>
        </w:rPr>
        <w:t xml:space="preserve"> </w:t>
      </w:r>
      <w:r>
        <w:rPr>
          <w:sz w:val="24"/>
          <w:rFonts w:ascii="Arial" w:hAnsi="Arial"/>
        </w:rPr>
        <w:t xml:space="preserve">Organiskt material som erhålls från anläggningar för mekanisk och biologisk behandling av blandat avfall anses inte vara kompost, utan ska betecknas som biologiskt stabiliserat material.</w:t>
      </w:r>
    </w:p>
    <w:p w14:paraId="24917409" w14:textId="1EDC63E3" w:rsidR="0F588873" w:rsidRDefault="0F588873" w:rsidP="002478C1">
      <w:pPr>
        <w:jc w:val="both"/>
        <w:rPr>
          <w:sz w:val="24"/>
          <w:szCs w:val="24"/>
          <w:rFonts w:ascii="Arial" w:eastAsia="Arial" w:hAnsi="Arial" w:cs="Arial"/>
        </w:rPr>
      </w:pPr>
      <w:r>
        <w:rPr>
          <w:sz w:val="24"/>
          <w:rFonts w:ascii="Arial" w:hAnsi="Arial"/>
        </w:rPr>
        <w:t xml:space="preserve">ñ) </w:t>
      </w:r>
      <w:r>
        <w:rPr>
          <w:sz w:val="24"/>
          <w:i/>
          <w:iCs/>
          <w:rFonts w:ascii="Arial" w:hAnsi="Arial"/>
        </w:rPr>
        <w:t xml:space="preserve">rötrester</w:t>
      </w:r>
      <w:r>
        <w:rPr>
          <w:sz w:val="24"/>
          <w:rFonts w:ascii="Arial" w:hAnsi="Arial"/>
        </w:rPr>
        <w:t xml:space="preserve">: organisk förändring som erhålls genom anaerob biologisk rening av biologiskt nedbrytbart avfall som samlats in separat.</w:t>
      </w:r>
      <w:r>
        <w:rPr>
          <w:sz w:val="24"/>
          <w:rFonts w:ascii="Arial" w:hAnsi="Arial"/>
        </w:rPr>
        <w:t xml:space="preserve"> </w:t>
      </w:r>
      <w:r>
        <w:rPr>
          <w:sz w:val="24"/>
          <w:rFonts w:ascii="Arial" w:hAnsi="Arial"/>
        </w:rPr>
        <w:t xml:space="preserve">Organiskt material som erhålls från anläggningar för anaerob mekanisk och biologisk behandling av blandat avfall anses inte vara rötrester, utan ska betecknas som biologiskt stabiliserat material.</w:t>
      </w:r>
    </w:p>
    <w:p w14:paraId="0CCECC99" w14:textId="52754674" w:rsidR="0F588873" w:rsidRDefault="0F588873" w:rsidP="002478C1">
      <w:pPr>
        <w:jc w:val="both"/>
        <w:rPr>
          <w:sz w:val="24"/>
          <w:szCs w:val="24"/>
          <w:rFonts w:ascii="Arial" w:eastAsia="Arial" w:hAnsi="Arial" w:cs="Arial"/>
        </w:rPr>
      </w:pPr>
      <w:r>
        <w:rPr>
          <w:sz w:val="24"/>
          <w:rFonts w:ascii="Arial" w:hAnsi="Arial"/>
        </w:rPr>
        <w:t xml:space="preserve">o) </w:t>
      </w:r>
      <w:r>
        <w:rPr>
          <w:sz w:val="24"/>
          <w:i/>
          <w:iCs/>
          <w:rFonts w:ascii="Arial" w:hAnsi="Arial"/>
        </w:rPr>
        <w:t xml:space="preserve">förebyggande</w:t>
      </w:r>
      <w:r>
        <w:rPr>
          <w:sz w:val="24"/>
          <w:rFonts w:ascii="Arial" w:hAnsi="Arial"/>
        </w:rPr>
        <w:t xml:space="preserve">: en uppsättning åtgärder som vidtagits under faserna för planering och utformning, produktion, distribution och förbrukning av ämnen, material eller produkter i syfte att minska</w:t>
      </w:r>
    </w:p>
    <w:p w14:paraId="2CEF2741" w14:textId="65B83D7D" w:rsidR="0F588873" w:rsidRDefault="0F588873" w:rsidP="002478C1">
      <w:pPr>
        <w:jc w:val="both"/>
        <w:rPr>
          <w:sz w:val="24"/>
          <w:szCs w:val="24"/>
          <w:rFonts w:ascii="Arial" w:eastAsia="Arial" w:hAnsi="Arial" w:cs="Arial"/>
        </w:rPr>
      </w:pPr>
      <w:r>
        <w:rPr>
          <w:sz w:val="24"/>
          <w:rFonts w:ascii="Arial" w:hAnsi="Arial"/>
        </w:rPr>
        <w:t xml:space="preserve">1. mängden avfall, inbegripet genom återanvändning av produkter eller förlängning av produkters livslängd,</w:t>
      </w:r>
    </w:p>
    <w:p w14:paraId="4C79ABBC" w14:textId="52256EF4" w:rsidR="0F588873" w:rsidRDefault="0F588873" w:rsidP="002478C1">
      <w:pPr>
        <w:jc w:val="both"/>
        <w:rPr>
          <w:sz w:val="24"/>
          <w:szCs w:val="24"/>
          <w:rFonts w:ascii="Arial" w:eastAsia="Arial" w:hAnsi="Arial" w:cs="Arial"/>
        </w:rPr>
      </w:pPr>
      <w:r>
        <w:rPr>
          <w:sz w:val="24"/>
          <w:rFonts w:ascii="Arial" w:hAnsi="Arial"/>
        </w:rPr>
        <w:t xml:space="preserve">2. den negativa påverkan av miljön och människors hälsa genom det genererade avfallet, inklusive genom sparande i användningen av material eller energi, eller</w:t>
      </w:r>
    </w:p>
    <w:p w14:paraId="1C7454E0" w14:textId="4DC1FF87" w:rsidR="0F588873" w:rsidRDefault="0F588873" w:rsidP="002478C1">
      <w:pPr>
        <w:jc w:val="both"/>
        <w:rPr>
          <w:sz w:val="24"/>
          <w:szCs w:val="24"/>
          <w:rFonts w:ascii="Arial" w:eastAsia="Arial" w:hAnsi="Arial" w:cs="Arial"/>
        </w:rPr>
      </w:pPr>
      <w:r>
        <w:rPr>
          <w:sz w:val="24"/>
          <w:rFonts w:ascii="Arial" w:hAnsi="Arial"/>
        </w:rPr>
        <w:t xml:space="preserve">3. halten av skadliga ämnen i material och produkter.</w:t>
      </w:r>
    </w:p>
    <w:p w14:paraId="44F459E3" w14:textId="02E63FA5" w:rsidR="0F588873" w:rsidRDefault="0F588873" w:rsidP="002478C1">
      <w:pPr>
        <w:jc w:val="both"/>
        <w:rPr>
          <w:sz w:val="24"/>
          <w:szCs w:val="24"/>
          <w:rFonts w:ascii="Arial" w:eastAsia="Arial" w:hAnsi="Arial" w:cs="Arial"/>
        </w:rPr>
      </w:pPr>
      <w:r>
        <w:rPr>
          <w:sz w:val="24"/>
          <w:rFonts w:ascii="Arial" w:hAnsi="Arial"/>
        </w:rPr>
        <w:t xml:space="preserve">p) </w:t>
      </w:r>
      <w:r>
        <w:rPr>
          <w:sz w:val="24"/>
          <w:i/>
          <w:iCs/>
          <w:rFonts w:ascii="Arial" w:hAnsi="Arial"/>
        </w:rPr>
        <w:t xml:space="preserve">återanvändning</w:t>
      </w:r>
      <w:r>
        <w:rPr>
          <w:sz w:val="24"/>
          <w:rFonts w:ascii="Arial" w:hAnsi="Arial"/>
        </w:rPr>
        <w:t xml:space="preserve">: varje förfarande som innebär att produkter eller komponenter av produkter som inte är avfall återanvänds i samma syfte för vilket de ursprungligen var avsedda.</w:t>
      </w:r>
    </w:p>
    <w:p w14:paraId="4B9FB7BB" w14:textId="6D91AE92" w:rsidR="0F588873" w:rsidRDefault="0F588873" w:rsidP="002478C1">
      <w:pPr>
        <w:jc w:val="both"/>
        <w:rPr>
          <w:sz w:val="24"/>
          <w:szCs w:val="24"/>
          <w:rFonts w:ascii="Arial" w:eastAsia="Arial" w:hAnsi="Arial" w:cs="Arial"/>
        </w:rPr>
      </w:pPr>
      <w:r>
        <w:rPr>
          <w:sz w:val="24"/>
          <w:rFonts w:ascii="Arial" w:hAnsi="Arial"/>
        </w:rPr>
        <w:t xml:space="preserve">q) </w:t>
      </w:r>
      <w:r>
        <w:rPr>
          <w:sz w:val="24"/>
          <w:i/>
          <w:iCs/>
          <w:rFonts w:ascii="Arial" w:hAnsi="Arial"/>
        </w:rPr>
        <w:t xml:space="preserve">avfallsproducent</w:t>
      </w:r>
      <w:r>
        <w:rPr>
          <w:sz w:val="24"/>
          <w:rFonts w:ascii="Arial" w:hAnsi="Arial"/>
        </w:rPr>
        <w:t xml:space="preserve">: varje fysisk eller juridisk person som bedriver en verksamhet som ger upphov till avfall (ursprunglig avfallsproducent) och var och en som genom förbehandling, blandning eller andra förfaranden ändrar avfallets art eller sammansättning.</w:t>
      </w:r>
      <w:r>
        <w:rPr>
          <w:sz w:val="24"/>
          <w:rFonts w:ascii="Arial" w:hAnsi="Arial"/>
        </w:rPr>
        <w:t xml:space="preserve"> </w:t>
      </w:r>
      <w:r>
        <w:rPr>
          <w:sz w:val="24"/>
          <w:rFonts w:ascii="Arial" w:hAnsi="Arial"/>
        </w:rPr>
        <w:t xml:space="preserve">För varor som omhändertagits vid gränskontroll- eller gränsinspektionstjänster ska innehavaren eller importören eller exportören av varorna anses vara avfallsproducenten i enlighet med definitionen i tullbestämmelserna.</w:t>
      </w:r>
    </w:p>
    <w:p w14:paraId="5BBAE603" w14:textId="79DAF3D6" w:rsidR="0F588873" w:rsidRDefault="0F588873" w:rsidP="002478C1">
      <w:pPr>
        <w:jc w:val="both"/>
        <w:rPr>
          <w:sz w:val="24"/>
          <w:szCs w:val="24"/>
          <w:rFonts w:ascii="Arial" w:eastAsia="Arial" w:hAnsi="Arial" w:cs="Arial"/>
        </w:rPr>
      </w:pPr>
      <w:r>
        <w:rPr>
          <w:sz w:val="24"/>
          <w:rFonts w:ascii="Arial" w:hAnsi="Arial"/>
        </w:rPr>
        <w:t xml:space="preserve">r) </w:t>
      </w:r>
      <w:r>
        <w:rPr>
          <w:sz w:val="24"/>
          <w:i/>
          <w:iCs/>
          <w:rFonts w:ascii="Arial" w:hAnsi="Arial"/>
        </w:rPr>
        <w:t xml:space="preserve">avfallsinnehavare</w:t>
      </w:r>
      <w:r>
        <w:rPr>
          <w:sz w:val="24"/>
          <w:rFonts w:ascii="Arial" w:hAnsi="Arial"/>
        </w:rPr>
        <w:t xml:space="preserve">: avfallsproducenten eller den fysiska eller juridiska person som är i besittning av avfallet.</w:t>
      </w:r>
    </w:p>
    <w:p w14:paraId="066CDE28" w14:textId="2796B1E7" w:rsidR="0F588873" w:rsidRDefault="0F588873" w:rsidP="002478C1">
      <w:pPr>
        <w:jc w:val="both"/>
        <w:rPr>
          <w:sz w:val="24"/>
          <w:szCs w:val="24"/>
          <w:rFonts w:ascii="Arial" w:eastAsia="Arial" w:hAnsi="Arial" w:cs="Arial"/>
        </w:rPr>
      </w:pPr>
      <w:r>
        <w:rPr>
          <w:sz w:val="24"/>
          <w:rFonts w:ascii="Arial" w:hAnsi="Arial"/>
        </w:rPr>
        <w:t xml:space="preserve">s) </w:t>
      </w:r>
      <w:r>
        <w:rPr>
          <w:sz w:val="24"/>
          <w:i/>
          <w:iCs/>
          <w:rFonts w:ascii="Arial" w:hAnsi="Arial"/>
        </w:rPr>
        <w:t xml:space="preserve">avfallshantering</w:t>
      </w:r>
      <w:r>
        <w:rPr>
          <w:sz w:val="24"/>
          <w:rFonts w:ascii="Arial" w:hAnsi="Arial"/>
        </w:rPr>
        <w:t xml:space="preserve">: insamling, transport, återvinning (inklusive sortering) och bortskaffande av avfall, inklusive kontroll av sådan verksamhet och efterbehandling av platser för bortskaffande av avfall, inklusive åtgärder som handlaren eller mäklaren vidtar.</w:t>
      </w:r>
    </w:p>
    <w:p w14:paraId="5242AE8B" w14:textId="4517330E" w:rsidR="0F588873" w:rsidRDefault="0F588873" w:rsidP="002478C1">
      <w:pPr>
        <w:jc w:val="both"/>
        <w:rPr>
          <w:sz w:val="24"/>
          <w:szCs w:val="24"/>
          <w:rFonts w:ascii="Arial" w:eastAsia="Arial" w:hAnsi="Arial" w:cs="Arial"/>
        </w:rPr>
      </w:pPr>
      <w:r>
        <w:rPr>
          <w:sz w:val="24"/>
          <w:rFonts w:ascii="Arial" w:hAnsi="Arial"/>
        </w:rPr>
        <w:t xml:space="preserve">t) </w:t>
      </w:r>
      <w:r>
        <w:rPr>
          <w:sz w:val="24"/>
          <w:i/>
          <w:iCs/>
          <w:rFonts w:ascii="Arial" w:hAnsi="Arial"/>
        </w:rPr>
        <w:t xml:space="preserve">insamling</w:t>
      </w:r>
      <w:r>
        <w:rPr>
          <w:sz w:val="24"/>
          <w:rFonts w:ascii="Arial" w:hAnsi="Arial"/>
        </w:rPr>
        <w:t xml:space="preserve">: verksamhet avseende uppsamling, försortering och inledande lagring av avfall för vidare transport till en avfallshanteringsanläggning.</w:t>
      </w:r>
    </w:p>
    <w:p w14:paraId="5DD765A4" w14:textId="0723A28F" w:rsidR="0F588873" w:rsidRDefault="0F588873" w:rsidP="002478C1">
      <w:pPr>
        <w:jc w:val="both"/>
        <w:rPr>
          <w:sz w:val="24"/>
          <w:szCs w:val="24"/>
          <w:rFonts w:ascii="Arial" w:eastAsia="Arial" w:hAnsi="Arial" w:cs="Arial"/>
        </w:rPr>
      </w:pPr>
      <w:r>
        <w:rPr>
          <w:sz w:val="24"/>
          <w:rFonts w:ascii="Arial" w:hAnsi="Arial"/>
        </w:rPr>
        <w:t xml:space="preserve">u) </w:t>
      </w:r>
      <w:r>
        <w:rPr>
          <w:sz w:val="24"/>
          <w:i/>
          <w:iCs/>
          <w:rFonts w:ascii="Arial" w:hAnsi="Arial"/>
        </w:rPr>
        <w:t xml:space="preserve">separat insamling</w:t>
      </w:r>
      <w:r>
        <w:rPr>
          <w:sz w:val="24"/>
          <w:rFonts w:ascii="Arial" w:hAnsi="Arial"/>
        </w:rPr>
        <w:t xml:space="preserve">: insamling då ett avfallsflöde hålls åtskilt efter avfallets typ och natur i syfte att underlätta en särskild behandling.</w:t>
      </w:r>
    </w:p>
    <w:p w14:paraId="7E4879E8" w14:textId="5419A6E2" w:rsidR="0F588873" w:rsidRDefault="0F588873" w:rsidP="002478C1">
      <w:pPr>
        <w:jc w:val="both"/>
        <w:rPr>
          <w:sz w:val="24"/>
          <w:szCs w:val="24"/>
          <w:rFonts w:ascii="Arial" w:eastAsia="Arial" w:hAnsi="Arial" w:cs="Arial"/>
        </w:rPr>
      </w:pPr>
      <w:r>
        <w:rPr>
          <w:sz w:val="24"/>
          <w:rFonts w:ascii="Arial" w:hAnsi="Arial"/>
        </w:rPr>
        <w:t xml:space="preserve">v) </w:t>
      </w:r>
      <w:r>
        <w:rPr>
          <w:sz w:val="24"/>
          <w:i/>
          <w:iCs/>
          <w:rFonts w:ascii="Arial" w:hAnsi="Arial"/>
        </w:rPr>
        <w:t xml:space="preserve">transport av avfall</w:t>
      </w:r>
      <w:r>
        <w:rPr>
          <w:sz w:val="24"/>
          <w:rFonts w:ascii="Arial" w:hAnsi="Arial"/>
        </w:rPr>
        <w:t xml:space="preserve">: hanteringsverksamhet som genomförs av företag vars huvudsakliga verksamhet utgörs av yrkesmässig transport av avfall åt tredje part, samt transport som genomförs av företag inom ramen för deras vanliga yrkesmässiga verksamhet, även om detta inte är deras huvudsakliga verksamhet.</w:t>
      </w:r>
    </w:p>
    <w:p w14:paraId="34171A63" w14:textId="4BF26964" w:rsidR="0F588873" w:rsidRDefault="0F588873" w:rsidP="002478C1">
      <w:pPr>
        <w:jc w:val="both"/>
        <w:rPr>
          <w:sz w:val="24"/>
          <w:szCs w:val="24"/>
          <w:rFonts w:ascii="Arial" w:eastAsia="Arial" w:hAnsi="Arial" w:cs="Arial"/>
        </w:rPr>
      </w:pPr>
      <w:r>
        <w:rPr>
          <w:sz w:val="24"/>
          <w:rFonts w:ascii="Arial" w:hAnsi="Arial"/>
        </w:rPr>
        <w:t xml:space="preserve">w) </w:t>
      </w:r>
      <w:r>
        <w:rPr>
          <w:sz w:val="24"/>
          <w:i/>
          <w:iCs/>
          <w:rFonts w:ascii="Arial" w:hAnsi="Arial"/>
        </w:rPr>
        <w:t xml:space="preserve">behandling</w:t>
      </w:r>
      <w:r>
        <w:rPr>
          <w:sz w:val="24"/>
          <w:rFonts w:ascii="Arial" w:hAnsi="Arial"/>
        </w:rPr>
        <w:t xml:space="preserve">: återvinnings- eller bortskaffningsförfaranden, inklusive beredning före återvinning eller bortskaffande.</w:t>
      </w:r>
    </w:p>
    <w:p w14:paraId="39F4F6E4" w14:textId="7C167B6B" w:rsidR="0F588873" w:rsidRDefault="0F588873" w:rsidP="002478C1">
      <w:pPr>
        <w:jc w:val="both"/>
        <w:rPr>
          <w:sz w:val="24"/>
          <w:szCs w:val="24"/>
          <w:rFonts w:ascii="Arial" w:eastAsia="Arial" w:hAnsi="Arial" w:cs="Arial"/>
        </w:rPr>
      </w:pPr>
      <w:r>
        <w:rPr>
          <w:sz w:val="24"/>
          <w:rFonts w:ascii="Arial" w:hAnsi="Arial"/>
        </w:rPr>
        <w:t xml:space="preserve">x) </w:t>
      </w:r>
      <w:r>
        <w:rPr>
          <w:sz w:val="24"/>
          <w:i/>
          <w:iCs/>
          <w:rFonts w:ascii="Arial" w:hAnsi="Arial"/>
        </w:rPr>
        <w:t xml:space="preserve">återvinning</w:t>
      </w:r>
      <w:r>
        <w:rPr>
          <w:sz w:val="24"/>
          <w:rFonts w:ascii="Arial" w:hAnsi="Arial"/>
        </w:rPr>
        <w:t xml:space="preserve">: varje förfarande vars främsta resultat är avfall som har ett nyttigt ändamål, genom att det antingen vid anläggningen eller i samhället i stort ersätter annat material som i annat fall skulle ha använts för ett visst syfte;</w:t>
      </w:r>
      <w:r>
        <w:rPr>
          <w:sz w:val="24"/>
          <w:rFonts w:ascii="Arial" w:hAnsi="Arial"/>
        </w:rPr>
        <w:t xml:space="preserve"> </w:t>
      </w:r>
      <w:r>
        <w:rPr>
          <w:sz w:val="24"/>
          <w:rFonts w:ascii="Arial" w:hAnsi="Arial"/>
        </w:rPr>
        <w:t xml:space="preserve">bilaga II innehåller en icke uttömmande förteckning över återvinningsförfaranden.</w:t>
      </w:r>
    </w:p>
    <w:p w14:paraId="1AF10599" w14:textId="5320F6ED" w:rsidR="0F588873" w:rsidRDefault="0F588873" w:rsidP="002478C1">
      <w:pPr>
        <w:jc w:val="both"/>
        <w:rPr>
          <w:sz w:val="24"/>
          <w:szCs w:val="24"/>
          <w:rFonts w:ascii="Arial" w:eastAsia="Arial" w:hAnsi="Arial" w:cs="Arial"/>
        </w:rPr>
      </w:pPr>
      <w:r>
        <w:rPr>
          <w:sz w:val="24"/>
          <w:rFonts w:ascii="Arial" w:hAnsi="Arial"/>
        </w:rPr>
        <w:t xml:space="preserve">y) </w:t>
      </w:r>
      <w:r>
        <w:rPr>
          <w:sz w:val="24"/>
          <w:i/>
          <w:iCs/>
          <w:rFonts w:ascii="Arial" w:hAnsi="Arial"/>
        </w:rPr>
        <w:t xml:space="preserve">resursåtervinning</w:t>
      </w:r>
      <w:r>
        <w:rPr>
          <w:sz w:val="24"/>
          <w:rFonts w:ascii="Arial" w:hAnsi="Arial"/>
        </w:rPr>
        <w:t xml:space="preserve">: alla former av återvinning förutom energiåtervinning och upparbetning till material som ska användas som bränsle eller annan energikälla.</w:t>
      </w:r>
      <w:r>
        <w:rPr>
          <w:sz w:val="24"/>
          <w:rFonts w:ascii="Arial" w:hAnsi="Arial"/>
        </w:rPr>
        <w:t xml:space="preserve"> </w:t>
      </w:r>
      <w:r>
        <w:rPr>
          <w:sz w:val="24"/>
          <w:rFonts w:ascii="Arial" w:hAnsi="Arial"/>
        </w:rPr>
        <w:t xml:space="preserve">Det inkluderar bl.a. förberedelse för återanvändning, materialåtervinning och återfyllnad.</w:t>
      </w:r>
    </w:p>
    <w:p w14:paraId="207F23D6" w14:textId="5BA20980" w:rsidR="0F588873" w:rsidRDefault="0F588873" w:rsidP="002478C1">
      <w:pPr>
        <w:jc w:val="both"/>
        <w:rPr>
          <w:sz w:val="24"/>
          <w:szCs w:val="24"/>
          <w:rFonts w:ascii="Arial" w:eastAsia="Arial" w:hAnsi="Arial" w:cs="Arial"/>
        </w:rPr>
      </w:pPr>
      <w:r>
        <w:rPr>
          <w:sz w:val="24"/>
          <w:rFonts w:ascii="Arial" w:hAnsi="Arial"/>
        </w:rPr>
        <w:t xml:space="preserve">z) </w:t>
      </w:r>
      <w:r>
        <w:rPr>
          <w:sz w:val="24"/>
          <w:i/>
          <w:iCs/>
          <w:rFonts w:ascii="Arial" w:hAnsi="Arial"/>
        </w:rPr>
        <w:t xml:space="preserve">förberedelse för återanvändning</w:t>
      </w:r>
      <w:r>
        <w:rPr>
          <w:sz w:val="24"/>
          <w:rFonts w:ascii="Arial" w:hAnsi="Arial"/>
        </w:rPr>
        <w:t xml:space="preserve">: återvinningsförfaranden som går ut på kontroll, rengöring eller reparation, genom vilka produkter eller komponenter av produkter som har blivit avfall bereds för att användas igen utan någon annan förbehandling.</w:t>
      </w:r>
    </w:p>
    <w:p w14:paraId="1257275F" w14:textId="7BF380C7" w:rsidR="0F588873" w:rsidRDefault="0F588873" w:rsidP="002478C1">
      <w:pPr>
        <w:jc w:val="both"/>
        <w:rPr>
          <w:sz w:val="24"/>
          <w:szCs w:val="24"/>
          <w:rFonts w:ascii="Arial" w:eastAsia="Arial" w:hAnsi="Arial" w:cs="Arial"/>
        </w:rPr>
      </w:pPr>
      <w:r>
        <w:rPr>
          <w:sz w:val="24"/>
          <w:rFonts w:ascii="Arial" w:hAnsi="Arial"/>
        </w:rPr>
        <w:t xml:space="preserve">aa) </w:t>
      </w:r>
      <w:r>
        <w:rPr>
          <w:sz w:val="24"/>
          <w:i/>
          <w:iCs/>
          <w:rFonts w:ascii="Arial" w:hAnsi="Arial"/>
        </w:rPr>
        <w:t xml:space="preserve">materialåtervinning</w:t>
      </w:r>
      <w:r>
        <w:rPr>
          <w:sz w:val="24"/>
          <w:rFonts w:ascii="Arial" w:hAnsi="Arial"/>
        </w:rPr>
        <w:t xml:space="preserve">: varje form av återvinningsförfarande genom vilket avfallsmaterial upparbetas till produkter, material eller ämnen, antingen för det ursprungliga ändamålet eller för andra ändamål;</w:t>
      </w:r>
      <w:r>
        <w:rPr>
          <w:sz w:val="24"/>
          <w:rFonts w:ascii="Arial" w:hAnsi="Arial"/>
        </w:rPr>
        <w:t xml:space="preserve"> </w:t>
      </w:r>
      <w:r>
        <w:rPr>
          <w:sz w:val="24"/>
          <w:rFonts w:ascii="Arial" w:hAnsi="Arial"/>
        </w:rPr>
        <w:t xml:space="preserve">det omfattar upparbetning av organiskt material men inte energiåtervinning och upparbetning till material som ska användas som bränsle eller fyllmaterial.</w:t>
      </w:r>
    </w:p>
    <w:p w14:paraId="29B1B2E2" w14:textId="0ED8E8BE" w:rsidR="0F588873" w:rsidRDefault="0F588873" w:rsidP="002478C1">
      <w:pPr>
        <w:jc w:val="both"/>
        <w:rPr>
          <w:sz w:val="24"/>
          <w:szCs w:val="24"/>
          <w:rFonts w:ascii="Arial" w:eastAsia="Arial" w:hAnsi="Arial" w:cs="Arial"/>
        </w:rPr>
      </w:pPr>
      <w:r>
        <w:rPr>
          <w:sz w:val="24"/>
          <w:rFonts w:ascii="Arial" w:hAnsi="Arial"/>
        </w:rPr>
        <w:t xml:space="preserve">ab) </w:t>
      </w:r>
      <w:r>
        <w:rPr>
          <w:sz w:val="24"/>
          <w:i/>
          <w:iCs/>
          <w:rFonts w:ascii="Arial" w:hAnsi="Arial"/>
        </w:rPr>
        <w:t xml:space="preserve">återfyllnad</w:t>
      </w:r>
      <w:r>
        <w:rPr>
          <w:sz w:val="24"/>
          <w:rFonts w:ascii="Arial" w:hAnsi="Arial"/>
        </w:rPr>
        <w:t xml:space="preserve">: alla former av återvinning där lämpligt icke-farligt avfall används för återställningsändamål i utgrävda områden eller vid landskapsmodulering.</w:t>
      </w:r>
      <w:r>
        <w:rPr>
          <w:sz w:val="24"/>
          <w:rFonts w:ascii="Arial" w:hAnsi="Arial"/>
        </w:rPr>
        <w:t xml:space="preserve"> </w:t>
      </w:r>
      <w:r>
        <w:rPr>
          <w:sz w:val="24"/>
          <w:rFonts w:ascii="Arial" w:hAnsi="Arial"/>
        </w:rPr>
        <w:t xml:space="preserve">Avfall som används för återfyllnad ska ersätta material som inte utgör avfall, och vara lämpligt för de ovannämnda ändamålen.</w:t>
      </w:r>
      <w:r>
        <w:rPr>
          <w:sz w:val="24"/>
          <w:rFonts w:ascii="Arial" w:hAnsi="Arial"/>
        </w:rPr>
        <w:t xml:space="preserve"> </w:t>
      </w:r>
      <w:r>
        <w:rPr>
          <w:sz w:val="24"/>
          <w:rFonts w:ascii="Arial" w:hAnsi="Arial"/>
        </w:rPr>
        <w:t xml:space="preserve">Återfyllnadsverksamhet ska dock motiveras av behovet att återställa markens ursprungliga topografi, och den mängd avfall som ska användas ska begränsas till den mängd som är absolut nödvändig för att uppfylla dessa ändamål.</w:t>
      </w:r>
    </w:p>
    <w:p w14:paraId="3C1EB025" w14:textId="0292DB6A" w:rsidR="0F588873" w:rsidRDefault="0F588873" w:rsidP="002478C1">
      <w:pPr>
        <w:jc w:val="both"/>
        <w:rPr>
          <w:sz w:val="24"/>
          <w:szCs w:val="24"/>
          <w:rFonts w:ascii="Arial" w:eastAsia="Arial" w:hAnsi="Arial" w:cs="Arial"/>
        </w:rPr>
      </w:pPr>
      <w:r>
        <w:rPr>
          <w:sz w:val="24"/>
          <w:rFonts w:ascii="Arial" w:hAnsi="Arial"/>
        </w:rPr>
        <w:t xml:space="preserve">ac) </w:t>
      </w:r>
      <w:r>
        <w:rPr>
          <w:sz w:val="24"/>
          <w:i/>
          <w:iCs/>
          <w:rFonts w:ascii="Arial" w:hAnsi="Arial"/>
        </w:rPr>
        <w:t xml:space="preserve">regenerering av spilloljor</w:t>
      </w:r>
      <w:r>
        <w:rPr>
          <w:sz w:val="24"/>
          <w:rFonts w:ascii="Arial" w:hAnsi="Arial"/>
        </w:rPr>
        <w:t xml:space="preserve">: varje materialåtervinningsförfarande genom vilket basoljor kan framställas genom raffinering av spilloljor, bland annat genom att avlägsna de föroreningar, oxidationsprodukter och tillsatser som sådana oljor innehåller.</w:t>
      </w:r>
    </w:p>
    <w:p w14:paraId="2CCD4725" w14:textId="57BD4629" w:rsidR="0F588873" w:rsidRDefault="0F588873" w:rsidP="002478C1">
      <w:pPr>
        <w:jc w:val="both"/>
        <w:rPr>
          <w:sz w:val="24"/>
          <w:szCs w:val="24"/>
          <w:rFonts w:ascii="Arial" w:eastAsia="Arial" w:hAnsi="Arial" w:cs="Arial"/>
        </w:rPr>
      </w:pPr>
      <w:r>
        <w:rPr>
          <w:sz w:val="24"/>
          <w:rFonts w:ascii="Arial" w:hAnsi="Arial"/>
        </w:rPr>
        <w:t xml:space="preserve">ad) </w:t>
      </w:r>
      <w:r>
        <w:rPr>
          <w:sz w:val="24"/>
          <w:i/>
          <w:iCs/>
          <w:rFonts w:ascii="Arial" w:hAnsi="Arial"/>
        </w:rPr>
        <w:t xml:space="preserve">förbehandling</w:t>
      </w:r>
      <w:r>
        <w:rPr>
          <w:sz w:val="24"/>
          <w:rFonts w:ascii="Arial" w:hAnsi="Arial"/>
        </w:rPr>
        <w:t xml:space="preserve">: återvinningsförfaranden R12 och R13 och bortskaffandeförfaranden D8, D9, D13, D14 och D15, i enlighet med bilagorna II och III.</w:t>
      </w:r>
    </w:p>
    <w:p w14:paraId="27421964" w14:textId="0589A07A" w:rsidR="0F588873" w:rsidRDefault="0F588873" w:rsidP="002478C1">
      <w:pPr>
        <w:jc w:val="both"/>
        <w:rPr>
          <w:sz w:val="24"/>
          <w:szCs w:val="24"/>
          <w:rFonts w:ascii="Arial" w:eastAsia="Arial" w:hAnsi="Arial" w:cs="Arial"/>
        </w:rPr>
      </w:pPr>
      <w:r>
        <w:rPr>
          <w:sz w:val="24"/>
          <w:rFonts w:ascii="Arial" w:hAnsi="Arial"/>
        </w:rPr>
        <w:t xml:space="preserve">ae) </w:t>
      </w:r>
      <w:r>
        <w:rPr>
          <w:sz w:val="24"/>
          <w:i/>
          <w:iCs/>
          <w:rFonts w:ascii="Arial" w:hAnsi="Arial"/>
        </w:rPr>
        <w:t xml:space="preserve">bortskaffande</w:t>
      </w:r>
      <w:r>
        <w:rPr>
          <w:sz w:val="24"/>
          <w:rFonts w:ascii="Arial" w:hAnsi="Arial"/>
        </w:rPr>
        <w:t xml:space="preserve">: varje förfarande som inte utgör återvinning, även om förfarandet sekundärt leder till regenerering av ämnen eller utvinning av energi;</w:t>
      </w:r>
      <w:r>
        <w:rPr>
          <w:sz w:val="24"/>
          <w:rFonts w:ascii="Arial" w:hAnsi="Arial"/>
        </w:rPr>
        <w:t xml:space="preserve"> </w:t>
      </w:r>
      <w:r>
        <w:rPr>
          <w:sz w:val="24"/>
          <w:rFonts w:ascii="Arial" w:hAnsi="Arial"/>
        </w:rPr>
        <w:t xml:space="preserve">bilaga III innehåller en icke uttömmande förteckning över förfaranden för bortskaffande.</w:t>
      </w:r>
    </w:p>
    <w:p w14:paraId="1FE4169A" w14:textId="2C0EC3E1" w:rsidR="0F588873" w:rsidRDefault="0F588873" w:rsidP="002478C1">
      <w:pPr>
        <w:jc w:val="both"/>
        <w:rPr>
          <w:sz w:val="24"/>
          <w:szCs w:val="24"/>
          <w:rFonts w:ascii="Arial" w:eastAsia="Arial" w:hAnsi="Arial" w:cs="Arial"/>
        </w:rPr>
      </w:pPr>
      <w:r>
        <w:rPr>
          <w:sz w:val="24"/>
          <w:rFonts w:ascii="Arial" w:hAnsi="Arial"/>
        </w:rPr>
        <w:t xml:space="preserve">af) bästa tillgängliga teknik: bästa tillgängliga teknik enligt definitionen i artikel 3 ñ i den omarbetade texten till lagen om samordnade åtgärder för förebyggande och begränsning av föroreningar, godkänd genom kungligt lagdekret 1/2016 av den 16 december 2016 om godkännandet av den omarbetade texten till lagen om samordnade åtgärder för förebyggande och begränsning av föroreningar.</w:t>
      </w:r>
    </w:p>
    <w:p w14:paraId="348F7F4C" w14:textId="7D4A05A8" w:rsidR="0F588873" w:rsidRDefault="0F588873" w:rsidP="002478C1">
      <w:pPr>
        <w:jc w:val="both"/>
        <w:rPr>
          <w:sz w:val="24"/>
          <w:szCs w:val="24"/>
          <w:rFonts w:ascii="Arial" w:eastAsia="Arial" w:hAnsi="Arial" w:cs="Arial"/>
        </w:rPr>
      </w:pPr>
      <w:r>
        <w:rPr>
          <w:sz w:val="24"/>
          <w:rFonts w:ascii="Arial" w:hAnsi="Arial"/>
        </w:rPr>
        <w:t xml:space="preserve">ag) </w:t>
      </w:r>
      <w:r>
        <w:rPr>
          <w:sz w:val="24"/>
          <w:i/>
          <w:iCs/>
          <w:rFonts w:ascii="Arial" w:hAnsi="Arial"/>
        </w:rPr>
        <w:t xml:space="preserve">avfallshanterare</w:t>
      </w:r>
      <w:r>
        <w:rPr>
          <w:sz w:val="24"/>
          <w:rFonts w:ascii="Arial" w:hAnsi="Arial"/>
        </w:rPr>
        <w:t xml:space="preserve">: en person eller en privat eller offentlig enhet som genom ett godkännande eller ett meddelande är registrerad att genomföra någon av de förfaranden som utgör avfallshantering, vare sig denne är eller inte är producenten av avfallet.</w:t>
      </w:r>
    </w:p>
    <w:p w14:paraId="3D8B249F" w14:textId="06997844" w:rsidR="0F588873" w:rsidRDefault="0F588873" w:rsidP="002478C1">
      <w:pPr>
        <w:jc w:val="both"/>
        <w:rPr>
          <w:sz w:val="24"/>
          <w:szCs w:val="24"/>
          <w:rFonts w:ascii="Arial" w:eastAsia="Arial" w:hAnsi="Arial" w:cs="Arial"/>
        </w:rPr>
      </w:pPr>
      <w:r>
        <w:rPr>
          <w:sz w:val="24"/>
          <w:rFonts w:ascii="Arial" w:hAnsi="Arial"/>
        </w:rPr>
        <w:t xml:space="preserve">ah) </w:t>
      </w:r>
      <w:r>
        <w:rPr>
          <w:sz w:val="24"/>
          <w:i/>
          <w:iCs/>
          <w:rFonts w:ascii="Arial" w:hAnsi="Arial"/>
        </w:rPr>
        <w:t xml:space="preserve">handlare</w:t>
      </w:r>
      <w:r>
        <w:rPr>
          <w:sz w:val="24"/>
          <w:rFonts w:ascii="Arial" w:hAnsi="Arial"/>
        </w:rPr>
        <w:t xml:space="preserve">: alla fysiska eller juridiska personer som fungerar som huvudman för att köpa och därefter sälja avfall, inbegripet handlare som inte kommer i fysisk besittning av avfallet.</w:t>
      </w:r>
    </w:p>
    <w:p w14:paraId="430FDD99" w14:textId="2D519FC5" w:rsidR="0F588873" w:rsidRDefault="0F588873" w:rsidP="002478C1">
      <w:pPr>
        <w:jc w:val="both"/>
        <w:rPr>
          <w:sz w:val="24"/>
          <w:szCs w:val="24"/>
          <w:rFonts w:ascii="Arial" w:eastAsia="Arial" w:hAnsi="Arial" w:cs="Arial"/>
        </w:rPr>
      </w:pPr>
      <w:r>
        <w:rPr>
          <w:sz w:val="24"/>
          <w:rFonts w:ascii="Arial" w:hAnsi="Arial"/>
        </w:rPr>
        <w:t xml:space="preserve">ah) </w:t>
      </w:r>
      <w:r>
        <w:rPr>
          <w:sz w:val="24"/>
          <w:i/>
          <w:iCs/>
          <w:rFonts w:ascii="Arial" w:hAnsi="Arial"/>
        </w:rPr>
        <w:t xml:space="preserve">mäklare</w:t>
      </w:r>
      <w:r>
        <w:rPr>
          <w:sz w:val="24"/>
          <w:rFonts w:ascii="Arial" w:hAnsi="Arial"/>
        </w:rPr>
        <w:t xml:space="preserve">: alla fysiska eller juridiska personer som ombesörjer återvinning eller bortskaffande av avfall på andras vägnar, inbegripet mäklare som inte kommer i fysisk besittning av avfallet.</w:t>
      </w:r>
    </w:p>
    <w:p w14:paraId="4C51DF62" w14:textId="77777777" w:rsidR="009F092F" w:rsidRDefault="009F092F" w:rsidP="002478C1">
      <w:pPr>
        <w:jc w:val="both"/>
        <w:rPr>
          <w:sz w:val="24"/>
          <w:szCs w:val="24"/>
          <w:rFonts w:ascii="Arial" w:eastAsia="Arial" w:hAnsi="Arial" w:cs="Arial"/>
        </w:rPr>
      </w:pPr>
      <w:r>
        <w:rPr>
          <w:sz w:val="24"/>
          <w:rFonts w:ascii="Arial" w:hAnsi="Arial"/>
        </w:rPr>
        <w:t xml:space="preserve">aj) </w:t>
      </w:r>
      <w:r>
        <w:rPr>
          <w:sz w:val="24"/>
          <w:i/>
          <w:iCs/>
          <w:rFonts w:ascii="Arial" w:hAnsi="Arial"/>
        </w:rPr>
        <w:t xml:space="preserve">produktens producent</w:t>
      </w:r>
      <w:r>
        <w:rPr>
          <w:sz w:val="24"/>
          <w:rFonts w:ascii="Arial" w:hAnsi="Arial"/>
        </w:rPr>
        <w:t xml:space="preserve">: varje fysisk eller juridisk person som yrkesmässigt utvecklar, tillverkar, bearbetar, behandlar, fyller, säljer eller importerar produkter, oavsett försäljningsmetod vid utsläppande på den nationella marknaden.</w:t>
      </w:r>
      <w:r>
        <w:rPr>
          <w:sz w:val="24"/>
          <w:rFonts w:ascii="Arial" w:hAnsi="Arial"/>
        </w:rPr>
        <w:t xml:space="preserve"> </w:t>
      </w:r>
      <w:r>
        <w:rPr>
          <w:sz w:val="24"/>
          <w:rFonts w:ascii="Arial" w:hAnsi="Arial"/>
        </w:rPr>
        <w:t xml:space="preserve">Detta inbegriper de som är etablerade på den nationella marknaden och som släpper ut produkter på den nationella marknaden och de som befinner sig i en annan medlemsstat eller i ett tredjeland och som säljer direkt till privata hushåll eller till andra användare än privata hushåll genom distansavtal enligt definitionen i artikel 92.1 i den omarbetade texten till den allmänna lagen om konsument- och användarskydd och andra kompletterande lagar, godkänd genom kungligt lagdekret 1/2007 av den 16 november 2007.</w:t>
      </w:r>
    </w:p>
    <w:p w14:paraId="5FB46457" w14:textId="242DFF15" w:rsidR="0F588873" w:rsidRDefault="0F588873" w:rsidP="002478C1">
      <w:pPr>
        <w:jc w:val="both"/>
        <w:rPr>
          <w:sz w:val="24"/>
          <w:szCs w:val="24"/>
          <w:rFonts w:ascii="Arial" w:eastAsia="Arial" w:hAnsi="Arial" w:cs="Arial"/>
        </w:rPr>
      </w:pPr>
      <w:r>
        <w:rPr>
          <w:sz w:val="24"/>
          <w:rFonts w:ascii="Arial" w:hAnsi="Arial"/>
        </w:rPr>
        <w:t xml:space="preserve">ak) </w:t>
      </w:r>
      <w:r>
        <w:rPr>
          <w:sz w:val="24"/>
          <w:i/>
          <w:iCs/>
          <w:rFonts w:ascii="Arial" w:hAnsi="Arial"/>
        </w:rPr>
        <w:t xml:space="preserve">system för utökat producentansvar</w:t>
      </w:r>
      <w:r>
        <w:rPr>
          <w:sz w:val="24"/>
          <w:rFonts w:ascii="Arial" w:hAnsi="Arial"/>
        </w:rPr>
        <w:t xml:space="preserve">: en uppsättning åtgärder som vidtagits för att säkerställa att produkters producenter bär ekonomiskt ansvar eller ekonomiskt och organisatoriskt ansvar för hanteringen av avfallsledet i en produkts livscykel.</w:t>
      </w:r>
    </w:p>
    <w:p w14:paraId="1BC5043B" w14:textId="3A012EF4" w:rsidR="0F588873" w:rsidRDefault="0F588873" w:rsidP="002478C1">
      <w:pPr>
        <w:jc w:val="both"/>
        <w:rPr>
          <w:sz w:val="24"/>
          <w:szCs w:val="24"/>
          <w:rFonts w:ascii="Arial" w:eastAsia="Arial" w:hAnsi="Arial" w:cs="Arial"/>
        </w:rPr>
      </w:pPr>
      <w:r>
        <w:rPr>
          <w:sz w:val="24"/>
          <w:rFonts w:ascii="Arial" w:hAnsi="Arial"/>
        </w:rPr>
        <w:t xml:space="preserve">al) </w:t>
      </w:r>
      <w:r>
        <w:rPr>
          <w:sz w:val="24"/>
          <w:i/>
          <w:iCs/>
          <w:rFonts w:ascii="Arial" w:hAnsi="Arial"/>
        </w:rPr>
        <w:t xml:space="preserve">förpackning</w:t>
      </w:r>
      <w:r>
        <w:rPr>
          <w:sz w:val="24"/>
          <w:rFonts w:ascii="Arial" w:hAnsi="Arial"/>
        </w:rPr>
        <w:t xml:space="preserve">: förpackningar i enlighet med definitionen i lag 11/1997 av den 24 april 1997 om förpackningar och förpackningsavfall.</w:t>
      </w:r>
    </w:p>
    <w:p w14:paraId="29A1C94A" w14:textId="7C9D8154" w:rsidR="0F588873" w:rsidRDefault="0F588873" w:rsidP="002478C1">
      <w:pPr>
        <w:jc w:val="both"/>
        <w:rPr>
          <w:sz w:val="24"/>
          <w:szCs w:val="24"/>
          <w:rFonts w:ascii="Arial" w:eastAsia="Arial" w:hAnsi="Arial" w:cs="Arial"/>
        </w:rPr>
      </w:pPr>
      <w:r>
        <w:rPr>
          <w:sz w:val="24"/>
          <w:rFonts w:ascii="Arial" w:hAnsi="Arial"/>
        </w:rPr>
        <w:t xml:space="preserve">am) </w:t>
      </w:r>
      <w:r>
        <w:rPr>
          <w:sz w:val="24"/>
          <w:i/>
          <w:iCs/>
          <w:rFonts w:ascii="Arial" w:hAnsi="Arial"/>
        </w:rPr>
        <w:t xml:space="preserve">plast</w:t>
      </w:r>
      <w:r>
        <w:rPr>
          <w:sz w:val="24"/>
          <w:rFonts w:ascii="Arial" w:hAnsi="Arial"/>
        </w:rPr>
        <w:t xml:space="preserve">: ett material bestående av en polymer enligt definitionen i artikel 3.5 i Europaparlamentets och rådets förordning (EG) nr 1907/2006 av den 18 december 2006 om registrering, utvärdering, godkännande och begränsning av kemikalier (Reach), inrättande av en europeisk kemikaliemyndighet, ändring av direktiv 1999/45/EG och upphävande av rådets förordning (EEG) nr 793/93 och kommissionens förordning (EG) nr 1488/94 samt rådets direktiv 76/769/EEG och kommissionens direktiv 91/155/EEG, 93/67/EEG, 93/105/EG och 2000/21/EG, till vilken tillsatser eller andra ämnen kan ha lagts och som kan användas som huvudsaklig strukturkomponent i slutprodukter, med undantag för naturliga polymerer som inte har modifierats på kemisk väg.</w:t>
      </w:r>
    </w:p>
    <w:p w14:paraId="61327800" w14:textId="484C07B3" w:rsidR="0F588873" w:rsidRDefault="0F588873" w:rsidP="002478C1">
      <w:pPr>
        <w:jc w:val="both"/>
        <w:rPr>
          <w:sz w:val="24"/>
          <w:szCs w:val="24"/>
          <w:rFonts w:ascii="Arial" w:eastAsia="Arial" w:hAnsi="Arial" w:cs="Arial"/>
        </w:rPr>
      </w:pPr>
      <w:r>
        <w:rPr>
          <w:sz w:val="24"/>
          <w:rFonts w:ascii="Arial" w:hAnsi="Arial"/>
        </w:rPr>
        <w:t xml:space="preserve">an) </w:t>
      </w:r>
      <w:r>
        <w:rPr>
          <w:sz w:val="24"/>
          <w:i/>
          <w:iCs/>
          <w:rFonts w:ascii="Arial" w:hAnsi="Arial"/>
        </w:rPr>
        <w:t xml:space="preserve">plastprodukt för engångsbruk</w:t>
      </w:r>
      <w:r>
        <w:rPr>
          <w:sz w:val="24"/>
          <w:rFonts w:ascii="Arial" w:hAnsi="Arial"/>
        </w:rPr>
        <w:t xml:space="preserve">: en produkt som helt eller delvis består av plast och som inte har utformats, konstruerats eller släppts ut på marknaden för att under sin livscykel återanvändas flera gånger genom att sändas tillbaka till en producent för att återfyllas eller återanvändas för samma ändamål som den utformades för.</w:t>
      </w:r>
    </w:p>
    <w:p w14:paraId="5040CE5B" w14:textId="219DE949" w:rsidR="0F588873" w:rsidRDefault="0F588873" w:rsidP="002478C1">
      <w:pPr>
        <w:jc w:val="both"/>
        <w:rPr>
          <w:sz w:val="24"/>
          <w:szCs w:val="24"/>
          <w:rFonts w:ascii="Arial" w:eastAsia="Arial" w:hAnsi="Arial" w:cs="Arial"/>
        </w:rPr>
      </w:pPr>
      <w:r>
        <w:rPr>
          <w:sz w:val="24"/>
          <w:rFonts w:ascii="Arial" w:hAnsi="Arial"/>
        </w:rPr>
        <w:t xml:space="preserve">añ) </w:t>
      </w:r>
      <w:r>
        <w:rPr>
          <w:sz w:val="24"/>
          <w:i/>
          <w:iCs/>
          <w:rFonts w:ascii="Arial" w:hAnsi="Arial"/>
        </w:rPr>
        <w:t xml:space="preserve">oxo-nedbrytbar plast</w:t>
      </w:r>
      <w:r>
        <w:rPr>
          <w:sz w:val="24"/>
          <w:rFonts w:ascii="Arial" w:hAnsi="Arial"/>
        </w:rPr>
        <w:t xml:space="preserve">: plastmaterial som innehåller tillsatser som genom oxidation gör att plastmaterialet fragmenteras till mikrofragment eller bryts ned kemiskt.</w:t>
      </w:r>
    </w:p>
    <w:p w14:paraId="73518DB1" w14:textId="71A16E46" w:rsidR="0F588873" w:rsidRDefault="0F588873" w:rsidP="002478C1">
      <w:pPr>
        <w:jc w:val="both"/>
        <w:rPr>
          <w:sz w:val="24"/>
          <w:szCs w:val="24"/>
          <w:rFonts w:ascii="Arial" w:eastAsia="Arial" w:hAnsi="Arial" w:cs="Arial"/>
        </w:rPr>
      </w:pPr>
      <w:r>
        <w:rPr>
          <w:sz w:val="24"/>
          <w:rFonts w:ascii="Arial" w:hAnsi="Arial"/>
        </w:rPr>
        <w:t xml:space="preserve">ao) </w:t>
      </w:r>
      <w:r>
        <w:rPr>
          <w:sz w:val="24"/>
          <w:i/>
          <w:iCs/>
          <w:rFonts w:ascii="Arial" w:hAnsi="Arial"/>
        </w:rPr>
        <w:t xml:space="preserve">biologiskt nedbrytbar plast</w:t>
      </w:r>
      <w:r>
        <w:rPr>
          <w:sz w:val="24"/>
          <w:rFonts w:ascii="Arial" w:hAnsi="Arial"/>
        </w:rPr>
        <w:t xml:space="preserve">: plast som kan genomgå fysisk, biologisk nedbrytning, så att den till slut omvandlas till koldioxid, biomassa och vatten, och som i enlighet med europeiska standarder för förpackningar kan återvinnas genom kompostering och anaerob nedbrytning.</w:t>
      </w:r>
    </w:p>
    <w:p w14:paraId="1F785278" w14:textId="0FBE0C15" w:rsidR="009F092F" w:rsidRDefault="009F092F" w:rsidP="002478C1">
      <w:pPr>
        <w:jc w:val="both"/>
        <w:rPr>
          <w:sz w:val="24"/>
          <w:szCs w:val="24"/>
          <w:rFonts w:ascii="Arial" w:eastAsia="Arial" w:hAnsi="Arial" w:cs="Arial"/>
        </w:rPr>
      </w:pPr>
      <w:r>
        <w:rPr>
          <w:sz w:val="24"/>
          <w:rFonts w:ascii="Arial" w:hAnsi="Arial"/>
        </w:rPr>
        <w:t xml:space="preserve">ap) </w:t>
      </w:r>
      <w:r>
        <w:rPr>
          <w:sz w:val="24"/>
          <w:i/>
          <w:iCs/>
          <w:rFonts w:ascii="Arial" w:hAnsi="Arial"/>
        </w:rPr>
        <w:t xml:space="preserve">fiskeredskap</w:t>
      </w:r>
      <w:r>
        <w:rPr>
          <w:sz w:val="24"/>
          <w:rFonts w:ascii="Arial" w:hAnsi="Arial"/>
        </w:rPr>
        <w:t xml:space="preserve">: alla föremål eller redskap som används inom fiske eller vattenbruk för att lokalisera, fånga eller föda upp marina biologiska resurser och resurser från inlandsvatten eller som flyter på vattenytan och används i syfte att dra till sig och fånga eller föda upp sådana marina biologiska resurser eller resurser från inlandsvatten.</w:t>
      </w:r>
    </w:p>
    <w:p w14:paraId="0BFEBE26" w14:textId="0EE6A897" w:rsidR="0F588873" w:rsidRDefault="009F092F" w:rsidP="002478C1">
      <w:pPr>
        <w:spacing w:line="257" w:lineRule="auto"/>
        <w:jc w:val="both"/>
        <w:rPr>
          <w:sz w:val="24"/>
          <w:szCs w:val="24"/>
          <w:rFonts w:ascii="Arial" w:eastAsia="Arial" w:hAnsi="Arial" w:cs="Arial"/>
        </w:rPr>
      </w:pPr>
      <w:r>
        <w:rPr>
          <w:sz w:val="24"/>
          <w:rFonts w:ascii="Arial" w:hAnsi="Arial"/>
        </w:rPr>
        <w:t xml:space="preserve">aq) </w:t>
      </w:r>
      <w:r>
        <w:rPr>
          <w:sz w:val="24"/>
          <w:i/>
          <w:iCs/>
          <w:rFonts w:ascii="Arial" w:hAnsi="Arial"/>
        </w:rPr>
        <w:t xml:space="preserve">mottagningsanordningar i hamn</w:t>
      </w:r>
      <w:r>
        <w:rPr>
          <w:sz w:val="24"/>
          <w:rFonts w:ascii="Arial" w:hAnsi="Arial"/>
        </w:rPr>
        <w:t xml:space="preserve">: mottagningsanordningar i hamn enligt definitionen i kungligt dekret 1381/2002 av den 20 december 2002 om mottagningsanordningar i hamn för fartygsgenererat avfall och lastrester.</w:t>
      </w:r>
    </w:p>
    <w:p w14:paraId="77247FCA" w14:textId="367404E2" w:rsidR="0F588873" w:rsidRDefault="009F092F" w:rsidP="002478C1">
      <w:pPr>
        <w:jc w:val="both"/>
        <w:rPr>
          <w:sz w:val="24"/>
          <w:szCs w:val="24"/>
          <w:rFonts w:ascii="Arial" w:eastAsia="Arial" w:hAnsi="Arial" w:cs="Arial"/>
        </w:rPr>
      </w:pPr>
      <w:r>
        <w:rPr>
          <w:sz w:val="24"/>
          <w:rFonts w:ascii="Arial" w:hAnsi="Arial"/>
        </w:rPr>
        <w:t xml:space="preserve">ar) </w:t>
      </w:r>
      <w:r>
        <w:rPr>
          <w:sz w:val="24"/>
          <w:i/>
          <w:iCs/>
          <w:rFonts w:ascii="Arial" w:hAnsi="Arial"/>
        </w:rPr>
        <w:t xml:space="preserve">tobaksvaror</w:t>
      </w:r>
      <w:r>
        <w:rPr>
          <w:sz w:val="24"/>
          <w:rFonts w:ascii="Arial" w:hAnsi="Arial"/>
        </w:rPr>
        <w:t xml:space="preserve">: tobaksvaror enligt definitionen i artikel 3 ac i kungligt dekret 579/2017 av den 9 juni 2017 om reglering av vissa aspekter avseende tillverkning, presentation och utsläppande på marknaden av tobaksvaror och relaterade produkter.</w:t>
      </w:r>
    </w:p>
    <w:p w14:paraId="2ACA4D50" w14:textId="59C7C11B" w:rsidR="0F588873" w:rsidRDefault="009F092F" w:rsidP="002478C1">
      <w:pPr>
        <w:jc w:val="both"/>
        <w:rPr>
          <w:sz w:val="24"/>
          <w:szCs w:val="24"/>
          <w:rFonts w:ascii="Arial" w:eastAsia="Arial" w:hAnsi="Arial" w:cs="Arial"/>
        </w:rPr>
      </w:pPr>
      <w:r>
        <w:rPr>
          <w:sz w:val="24"/>
          <w:rFonts w:ascii="Arial" w:hAnsi="Arial"/>
        </w:rPr>
        <w:t xml:space="preserve">as) </w:t>
      </w:r>
      <w:r>
        <w:rPr>
          <w:sz w:val="24"/>
          <w:i/>
          <w:iCs/>
          <w:rFonts w:ascii="Arial" w:hAnsi="Arial"/>
        </w:rPr>
        <w:t xml:space="preserve">utsläppande på marknaden</w:t>
      </w:r>
      <w:r>
        <w:rPr>
          <w:sz w:val="24"/>
          <w:rFonts w:ascii="Arial" w:hAnsi="Arial"/>
        </w:rPr>
        <w:t xml:space="preserve">: tillhandahållande för första gången av en produkt på den nationella marknaden.</w:t>
      </w:r>
    </w:p>
    <w:p w14:paraId="735C131E" w14:textId="0E8A8541" w:rsidR="0F588873" w:rsidRDefault="009F092F" w:rsidP="002478C1">
      <w:pPr>
        <w:jc w:val="both"/>
        <w:rPr>
          <w:sz w:val="24"/>
          <w:szCs w:val="24"/>
          <w:rFonts w:ascii="Arial" w:eastAsia="Arial" w:hAnsi="Arial" w:cs="Arial"/>
        </w:rPr>
      </w:pPr>
      <w:r>
        <w:rPr>
          <w:sz w:val="24"/>
          <w:rFonts w:ascii="Arial" w:hAnsi="Arial"/>
        </w:rPr>
        <w:t xml:space="preserve">at) </w:t>
      </w:r>
      <w:r>
        <w:rPr>
          <w:sz w:val="24"/>
          <w:i/>
          <w:iCs/>
          <w:rFonts w:ascii="Arial" w:hAnsi="Arial"/>
        </w:rPr>
        <w:t xml:space="preserve">tillhandahållande på marknaden</w:t>
      </w:r>
      <w:r>
        <w:rPr>
          <w:sz w:val="24"/>
          <w:rFonts w:ascii="Arial" w:hAnsi="Arial"/>
        </w:rPr>
        <w:t xml:space="preserve">: varje leverans av en produkt för distribution, förbrukning eller användning på den nationella marknaden i samband med kommersiell verksamhet, mot betalning eller gratis.</w:t>
      </w:r>
    </w:p>
    <w:p w14:paraId="59EADF24" w14:textId="538656F0" w:rsidR="0F588873" w:rsidRDefault="009F092F" w:rsidP="002478C1">
      <w:pPr>
        <w:jc w:val="both"/>
        <w:rPr>
          <w:sz w:val="24"/>
          <w:szCs w:val="24"/>
          <w:rFonts w:ascii="Arial" w:eastAsia="Arial" w:hAnsi="Arial" w:cs="Arial"/>
        </w:rPr>
      </w:pPr>
      <w:r>
        <w:rPr>
          <w:sz w:val="24"/>
          <w:rFonts w:ascii="Arial" w:hAnsi="Arial"/>
        </w:rPr>
        <w:t xml:space="preserve">au) </w:t>
      </w:r>
      <w:r>
        <w:rPr>
          <w:sz w:val="24"/>
          <w:i/>
          <w:iCs/>
          <w:rFonts w:ascii="Arial" w:hAnsi="Arial"/>
        </w:rPr>
        <w:t xml:space="preserve">förorenad mark</w:t>
      </w:r>
      <w:r>
        <w:rPr>
          <w:sz w:val="24"/>
          <w:rFonts w:ascii="Arial" w:hAnsi="Arial"/>
        </w:rPr>
        <w:t xml:space="preserve">: mark vars egenskaper har förändrats negativt till följd av förekomsten av farliga kemiska beståndsdelar från mänsklig verksamhet i halter som utgör en oacceptabel risk för människors hälsa eller för miljön i enlighet med de krav och standarder som regeringen fastställer och som föreskrivs som sådana genom uttryckliga beslut.</w:t>
      </w:r>
    </w:p>
    <w:p w14:paraId="62DFF878" w14:textId="7E1AB655" w:rsidR="0F588873" w:rsidRDefault="009F092F" w:rsidP="002478C1">
      <w:pPr>
        <w:jc w:val="both"/>
        <w:rPr>
          <w:sz w:val="24"/>
          <w:szCs w:val="24"/>
          <w:rFonts w:ascii="Arial" w:eastAsia="Arial" w:hAnsi="Arial" w:cs="Arial"/>
        </w:rPr>
      </w:pPr>
      <w:r>
        <w:rPr>
          <w:sz w:val="24"/>
          <w:rFonts w:ascii="Arial" w:hAnsi="Arial"/>
        </w:rPr>
        <w:t xml:space="preserve">av) </w:t>
      </w:r>
      <w:r>
        <w:rPr>
          <w:sz w:val="24"/>
          <w:i/>
          <w:iCs/>
          <w:rFonts w:ascii="Arial" w:hAnsi="Arial"/>
        </w:rPr>
        <w:t xml:space="preserve">harmoniserad standard</w:t>
      </w:r>
      <w:r>
        <w:rPr>
          <w:sz w:val="24"/>
          <w:rFonts w:ascii="Arial" w:hAnsi="Arial"/>
        </w:rPr>
        <w:t xml:space="preserve">: harmoniserad standard enligt definitionen i artikel 2.1 c i Europaparlamentets och rådets förordning (EU) nr 1025/2012 av den 25 oktober 2012 om europeisk standardisering och om ändring av rådets direktiv 89/686/EEG och 93/15/EEG samt av Europaparlamentets och rådets direktiv 94/9/EG, 94/25/EG, 95/16/EG, 97/23/EG, 98/34/EG, 2004/22/EG, 2007/23/EG, 2009/23/EG och 2009/105/EG samt om upphävande av rådets beslut 87/95/EEG och Europaparlamentets och rådets beslut 1673/2006/EG (Text av betydelse för EES).</w:t>
      </w:r>
    </w:p>
    <w:p w14:paraId="71F9E11C" w14:textId="15DC75F2" w:rsidR="4B897C5B" w:rsidRPr="0046140C" w:rsidRDefault="009F092F" w:rsidP="002478C1">
      <w:pPr>
        <w:jc w:val="both"/>
        <w:rPr>
          <w:sz w:val="24"/>
          <w:szCs w:val="24"/>
          <w:rFonts w:ascii="Arial" w:hAnsi="Arial"/>
        </w:rPr>
      </w:pPr>
      <w:r>
        <w:rPr>
          <w:sz w:val="24"/>
          <w:rFonts w:ascii="Arial" w:hAnsi="Arial"/>
        </w:rPr>
        <w:t xml:space="preserve">aw) </w:t>
      </w:r>
      <w:r>
        <w:rPr>
          <w:sz w:val="24"/>
          <w:i/>
          <w:iCs/>
          <w:rFonts w:ascii="Arial" w:hAnsi="Arial"/>
        </w:rPr>
        <w:t xml:space="preserve">behörig myndighet</w:t>
      </w:r>
      <w:r>
        <w:rPr>
          <w:sz w:val="24"/>
          <w:rFonts w:ascii="Arial" w:hAnsi="Arial"/>
        </w:rPr>
        <w:t xml:space="preserve">: enhet med ansvar att genomföra de uppgifter som föreskrivs i denna lag, som inom sina respektive ansvarsområden har utsetts av regeringen och de offentliga myndigheterna – den allmänna statsförvaltningen, de autonoma regionerna, samt städerna Ceuta och Melilla för genomförande av denna lag, provinsstyrelser och lokala organ, i enlighet med artikel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b/>
          <w:i/>
          <w:sz w:val="24"/>
          <w:rFonts w:ascii="Arial" w:hAnsi="Arial"/>
        </w:rPr>
      </w:pPr>
      <w:r>
        <w:rPr>
          <w:b/>
          <w:sz w:val="24"/>
          <w:rFonts w:ascii="Arial" w:hAnsi="Arial"/>
        </w:rPr>
        <w:t xml:space="preserve">Artikel 3.</w:t>
      </w:r>
      <w:r>
        <w:rPr>
          <w:b/>
          <w:sz w:val="24"/>
          <w:rFonts w:ascii="Arial" w:hAnsi="Arial"/>
        </w:rPr>
        <w:t xml:space="preserve"> </w:t>
      </w:r>
      <w:r>
        <w:rPr>
          <w:b/>
          <w:sz w:val="24"/>
          <w:i/>
          <w:rFonts w:ascii="Arial" w:hAnsi="Arial"/>
        </w:rPr>
        <w:t xml:space="preserve">Tillämpningsområde.</w:t>
      </w:r>
    </w:p>
    <w:p w14:paraId="17C04B48" w14:textId="2F2308DB"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Denna lag omfattar följande:</w:t>
      </w:r>
    </w:p>
    <w:p w14:paraId="4714D97B"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a) Alla typer av avfall, med beaktande av de undantag som anges i punkterna 2 och 3.</w:t>
      </w:r>
      <w:r>
        <w:rPr>
          <w:sz w:val="24"/>
          <w:rFonts w:ascii="Arial" w:hAnsi="Arial"/>
        </w:rPr>
        <w:t xml:space="preserve"> </w:t>
      </w:r>
    </w:p>
    <w:p w14:paraId="05E812BD"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b) De plastprodukter för engångsbruk som förtecknas i bilaga I. Alla produkter som framställs med oxo-nedbrytbar plast och fiskeredskap som innehåller plast.</w:t>
      </w:r>
      <w:r>
        <w:rPr>
          <w:sz w:val="24"/>
          <w:rFonts w:ascii="Arial" w:hAnsi="Arial"/>
        </w:rPr>
        <w:t xml:space="preserve"> </w:t>
      </w:r>
      <w:r>
        <w:rPr>
          <w:sz w:val="24"/>
          <w:rFonts w:ascii="Arial" w:hAnsi="Arial"/>
        </w:rPr>
        <w:t xml:space="preserve">Om åtgärder som föreskrivs för dessa plastprodukter kan komma att strida mot övriga begränsningar som föreskrivs i denna lag eller i förpackningsstandarden gäller de åtgärder som föreskrivs i denna lag för dessa plastprodukter.</w:t>
      </w:r>
    </w:p>
    <w:p w14:paraId="332381FA"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c) Förorenad mark, vilken regleras genom avdelning VI om förorenad mark.</w:t>
      </w:r>
    </w:p>
    <w:p w14:paraId="743E18D4" w14:textId="2D5E140D"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Denna lag omfattar inte följande:</w:t>
      </w:r>
    </w:p>
    <w:p w14:paraId="0D4B6206"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Luftföroreningar som släppts ut i atmosfären, vilka regleras genom lag 34/2007 av den 15 november 2007 om luftkvalitet och skydd av atmosfären, samt koldioxid som avskilts och transporterats för geologisk lagring och som lagrats geologiskt i enlighet med lag 40/2010 av den 29 december 2010 om geologisk lagring av koldioxid.</w:t>
      </w:r>
      <w:r>
        <w:rPr>
          <w:sz w:val="24"/>
          <w:rFonts w:ascii="Arial" w:hAnsi="Arial"/>
        </w:rPr>
        <w:t xml:space="preserve"> </w:t>
      </w:r>
      <w:r>
        <w:rPr>
          <w:sz w:val="24"/>
          <w:rFonts w:ascii="Arial" w:hAnsi="Arial"/>
        </w:rPr>
        <w:t xml:space="preserve">Lagen ska inte heller omfatta geologisk lagring av koldioxid som görs för forskning, utveckling eller provning av nya produkter och processer, såvida den sammanlagda planerade lagringen understiger 100 kiloton.</w:t>
      </w:r>
    </w:p>
    <w:p w14:paraId="1FFC2DF7" w14:textId="6EE526FE" w:rsidR="003F66C3" w:rsidRPr="005649E3" w:rsidRDefault="003F66C3" w:rsidP="002478C1">
      <w:pPr>
        <w:spacing w:before="120" w:after="120" w:line="240" w:lineRule="auto"/>
        <w:jc w:val="both"/>
        <w:rPr>
          <w:sz w:val="24"/>
          <w:rFonts w:ascii="Arial" w:hAnsi="Arial"/>
        </w:rPr>
      </w:pPr>
      <w:r>
        <w:rPr>
          <w:sz w:val="24"/>
          <w:rFonts w:ascii="Arial" w:hAnsi="Arial"/>
        </w:rPr>
        <w:t xml:space="preserve">b) Icke förorenad jord och annat naturligt förekommande material som grävts ut i samband med byggverksamhet, när det är säkerställt att materialet kommer att användas för byggnation i sitt naturliga tillstånd på den plats där grävningen utfördes.</w:t>
      </w:r>
    </w:p>
    <w:p w14:paraId="287C0F89"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Radioaktivt avfall.</w:t>
      </w:r>
    </w:p>
    <w:p w14:paraId="3A6CB417"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d) Utrangerade explosiva varor.</w:t>
      </w:r>
    </w:p>
    <w:p w14:paraId="7745AE7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Fekalier, om de inte omfattas av punkt 2 b, halm och annat naturligt, icke-farligt material från jordbruk eller skogsbruk som används av jordbruksföretag och lantbruk med inriktning på djurhållning, inom skogsbruk eller för energiproduktion från sådan biomassa genom processer eller metoder som inte utgör ett hot mot människors hälsa eller skadar miljön.</w:t>
      </w:r>
    </w:p>
    <w:p w14:paraId="474322CF"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Denna lag ska inte omfatta följande avfall, med avseende på de aspekter som redan regleras genom andra standarder på gemenskapsnivå eller nationell nivå genom vilka gemenskapsstandarder införlivas i det nationella systemet:</w:t>
      </w:r>
    </w:p>
    <w:p w14:paraId="759B4AB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Avloppsvatten.</w:t>
      </w:r>
    </w:p>
    <w:p w14:paraId="618E67C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b) Animaliska biprodukter som omfattas av Europaparlamentets och rådets förordning (EG) nr 1069/2009 av den 21 oktober 2009 om hälsobestämmelser för animaliska biprodukter och därav framställda produkter som inte är avsedda att användas som livsmedel och om upphävande av förordning (EG) nr 1774/2002.</w:t>
      </w:r>
      <w:r>
        <w:rPr>
          <w:sz w:val="24"/>
          <w:rFonts w:ascii="Arial" w:hAnsi="Arial"/>
        </w:rPr>
        <w:t xml:space="preserve"> </w:t>
      </w:r>
    </w:p>
    <w:p w14:paraId="2F305613"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Detta undantag omfattar inte, och därmed regleras genom denna lag, animaliska biprodukter och därav framställda produkter som är avsedda för förbränning, deponi eller som används på anläggningar för biogas, kompostering eller utvinning av bränslen.</w:t>
      </w:r>
    </w:p>
    <w:p w14:paraId="6C62D863"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Kadaver från djur som dött på annat sätt än genom slakt, inbegripet djur som avlivats för att utrota epizootiska sjukdomar och som bortskaffats enligt Europaparlamentets och rådets förordning (EG) nr 1069/2009 av den 21 oktober 2009.</w:t>
      </w:r>
      <w:r>
        <w:rPr>
          <w:sz w:val="24"/>
          <w:rFonts w:ascii="Arial" w:hAnsi="Arial"/>
        </w:rPr>
        <w:t xml:space="preserve"> </w:t>
      </w:r>
    </w:p>
    <w:p w14:paraId="271444BA" w14:textId="530DC7DD" w:rsidR="003F66C3" w:rsidRPr="005649E3" w:rsidRDefault="003F66C3" w:rsidP="002478C1">
      <w:pPr>
        <w:spacing w:before="120" w:after="120" w:line="240" w:lineRule="auto"/>
        <w:jc w:val="both"/>
        <w:rPr>
          <w:sz w:val="24"/>
          <w:rFonts w:ascii="Arial" w:hAnsi="Arial"/>
        </w:rPr>
      </w:pPr>
      <w:r>
        <w:rPr>
          <w:sz w:val="24"/>
          <w:rFonts w:ascii="Arial" w:hAnsi="Arial"/>
        </w:rPr>
        <w:t xml:space="preserve">d) Avfall från prospektering, brytning, behandling och lagring av mineralresurser, samt drift av stenbrott, i enlighet med kungligt dekret 975/2009 av den 12 juni 2009 om avfallshantering från mineralutvinningsindustrier och om skydd och återställande av platser som påverkats av mineralutvinning.</w:t>
      </w:r>
    </w:p>
    <w:p w14:paraId="4F9D69AA"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Ämnen som inte är eller innehåller animaliska biprodukter och som är avsedda att användas som foderråvaror enligt definitionen i artikel 3.2 g i Europaparlamentets och rådets förordning (EG) nr 767/2009 av den 13 juli 2009 om utsläppande på marknaden och användning av foder, om ändring av Europaparlamentets och rådets förordning (EG) nr 1831/2003 och om upphävande av rådets direktiv 79/373/EEG, kommissionens direktiv 80/511/EEG, rådets direktiv 82/471/EEG, 83/228/EEG, 93/74/EEG, 93/113/EG och 96/25/EG samt kommissionens beslut 2004/217/EG.</w:t>
      </w:r>
      <w:r>
        <w:rPr>
          <w:sz w:val="24"/>
          <w:rFonts w:ascii="Arial" w:hAnsi="Arial"/>
        </w:rPr>
        <w:t xml:space="preserve"> </w:t>
      </w:r>
    </w:p>
    <w:p w14:paraId="17FACEC9" w14:textId="565DBC83" w:rsidR="00AD084A" w:rsidRPr="005649E3" w:rsidRDefault="003F66C3"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Utan att det påverkar de skyldigheter som föreskrivs genom de särskilda tillämpliga bestämmelserna undantas från tillämpningsområdet för denna lag sådant sediment som bevisats vara ofarligt i enlighet med de riktlinjer som regeringen godkänner, i enlighet med artikel 4.2 i lag 41/2010 av den 29 december 2010 om skydd av den marina miljön, och som omplaceras under ytvatten för förvaltning av vatten och vattenvägar, skapande av nya landområden eller förebyggande av översvämning eller begränsning av effekterna av översvämning och torka.</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b/>
          <w:i/>
          <w:sz w:val="24"/>
          <w:rFonts w:ascii="Arial" w:hAnsi="Arial"/>
        </w:rPr>
      </w:pPr>
      <w:r>
        <w:rPr>
          <w:b/>
          <w:sz w:val="24"/>
          <w:rFonts w:ascii="Arial" w:hAnsi="Arial"/>
        </w:rPr>
        <w:t xml:space="preserve">Artikel 17.</w:t>
      </w:r>
      <w:r>
        <w:rPr>
          <w:b/>
          <w:sz w:val="24"/>
          <w:rFonts w:ascii="Arial" w:hAnsi="Arial"/>
        </w:rPr>
        <w:t xml:space="preserve"> </w:t>
      </w:r>
      <w:r>
        <w:rPr>
          <w:b/>
          <w:sz w:val="24"/>
          <w:i/>
          <w:rFonts w:ascii="Arial" w:hAnsi="Arial"/>
        </w:rPr>
        <w:t xml:space="preserve">Mål för förebyggande av avfall</w:t>
      </w:r>
    </w:p>
    <w:p w14:paraId="1612F68D" w14:textId="2A288615" w:rsidR="00570081" w:rsidRPr="00D53AB1" w:rsidRDefault="00570081"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I syfte att bryta sambandet mellan ekonomisk tillväxt och den inverkan på människors hälsa och på miljön som förknippas med avfallsgenerering kommer politiken för förebyggande av avfall att riktas mot att uppnå ett mål om minskat genererat avfall uttryckt i vikt, i enlighet med följande tidsram:</w:t>
      </w:r>
    </w:p>
    <w:p w14:paraId="407B0EEC" w14:textId="031753E5" w:rsidR="00570081" w:rsidRPr="00D53AB1" w:rsidRDefault="00570081" w:rsidP="002478C1">
      <w:pPr>
        <w:spacing w:before="120" w:after="120" w:line="240" w:lineRule="auto"/>
        <w:jc w:val="both"/>
        <w:rPr>
          <w:sz w:val="24"/>
          <w:rFonts w:ascii="Arial" w:hAnsi="Arial"/>
        </w:rPr>
      </w:pPr>
      <w:r>
        <w:rPr>
          <w:sz w:val="24"/>
          <w:rFonts w:ascii="Arial" w:hAnsi="Arial"/>
        </w:rPr>
        <w:t xml:space="preserve">a) Senast 2020, 10 % jämfört med det avfall som genererades 2010.</w:t>
      </w:r>
    </w:p>
    <w:p w14:paraId="2049B7D8" w14:textId="089AEE9A" w:rsidR="00570081" w:rsidRPr="00D53AB1" w:rsidRDefault="00570081" w:rsidP="002478C1">
      <w:pPr>
        <w:spacing w:before="120" w:after="120" w:line="240" w:lineRule="auto"/>
        <w:jc w:val="both"/>
        <w:rPr>
          <w:sz w:val="24"/>
          <w:rFonts w:ascii="Arial" w:hAnsi="Arial"/>
        </w:rPr>
      </w:pPr>
      <w:r>
        <w:rPr>
          <w:sz w:val="24"/>
          <w:rFonts w:ascii="Arial" w:hAnsi="Arial"/>
        </w:rPr>
        <w:t xml:space="preserve">b) Senast 2025, 13 % jämfört med det avfall som genererades 2010.</w:t>
      </w:r>
    </w:p>
    <w:p w14:paraId="4B5954FE" w14:textId="3AC03448" w:rsidR="00A741A0" w:rsidRPr="00D53AB1" w:rsidRDefault="00570081" w:rsidP="002478C1">
      <w:pPr>
        <w:spacing w:before="120" w:after="120" w:line="240" w:lineRule="auto"/>
        <w:jc w:val="both"/>
        <w:rPr>
          <w:sz w:val="24"/>
          <w:rFonts w:ascii="Arial" w:hAnsi="Arial"/>
        </w:rPr>
      </w:pPr>
      <w:r>
        <w:rPr>
          <w:sz w:val="24"/>
          <w:rFonts w:ascii="Arial" w:hAnsi="Arial"/>
        </w:rPr>
        <w:t xml:space="preserve">c) Senast 2030, 15 % jämfört med det avfall som genererades 2010.</w:t>
      </w:r>
    </w:p>
    <w:p w14:paraId="4640BE0D" w14:textId="6A501898" w:rsidR="00A741A0" w:rsidRPr="00D53AB1" w:rsidRDefault="00570081"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För att uppnå de mål som fastställs i föregående punkt kommer regeringen att, med hänsyn till tillgänglig information, rättsligt kunna fastställa specifika förebyggandemål för vissa produkter.</w:t>
      </w:r>
    </w:p>
    <w:p w14:paraId="2B7E2E3C" w14:textId="0A639C3C" w:rsidR="000A339B" w:rsidRPr="00D53AB1" w:rsidRDefault="000348A6"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Från och med 2021 kommer det att vara förbjudet att destruera överskott av hållbara produkter som inte sålts, såsom textiler, leksaker och elektrisk utrustning, såvida inte dessa produkter ska destrueras i enlighet med andra standarder.</w:t>
      </w:r>
      <w:r>
        <w:rPr>
          <w:sz w:val="24"/>
          <w:rFonts w:ascii="Arial" w:hAnsi="Arial"/>
        </w:rPr>
        <w:t xml:space="preserve"> </w:t>
      </w:r>
    </w:p>
    <w:p w14:paraId="39B451F7" w14:textId="2D5C18E8" w:rsidR="006F0C49" w:rsidRPr="00D53AB1" w:rsidRDefault="000348A6"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I syfte att minska förbrukningen av förpackningar ska de offentliga myndigheterna anta de åtgärder som behövs för att minska konsumtionen av buteljerat vatten inom sina områden, bland annat genom främjande av dricksvattenkällor i förhållanden som garanterar hygienen och livsmedelssäkerheten och tillhandahållande av vatten i återanvändbara förpackningar, utan att det påverkar att hälso- och sjukvårdsinstitutioner och utbildningsanstalter får tillhandahålla engångsförpackningar.</w:t>
      </w:r>
      <w:r>
        <w:rPr>
          <w:sz w:val="24"/>
          <w:rFonts w:ascii="Arial" w:hAnsi="Arial"/>
        </w:rPr>
        <w:t xml:space="preserve"> </w:t>
      </w:r>
    </w:p>
    <w:p w14:paraId="016FD112" w14:textId="685764CA" w:rsidR="006F0C49" w:rsidRPr="00D53AB1" w:rsidRDefault="00E5579B" w:rsidP="002478C1">
      <w:pPr>
        <w:spacing w:before="120" w:after="120" w:line="240" w:lineRule="auto"/>
        <w:jc w:val="both"/>
        <w:rPr>
          <w:sz w:val="24"/>
          <w:rFonts w:ascii="Arial" w:hAnsi="Arial"/>
        </w:rPr>
      </w:pPr>
      <w:r>
        <w:rPr>
          <w:sz w:val="24"/>
          <w:rFonts w:ascii="Arial" w:hAnsi="Arial"/>
        </w:rPr>
        <w:t xml:space="preserve">I samma syfte ska anläggningar inom sektorn för hotell och restaurang alltid kunna erbjuda konsumenter, kunder eller användare av deras tjänster möjlighet att konsumera oförpackat vatten gratis och som komplement till anläggningens erbjudanden, förutsatt att kommunen eller det företag som tillhandahåller vattnet garanterar att det är lämpligt för humankonsumtion och därmed uppfyller de sanitära kraven.</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b/>
          <w:sz w:val="24"/>
          <w:rFonts w:ascii="Arial" w:hAnsi="Arial"/>
        </w:rPr>
      </w:pPr>
      <w:r>
        <w:rPr>
          <w:b/>
          <w:sz w:val="24"/>
          <w:rFonts w:ascii="Arial" w:hAnsi="Arial"/>
        </w:rPr>
        <w:t xml:space="preserve">AVDELNING V</w:t>
      </w:r>
    </w:p>
    <w:p w14:paraId="4F89AFA3" w14:textId="7C5FA881" w:rsidR="00905B3C" w:rsidRPr="00034253" w:rsidRDefault="000644F0" w:rsidP="00512B74">
      <w:pPr>
        <w:keepNext/>
        <w:keepLines/>
        <w:spacing w:before="120" w:after="120" w:line="240" w:lineRule="auto"/>
        <w:jc w:val="center"/>
        <w:rPr>
          <w:b/>
          <w:sz w:val="24"/>
          <w:rFonts w:ascii="Arial" w:hAnsi="Arial"/>
        </w:rPr>
      </w:pPr>
      <w:r>
        <w:rPr>
          <w:b/>
          <w:sz w:val="24"/>
          <w:rFonts w:ascii="Arial" w:hAnsi="Arial"/>
        </w:rPr>
        <w:t xml:space="preserve">Minskning av vissa plastprodukters inverkan på miljön</w:t>
      </w:r>
      <w:r>
        <w:rPr>
          <w:b/>
          <w:sz w:val="24"/>
          <w:rFonts w:ascii="Arial" w:hAnsi="Arial"/>
        </w:rPr>
        <w:t xml:space="preserve">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b/>
          <w:i/>
          <w:sz w:val="24"/>
          <w:rFonts w:ascii="Arial" w:hAnsi="Arial"/>
        </w:rPr>
      </w:pPr>
      <w:r>
        <w:rPr>
          <w:b/>
          <w:sz w:val="24"/>
          <w:rFonts w:ascii="Arial" w:hAnsi="Arial"/>
        </w:rPr>
        <w:t xml:space="preserve">Artikel 40.</w:t>
      </w:r>
      <w:r>
        <w:rPr>
          <w:b/>
          <w:sz w:val="24"/>
          <w:rFonts w:ascii="Arial" w:hAnsi="Arial"/>
        </w:rPr>
        <w:t xml:space="preserve"> </w:t>
      </w:r>
      <w:r>
        <w:rPr>
          <w:b/>
          <w:sz w:val="24"/>
          <w:i/>
          <w:rFonts w:ascii="Arial" w:hAnsi="Arial"/>
        </w:rPr>
        <w:t xml:space="preserve">Minskning av förbrukningen av vissa plastprodukter för engångsbruk</w:t>
      </w:r>
    </w:p>
    <w:p w14:paraId="35998CA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För de plastprodukter för engångsbruk som förtecknas i del A i bilaga IV föreskrivs följande tidsram för minskning av tillhandahållande på marknaden:</w:t>
      </w:r>
    </w:p>
    <w:p w14:paraId="5EB586E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Senast 2026, uppnå en minskning på 50 % uttryckt i vikt, jämfört med 2022.</w:t>
      </w:r>
      <w:r>
        <w:rPr>
          <w:sz w:val="24"/>
          <w:rFonts w:ascii="Arial" w:hAnsi="Arial"/>
        </w:rPr>
        <w:t xml:space="preserve"> </w:t>
      </w:r>
    </w:p>
    <w:p w14:paraId="7506555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Senast 2030, uppnå en minskning på 70 % uttryckt i vikt, jämfört med 2022.</w:t>
      </w:r>
      <w:r>
        <w:rPr>
          <w:sz w:val="24"/>
          <w:rFonts w:ascii="Arial" w:hAnsi="Arial"/>
        </w:rPr>
        <w:t xml:space="preserve"> </w:t>
      </w:r>
    </w:p>
    <w:p w14:paraId="0F05C920"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I syfte att uppnå ovannämnda mål ska alla berörda parter inom tillhandahållandet på marknaden främja användningen av återanvändbara alternativ eller alternativ av andra material än plast.</w:t>
      </w:r>
      <w:r>
        <w:rPr>
          <w:sz w:val="24"/>
          <w:rFonts w:ascii="Arial" w:hAnsi="Arial"/>
        </w:rPr>
        <w:t xml:space="preserve"> </w:t>
      </w:r>
      <w:r>
        <w:rPr>
          <w:sz w:val="24"/>
          <w:rFonts w:ascii="Arial" w:hAnsi="Arial"/>
        </w:rPr>
        <w:t xml:space="preserve">Från och med den 1 januari 2023 ska en avgift tas ut för varje plastprodukt som konsumenter tillhandahålls, vilken ska anges separat på försäljningskvittot.</w:t>
      </w:r>
    </w:p>
    <w:p w14:paraId="6C017929"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Ministeriet för ekologisk omställning och den demografiska utmaningen kommer att bevaka minskningen av förbrukningen av dessa produkter och, beroende på de resultat som erhålls, kan föreslå ändringar av ovannämnda tidsram och andra möjliga sätt att minska förbrukningen, vilka ska fastställas enligt lag.</w:t>
      </w:r>
      <w:r>
        <w:rPr>
          <w:sz w:val="24"/>
          <w:rFonts w:ascii="Arial" w:hAnsi="Arial"/>
        </w:rPr>
        <w:t xml:space="preserve"> </w:t>
      </w:r>
      <w:r>
        <w:rPr>
          <w:sz w:val="24"/>
          <w:rFonts w:ascii="Arial" w:hAnsi="Arial"/>
        </w:rPr>
        <w:t xml:space="preserve">Dessa åtgärder ska vara proportionerliga och icke-diskriminerande och anmälas till Europeiska kommissionen i enlighet med kungligt dekret 1337/1999 av den 31 juli 1999 om uppfyllande av kraven i Europaparlamentets och rådets direktiv (EU) 2015/1535 av den 9 september 2015.</w:t>
      </w:r>
      <w:r>
        <w:rPr>
          <w:sz w:val="24"/>
          <w:rFonts w:ascii="Arial" w:hAnsi="Arial"/>
        </w:rPr>
        <w:t xml:space="preserve"> </w:t>
      </w:r>
    </w:p>
    <w:p w14:paraId="0F91FE01"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Livsmedelsbehållare ska anses vara plastprodukter för engångsbruk när, utöver att de uppfyller de kriterier som anges i definitionen, sannolikheten att de ska bli skräp på grund av deras volym eller storlek, i synnerhet vad gäller enportionsbehållare, spelar en avgörande roll.</w:t>
      </w:r>
      <w:r>
        <w:rPr>
          <w:sz w:val="24"/>
          <w:rFonts w:ascii="Arial" w:hAnsi="Arial"/>
        </w:rPr>
        <w:t xml:space="preserve"> </w:t>
      </w:r>
      <w:r>
        <w:rPr>
          <w:sz w:val="24"/>
          <w:rFonts w:ascii="Arial" w:hAnsi="Arial"/>
        </w:rPr>
        <w:t xml:space="preserve">De uppgifter som framkommer av tillämpningen artikel 18.1 k kommer att användas för detta ändamål.</w:t>
      </w:r>
    </w:p>
    <w:p w14:paraId="6ECA1340"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Vad gäller plastbrickor som är förpackningar och som inte påverkas av bilaga IV med endosprodukter av plast, plastringar som används för att gruppera individuella förpackningar och plastpinnar som används inom livsmedelssektorn för att stötta upp produkter (pinnar för godis, glass och andra produkter), varav alla tillverkas av okomposterbar plast, ska aktörerna som bedriver utsläppandet på marknaden av dessa minska sin förbrukning genom att ersätta dessa plastprodukter med återanvändbara alternativ och alternativ av andra material såsom komposterbar plast, trä, papper eller kartong.</w:t>
      </w:r>
      <w:r>
        <w:rPr>
          <w:sz w:val="24"/>
          <w:rFonts w:ascii="Arial" w:hAnsi="Arial"/>
        </w:rPr>
        <w:t xml:space="preserve"> </w:t>
      </w:r>
    </w:p>
    <w:p w14:paraId="59516281"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Ministeriet för ekologisk omställning och den demografiska utmaningen kommer att bevaka minskningen av förbrukningen av dessa produkter och, beroende på de resultat som erhålls, kan rättsligt föreskriva andra åtgärder för att uppnå en väsentlig minskning, i synnerhet genom fastställande av en tidsram för minskning.</w:t>
      </w:r>
    </w:p>
    <w:p w14:paraId="223CCA0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Senast den 3 juli 2021 ska ministeriet för ekologisk omställning och den demografiska utmaningen upprätta en rapport om alla åtgärder som ministeriet antagit i enlighet med denna artikel, anmäla denna till kommissionen och göra den tillgänglig för offentligheten.</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b/>
          <w:i/>
          <w:sz w:val="24"/>
          <w:rFonts w:ascii="Arial" w:hAnsi="Arial"/>
        </w:rPr>
      </w:pPr>
      <w:r>
        <w:rPr>
          <w:b/>
          <w:sz w:val="24"/>
          <w:rFonts w:ascii="Arial" w:hAnsi="Arial"/>
        </w:rPr>
        <w:t xml:space="preserve">Artikel 41.</w:t>
      </w:r>
      <w:r>
        <w:rPr>
          <w:b/>
          <w:sz w:val="24"/>
          <w:rFonts w:ascii="Arial" w:hAnsi="Arial"/>
        </w:rPr>
        <w:t xml:space="preserve"> </w:t>
      </w:r>
      <w:r>
        <w:rPr>
          <w:b/>
          <w:sz w:val="24"/>
          <w:i/>
          <w:rFonts w:ascii="Arial" w:hAnsi="Arial"/>
        </w:rPr>
        <w:t xml:space="preserve">Förbud mot vissa plastprodukter</w:t>
      </w:r>
    </w:p>
    <w:p w14:paraId="688EA7F6" w14:textId="77777777" w:rsidR="009F092F" w:rsidRPr="00034253" w:rsidRDefault="009F092F" w:rsidP="00512B74">
      <w:pPr>
        <w:keepNext/>
        <w:keepLines/>
        <w:spacing w:before="120" w:after="120" w:line="240" w:lineRule="auto"/>
        <w:jc w:val="both"/>
        <w:rPr>
          <w:sz w:val="24"/>
          <w:rFonts w:ascii="Arial" w:hAnsi="Arial"/>
        </w:rPr>
      </w:pPr>
      <w:r>
        <w:rPr>
          <w:sz w:val="24"/>
          <w:rFonts w:ascii="Arial" w:hAnsi="Arial"/>
        </w:rPr>
        <w:t xml:space="preserve">Från och med den 3 juli 2021 kommer det att vara förbjudet att släppa ut följande produkter på marknaden:</w:t>
      </w:r>
      <w:r>
        <w:rPr>
          <w:sz w:val="24"/>
          <w:rFonts w:ascii="Arial" w:hAnsi="Arial"/>
        </w:rPr>
        <w:t xml:space="preserve"> </w:t>
      </w:r>
    </w:p>
    <w:p w14:paraId="43CE649B"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a) Plastprodukter som förtecknas i del B i bilaga IV.</w:t>
      </w:r>
    </w:p>
    <w:p w14:paraId="5FF658C9"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b) Alla plastprodukter tillverkade av oxo-nedbrytbar plast.</w:t>
      </w:r>
    </w:p>
    <w:p w14:paraId="08B905FE" w14:textId="4D9A75E9" w:rsidR="009F092F" w:rsidRPr="00104BBA" w:rsidRDefault="009F092F" w:rsidP="002478C1">
      <w:pPr>
        <w:spacing w:before="120" w:after="120" w:line="240" w:lineRule="auto"/>
        <w:jc w:val="both"/>
        <w:rPr>
          <w:sz w:val="24"/>
          <w:rFonts w:ascii="Arial" w:hAnsi="Arial"/>
        </w:rPr>
      </w:pPr>
      <w:r>
        <w:rPr>
          <w:sz w:val="24"/>
          <w:rFonts w:ascii="Arial" w:hAnsi="Arial"/>
        </w:rPr>
        <w:t xml:space="preserve">c) Kosmetiska produkter, enligt definitionen i Europaparlamentets och rådets förordning (EG) nr 1223/2009 av den 30 november 2009 om kosmetiska produkter, och rengöringsmedel, enligt definitionen i kungligt dekret 770/1999 av den 7 maj 1999 om godkännande av teknisk-sanitära bestämmelser för utarbetande, utsläppande på marknaden och marknadsföring av rengöringsmedel, vilka innehåller avsiktligt tillsatta mikrokorn av plast som är mindre än 5 mm.</w:t>
      </w:r>
      <w:r>
        <w:rPr>
          <w:sz w:val="24"/>
          <w:rFonts w:ascii="Arial" w:hAnsi="Arial"/>
        </w:rPr>
        <w:t xml:space="preserve">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4A837DA7"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Artikel 42.</w:t>
      </w:r>
      <w:r>
        <w:rPr>
          <w:b/>
          <w:sz w:val="24"/>
          <w:rFonts w:ascii="Arial" w:hAnsi="Arial"/>
        </w:rPr>
        <w:t xml:space="preserve"> </w:t>
      </w:r>
      <w:r>
        <w:rPr>
          <w:b/>
          <w:sz w:val="24"/>
          <w:i/>
          <w:rFonts w:ascii="Arial" w:hAnsi="Arial"/>
        </w:rPr>
        <w:t xml:space="preserve">Utformningskrav för dryckesbehållare av plast</w:t>
      </w:r>
    </w:p>
    <w:p w14:paraId="3AB537B6" w14:textId="77777777" w:rsidR="009F092F"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Från och med den 3 juli 2024 kommer det enbart att vara möjligt att på marknaden släppa ut sådana plastprodukter för engångsbruk som förtecknas i del C i bilaga IV vars korkar och lock förblir fästa vid behållaren under produktens tilltänkta användningsfas.</w:t>
      </w:r>
      <w:r>
        <w:rPr>
          <w:sz w:val="24"/>
          <w:rFonts w:ascii="Arial" w:hAnsi="Arial"/>
        </w:rPr>
        <w:t xml:space="preserve"> </w:t>
      </w:r>
      <w:r>
        <w:rPr>
          <w:sz w:val="24"/>
          <w:rFonts w:ascii="Arial" w:hAnsi="Arial"/>
        </w:rPr>
        <w:t xml:space="preserve">Vid tillämpningen av detta ska metallkapsyler och metallock med plastförsegling inte anses vara gjorda av plast.</w:t>
      </w:r>
      <w:r>
        <w:rPr>
          <w:sz w:val="24"/>
          <w:rFonts w:ascii="Arial" w:hAnsi="Arial"/>
        </w:rPr>
        <w:t xml:space="preserve"> </w:t>
      </w:r>
    </w:p>
    <w:p w14:paraId="55270AC5"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Ovannämnda produkter ska anses överensstämma med det som föreskrivs i denna artikel om de tillverkas i enlighet med de harmoniserade standarder som antas på gemenskapsnivå för detta ändamål.</w:t>
      </w:r>
      <w:r>
        <w:rPr>
          <w:sz w:val="24"/>
          <w:rFonts w:ascii="Arial" w:hAnsi="Arial"/>
        </w:rPr>
        <w:t xml:space="preserve"> </w:t>
      </w:r>
    </w:p>
    <w:p w14:paraId="55D5169C"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Från och med 2025 kommer det enbart att vara tillåtet att på marknaden släppa ut de flaskor av polyetentereftalat (PET-flaskor) som förtecknas i del E i bilaga IV, vilka innehåller minst 25 % återvunnen plast, beräknat som genomsnittet av alla PET-flaskor som släpps ut på marknaden.</w:t>
      </w:r>
    </w:p>
    <w:p w14:paraId="6AD13FDA" w14:textId="77777777" w:rsidR="009F092F"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Från och med 2030 kommer det enbart att vara tillåtet att på marknaden släppa ut flaskor som anges i del E i bilaga IV, vilka innehåller minst 30 % återvunnen plast, beräknat som genomsnittet av alla flaskor som släpps ut på marknaden.</w:t>
      </w:r>
    </w:p>
    <w:p w14:paraId="788B7E96" w14:textId="77777777" w:rsidR="009F092F"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Genom de system som inrättas för att uppfylla de skyldigheter som föreskrivs inom ramen för det utökade producentansvaret för förpackningar och förpackningsavfall kommer bestämmelser att införas för att underlätta uppfyllandet av dessa mål.</w:t>
      </w:r>
      <w:r>
        <w:rPr>
          <w:sz w:val="24"/>
          <w:rFonts w:ascii="Arial" w:hAnsi="Arial"/>
        </w:rPr>
        <w:t xml:space="preserve"> </w:t>
      </w:r>
    </w:p>
    <w:p w14:paraId="27E4C895" w14:textId="1A842C04" w:rsidR="00905B3C"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De plastflaskor som avses i punkterna 2 och 3 kan innehålla uppgifter om den andel återvunnen plast som de innehåller.</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Artikel 43.</w:t>
      </w:r>
      <w:r>
        <w:rPr>
          <w:b/>
          <w:sz w:val="24"/>
          <w:rFonts w:ascii="Arial" w:hAnsi="Arial"/>
        </w:rPr>
        <w:t xml:space="preserve"> </w:t>
      </w:r>
      <w:r>
        <w:rPr>
          <w:b/>
          <w:sz w:val="24"/>
          <w:i/>
          <w:rFonts w:ascii="Arial" w:hAnsi="Arial"/>
        </w:rPr>
        <w:t xml:space="preserve">Krav för märkning av vissa plastprodukter för engångsbruk</w:t>
      </w:r>
    </w:p>
    <w:p w14:paraId="41CF11FB"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Från och med den 3 juli 2021 ska de plastprodukter för engångsbruk som anges i del D i bilaga IV som släpps ut på marknaden vara märkta på ett synligt, klart läsbart och beständigt sätt i enlighet med de harmoniserade specifikationer för märkning som föreskrivs på gemenskapsnivå.</w:t>
      </w:r>
      <w:r>
        <w:rPr>
          <w:sz w:val="24"/>
          <w:rFonts w:ascii="Arial" w:hAnsi="Arial"/>
        </w:rPr>
        <w:t xml:space="preserve"> </w:t>
      </w:r>
    </w:p>
    <w:p w14:paraId="3FF19B4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Med hjälp av denna märkning ska konsumenterna informeras om lämpliga sätt att hantera produktens avfall eller de metoder för bortskaffande som ska undvikas för produkten, i enlighet med avfallshierarkin, samt om förekomsten av plast i produkten och den negativa miljöpåverkan som övergivet skräp eller olämpliga metoder för bortskaffande av produktens avfall har på miljön.</w:t>
      </w:r>
    </w:p>
    <w:p w14:paraId="32DDFAFC"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De bestämmelser i denna artikel som avser tobaksvaror ska läggas till de befintliga bestämmelserna i kungligt dekret 579/2017 av den 9 juni.</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b/>
          <w:i/>
          <w:sz w:val="24"/>
          <w:rFonts w:ascii="Arial" w:hAnsi="Arial"/>
        </w:rPr>
      </w:pPr>
      <w:r>
        <w:rPr>
          <w:b/>
          <w:sz w:val="24"/>
          <w:rFonts w:ascii="Arial" w:hAnsi="Arial"/>
        </w:rPr>
        <w:t xml:space="preserve">Artikel 44.</w:t>
      </w:r>
      <w:r>
        <w:rPr>
          <w:b/>
          <w:sz w:val="24"/>
          <w:rFonts w:ascii="Arial" w:hAnsi="Arial"/>
        </w:rPr>
        <w:t xml:space="preserve"> </w:t>
      </w:r>
      <w:r>
        <w:rPr>
          <w:b/>
          <w:sz w:val="24"/>
          <w:i/>
          <w:rFonts w:ascii="Arial" w:hAnsi="Arial"/>
        </w:rPr>
        <w:t xml:space="preserve">Separat insamling av plastflaskor</w:t>
      </w:r>
    </w:p>
    <w:p w14:paraId="1488804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Följande mål föreskrivs för den separata insamlingen av de plastprodukter som anges i del E i bilaga IV i syfte att materialåtervinna dessa:</w:t>
      </w:r>
      <w:r>
        <w:rPr>
          <w:sz w:val="24"/>
          <w:rFonts w:ascii="Arial" w:hAnsi="Arial"/>
        </w:rPr>
        <w:t xml:space="preserve"> </w:t>
      </w:r>
    </w:p>
    <w:p w14:paraId="53AEDE6A"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a) Senast 2025, 77 % uttryckt i vikt jämfört med den mängd som släppts ut på marknaden.</w:t>
      </w:r>
      <w:r>
        <w:rPr>
          <w:sz w:val="24"/>
          <w:rFonts w:ascii="Arial" w:hAnsi="Arial"/>
        </w:rPr>
        <w:t xml:space="preserve"> </w:t>
      </w:r>
    </w:p>
    <w:p w14:paraId="76977D8B"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b) Senast 2029, 90 % uttryckt i vikt jämfört med den mängd som släppts ut på marknaden.</w:t>
      </w:r>
      <w:r>
        <w:rPr>
          <w:sz w:val="24"/>
          <w:rFonts w:ascii="Arial" w:hAnsi="Arial"/>
        </w:rPr>
        <w:t xml:space="preserve"> </w:t>
      </w:r>
    </w:p>
    <w:p w14:paraId="2CB8330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Utsläppandet på marknaden av dessa produkter kan anses vara likvärdig den mängd avfall som under samma år genereras från desamma, inklusive det som finns i skräp.</w:t>
      </w:r>
    </w:p>
    <w:p w14:paraId="318BA02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För detta ändamål ska, i genomförandeföreskrifterna för utveckling avseende förpackningar, de åtgärder som är nödvändiga för att uppnå dessa mål fastställas, exempelvis inrättande av system för pant, återbetalning och återlämning eller fastställande av mål i systemen för utökat producentansvar.</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b/>
          <w:i/>
          <w:sz w:val="24"/>
          <w:rFonts w:ascii="Arial" w:hAnsi="Arial"/>
        </w:rPr>
      </w:pPr>
      <w:r>
        <w:rPr>
          <w:b/>
          <w:sz w:val="24"/>
          <w:rFonts w:ascii="Arial" w:hAnsi="Arial"/>
        </w:rPr>
        <w:t xml:space="preserve">Artikel 45.</w:t>
      </w:r>
      <w:r>
        <w:rPr>
          <w:b/>
          <w:sz w:val="24"/>
          <w:rFonts w:ascii="Arial" w:hAnsi="Arial"/>
        </w:rPr>
        <w:t xml:space="preserve"> </w:t>
      </w:r>
      <w:r>
        <w:rPr>
          <w:b/>
          <w:sz w:val="24"/>
          <w:i/>
          <w:rFonts w:ascii="Arial" w:hAnsi="Arial"/>
        </w:rPr>
        <w:t xml:space="preserve">System för utökat producentansvar</w:t>
      </w:r>
    </w:p>
    <w:p w14:paraId="69EC59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Regeringen ska upprätta rättsliga system för utökat producentansvar för de plastprodukter för engångsbruk som förtecknas i del F i bilaga IV.</w:t>
      </w:r>
      <w:r>
        <w:rPr>
          <w:sz w:val="24"/>
          <w:rFonts w:ascii="Arial" w:hAnsi="Arial"/>
        </w:rPr>
        <w:t xml:space="preserve"> </w:t>
      </w:r>
      <w:r>
        <w:rPr>
          <w:sz w:val="24"/>
          <w:rFonts w:ascii="Arial" w:hAnsi="Arial"/>
        </w:rPr>
        <w:t xml:space="preserve">Dessa system ska upprättas senast den 1 januari 2025 för plastprodukter för engångsbruk annat än förpackningar i punkt 1 och för produkterna i punkt 2.1 och 2.2 i del F, och senast den 6 januari 2023 för de övriga produkterna i punkt 1 och i punkt 2.3 i del F i bilaga IV.</w:t>
      </w:r>
      <w:r>
        <w:rPr>
          <w:sz w:val="24"/>
          <w:rFonts w:ascii="Arial" w:hAnsi="Arial"/>
        </w:rPr>
        <w:t xml:space="preserve"> </w:t>
      </w:r>
    </w:p>
    <w:p w14:paraId="2B3E1E1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I systemen för utökat producentansvar som inrättas för plastprodukter för engångsbruk som anges i punkt 1 i del F i bilaga IV ska producenterna av plastprodukter för engångsbruk, utöver de kostnader som fastställs i enlighet med artikel 38, bära följande kostnader i den mån de inte redan ingår:</w:t>
      </w:r>
    </w:p>
    <w:p w14:paraId="0914FB3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Kostnaderna för de medvetandehöjande åtgärder som avses i artikel 46.</w:t>
      </w:r>
    </w:p>
    <w:p w14:paraId="04F598C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Kostnaderna för insamling av avfall för produkter som bortskaffats i offentliga insamlingssystem, däribland infrastrukturen och dess funktionssätt, och vidare transport och behandling av avfallet.</w:t>
      </w:r>
      <w:r>
        <w:rPr>
          <w:sz w:val="24"/>
          <w:rFonts w:ascii="Arial" w:hAnsi="Arial"/>
        </w:rPr>
        <w:t xml:space="preserve"> </w:t>
      </w:r>
    </w:p>
    <w:p w14:paraId="5CF2446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Kostnaderna för rengöring av den nedskräpning som uppstått från nämnda produkter och vidare transport och behandling av dessa.</w:t>
      </w:r>
    </w:p>
    <w:p w14:paraId="553651B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I samband med de ansvarssystem som inrättas för de plastprodukter som anges i punkt 2 i del F i bilaga IV i enlighet med artikel 38 ska producenter av dessa produkter bära åtminstone följande kostnader:</w:t>
      </w:r>
    </w:p>
    <w:p w14:paraId="1FEAE6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Kostnaderna för de medvetandehöjande åtgärder som avses i artikel 46.</w:t>
      </w:r>
    </w:p>
    <w:p w14:paraId="11A04FF8" w14:textId="30C18000" w:rsidR="009F092F" w:rsidRPr="00034253" w:rsidRDefault="009F092F" w:rsidP="002478C1">
      <w:pPr>
        <w:spacing w:before="120" w:after="120" w:line="240" w:lineRule="auto"/>
        <w:jc w:val="both"/>
        <w:rPr>
          <w:sz w:val="24"/>
          <w:rFonts w:ascii="Arial" w:hAnsi="Arial"/>
        </w:rPr>
      </w:pPr>
      <w:r>
        <w:rPr>
          <w:sz w:val="24"/>
          <w:rFonts w:ascii="Arial" w:hAnsi="Arial"/>
        </w:rPr>
        <w:t xml:space="preserve">b) Kostnaderna för rengöring av den nedskräpning som uppstått från nämnda produkter, däribland rengöring av sanerings- och reningsinfrastruktur, och vidare transport och behandling av dessa.</w:t>
      </w:r>
    </w:p>
    <w:p w14:paraId="4E289DC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Kostnaderna för insamling av uppgifter och information, vare sig som regelbunden insamling eller oregelbunden insamling av sporadisk nedskräpning eller skräp utspritt i miljön.</w:t>
      </w:r>
    </w:p>
    <w:p w14:paraId="0738EBF4" w14:textId="0895832B" w:rsidR="009F092F" w:rsidRPr="00034253" w:rsidRDefault="009F092F" w:rsidP="002478C1">
      <w:pPr>
        <w:spacing w:before="120" w:after="120" w:line="240" w:lineRule="auto"/>
        <w:jc w:val="both"/>
        <w:rPr>
          <w:sz w:val="24"/>
          <w:rFonts w:ascii="Arial" w:hAnsi="Arial"/>
        </w:rPr>
      </w:pPr>
      <w:r>
        <w:rPr>
          <w:sz w:val="24"/>
          <w:rFonts w:ascii="Arial" w:hAnsi="Arial"/>
        </w:rPr>
        <w:t xml:space="preserve">Vad gäller tobaksvaror ska producenterna även bära kostnaderna för insamling av avfall från dessa produkter, som bortskaffats i offentliga insamlingssystem, däribland infrastrukturen och dess funktionssätt, och vidare transport och behandling av avfallet.</w:t>
      </w:r>
      <w:r>
        <w:rPr>
          <w:sz w:val="24"/>
          <w:rFonts w:ascii="Arial" w:hAnsi="Arial"/>
        </w:rPr>
        <w:t xml:space="preserve"> </w:t>
      </w:r>
      <w:r>
        <w:rPr>
          <w:sz w:val="24"/>
          <w:rFonts w:ascii="Arial" w:hAnsi="Arial"/>
        </w:rPr>
        <w:t xml:space="preserve">Kostnaderna kan bland annat innefatta upprättande av särskild infrastruktur för insamling av avfall från nämnda produkter, såsom lämpliga behållare för avfall på platser där det mesta av nedskräpningen från dessa avfall finns.</w:t>
      </w:r>
      <w:r>
        <w:rPr>
          <w:sz w:val="24"/>
          <w:rFonts w:ascii="Arial" w:hAnsi="Arial"/>
        </w:rPr>
        <w:t xml:space="preserve"> </w:t>
      </w:r>
      <w:r>
        <w:rPr>
          <w:sz w:val="24"/>
          <w:rFonts w:ascii="Arial" w:hAnsi="Arial"/>
        </w:rPr>
        <w:t xml:space="preserve">Likaså kan de inbegripa kostnader i samband med åtgärder för utveckling av alternativ och förebyggande åtgärder för att minska genereringen av avfall och öka materialutnyttjandet av detta.</w:t>
      </w:r>
      <w:r>
        <w:rPr>
          <w:sz w:val="24"/>
          <w:rFonts w:ascii="Arial" w:hAnsi="Arial"/>
        </w:rPr>
        <w:t xml:space="preserve"> </w:t>
      </w:r>
    </w:p>
    <w:p w14:paraId="2DC0A644" w14:textId="77777777" w:rsidR="009F092F" w:rsidRPr="00034253" w:rsidRDefault="009F092F" w:rsidP="002478C1">
      <w:pPr>
        <w:spacing w:before="120" w:after="120" w:line="240" w:lineRule="auto"/>
        <w:jc w:val="both"/>
        <w:rPr>
          <w:sz w:val="24"/>
          <w:szCs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De kostnader som ska bäras i enlighet med punkterna 2 och 3 ska inte överstiga de nödvändiga kostnaderna för att genomföra de nämnda tjänsterna på ett kostnadseffektivt sätt och ska fastställas på ett öppet sätt av de berörda aktörerna.</w:t>
      </w:r>
      <w:r>
        <w:rPr>
          <w:sz w:val="24"/>
          <w:rFonts w:ascii="Arial" w:hAnsi="Arial"/>
        </w:rPr>
        <w:t xml:space="preserve"> </w:t>
      </w:r>
      <w:r>
        <w:rPr>
          <w:sz w:val="24"/>
          <w:rFonts w:ascii="Arial" w:hAnsi="Arial"/>
        </w:rPr>
        <w:t xml:space="preserve">De kostnader som uppstår till följd av rengöring av nedskräpning ska begränsas till verksamhet som regelbundet genomförs av offentliga myndigheter eller på uppdrag av dessa.</w:t>
      </w:r>
      <w:r>
        <w:rPr>
          <w:sz w:val="24"/>
          <w:rFonts w:ascii="Arial" w:hAnsi="Arial"/>
        </w:rPr>
        <w:t xml:space="preserve"> </w:t>
      </w:r>
      <w:r>
        <w:rPr>
          <w:sz w:val="24"/>
          <w:rFonts w:ascii="Arial" w:hAnsi="Arial"/>
        </w:rPr>
        <w:t xml:space="preserve">Beräkningsmetoden ska utvecklas på ett sådant sätt att rengöringen av nedskräpningen kan fastställas på ett proportionellt sätt.</w:t>
      </w:r>
      <w:r>
        <w:rPr>
          <w:sz w:val="24"/>
          <w:rFonts w:ascii="Arial" w:hAnsi="Arial"/>
        </w:rPr>
        <w:t xml:space="preserve"> </w:t>
      </w:r>
      <w:r>
        <w:rPr>
          <w:sz w:val="24"/>
          <w:rFonts w:ascii="Arial" w:hAnsi="Arial"/>
        </w:rPr>
        <w:t xml:space="preserve">För att minska de administrativa kostnaderna kan finansiella bidrag för kostnaderna för rengöring av nedskräpning fastställas genom angivelse av lämpliga fasta fleråriga belopp.</w:t>
      </w:r>
    </w:p>
    <w:p w14:paraId="52B7422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Regeringen ska inrätta system för utökat producentansvar för fiskeredskap i enlighet med artiklarna 37 och 38 senast den 1 januari 2025.</w:t>
      </w:r>
      <w:r>
        <w:rPr>
          <w:sz w:val="24"/>
          <w:rFonts w:ascii="Arial" w:hAnsi="Arial"/>
        </w:rPr>
        <w:t xml:space="preserve"> </w:t>
      </w:r>
      <w:r>
        <w:rPr>
          <w:sz w:val="24"/>
          <w:rFonts w:ascii="Arial" w:hAnsi="Arial"/>
        </w:rPr>
        <w:t xml:space="preserve">I bestämmelserna ska ett nationellt index över minsta insamling av fiskeredskap som innehåller plast för återvinning att föreskrivas, och de åtgärder som behövs för att genomföra bevakningen av fiskeredskap som innehåller plast som släppts ut på marknaden och av det insamlade avfallet ska fastställas.</w:t>
      </w:r>
      <w:r>
        <w:rPr>
          <w:sz w:val="24"/>
          <w:rFonts w:ascii="Arial" w:hAnsi="Arial"/>
        </w:rPr>
        <w:t xml:space="preserve"> </w:t>
      </w:r>
      <w:r>
        <w:rPr>
          <w:sz w:val="24"/>
          <w:rFonts w:ascii="Arial" w:hAnsi="Arial"/>
        </w:rPr>
        <w:t xml:space="preserve">Producenter av fiskeredskap ska bära kostnaderna för den separata insamlingen av uttjänta fiskeredskap som innehåller plast och som lämnats in till behöriga anläggningar för insamling av dessa, såsom lämpliga mottagningsanordningar i hamn i enlighet med kungligt dekret 1381/2002 av den 20 december 2002, eller andra system för likvärdig insamling som inte omfattas av tillämpningsområdet för ovannämnda dekret, samt kostnaderna för vidare transport och behandling och kostnaderna för ökande av medvetenhet i enlighet med artikel 46.</w:t>
      </w:r>
    </w:p>
    <w:p w14:paraId="5B7124D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De krav som föreskrivs i enlighet med denna artikel kommer att komplettera de krav som är tillämpliga för avfall från fiskefartyg enligt unionsrätten om mottagningsanordningar i hamn.</w:t>
      </w:r>
    </w:p>
    <w:p w14:paraId="4C57BEA6" w14:textId="77777777" w:rsidR="00935EEE" w:rsidRPr="00034253" w:rsidRDefault="00935EEE" w:rsidP="002478C1">
      <w:pPr>
        <w:spacing w:before="120" w:after="120" w:line="240" w:lineRule="auto"/>
        <w:jc w:val="both"/>
        <w:rPr>
          <w:rFonts w:ascii="Arial" w:hAnsi="Arial"/>
          <w:sz w:val="24"/>
        </w:rPr>
      </w:pPr>
    </w:p>
    <w:p w14:paraId="2D1B68C7" w14:textId="4C4608F7" w:rsidR="00905B3C" w:rsidRPr="00034253" w:rsidRDefault="00905B3C" w:rsidP="00512B74">
      <w:pPr>
        <w:keepNext/>
        <w:keepLines/>
        <w:spacing w:before="120" w:after="120" w:line="240" w:lineRule="auto"/>
        <w:jc w:val="both"/>
        <w:rPr>
          <w:b/>
          <w:i/>
          <w:color w:val="000000" w:themeColor="text1"/>
          <w:sz w:val="24"/>
          <w:rFonts w:ascii="Arial" w:hAnsi="Arial"/>
        </w:rPr>
      </w:pPr>
      <w:r>
        <w:rPr>
          <w:b/>
          <w:color w:val="000000" w:themeColor="text1"/>
          <w:sz w:val="24"/>
          <w:rFonts w:ascii="Arial" w:hAnsi="Arial"/>
        </w:rPr>
        <w:t xml:space="preserve">Artikel 46.</w:t>
      </w:r>
      <w:r>
        <w:rPr>
          <w:b/>
          <w:color w:val="000000" w:themeColor="text1"/>
          <w:sz w:val="24"/>
          <w:rFonts w:ascii="Arial" w:hAnsi="Arial"/>
        </w:rPr>
        <w:t xml:space="preserve"> </w:t>
      </w:r>
      <w:r>
        <w:rPr>
          <w:b/>
          <w:color w:val="000000" w:themeColor="text1"/>
          <w:sz w:val="24"/>
          <w:i/>
          <w:rFonts w:ascii="Arial" w:hAnsi="Arial"/>
        </w:rPr>
        <w:t xml:space="preserve">Medvetandehöjande åtgärder</w:t>
      </w:r>
    </w:p>
    <w:p w14:paraId="147E5D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De behöriga myndigheterna ska vidta nödvändiga åtgärder för att informera konsumenterna och uppmuntra till ett ansvarsfullt konsumentbeteende, särskilt hos unga, för att uppnå en minskning av skräp från de plastprodukter för engångsbruk som anges i del F i bilaga IV och från damhygienprodukter som anges i del D.1 i bilaga IV.</w:t>
      </w:r>
    </w:p>
    <w:p w14:paraId="4EE164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De behöriga myndigheterna ska dessutom vidta åtgärder för att informera konsumenter av de plastprodukter för engångsbruk som avses i föregående artikel och användare av fiskeredskap som innehåller plast om följande:</w:t>
      </w:r>
    </w:p>
    <w:p w14:paraId="37E02D9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Tillgängligheten vad gäller återanvändbara alternativ, återanvändningssystem och avfallshanteringsalternativ för dessa plastprodukter för engångsbruk och fiskeredskap som innehåller plast samt bästa praxis för sund avfallshantering som utförs i enlighet med artikel 7.</w:t>
      </w:r>
    </w:p>
    <w:p w14:paraId="2E410305"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b) Inverkan på miljön, i synnerhet den marina miljön, genom nedskräpning och annat olämpligt bortskaffande av dessa plastprodukter för engångsbruk och fiskeredskap som innehåller plast.</w:t>
      </w:r>
    </w:p>
    <w:p w14:paraId="0F1DAD83"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c) Effekterna av olämpligt bortskaffande av dessa plastprodukter för engångsbruk på avloppsnätet.</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b/>
          <w:i/>
          <w:sz w:val="24"/>
          <w:rFonts w:ascii="Arial" w:hAnsi="Arial"/>
        </w:rPr>
      </w:pPr>
      <w:r>
        <w:rPr>
          <w:b/>
          <w:sz w:val="24"/>
          <w:rFonts w:ascii="Arial" w:hAnsi="Arial"/>
        </w:rPr>
        <w:t xml:space="preserve">Artikel 47.</w:t>
      </w:r>
      <w:r>
        <w:rPr>
          <w:b/>
          <w:sz w:val="24"/>
          <w:rFonts w:ascii="Arial" w:hAnsi="Arial"/>
        </w:rPr>
        <w:t xml:space="preserve"> </w:t>
      </w:r>
      <w:r>
        <w:rPr>
          <w:b/>
          <w:sz w:val="24"/>
          <w:i/>
          <w:rFonts w:ascii="Arial" w:hAnsi="Arial"/>
        </w:rPr>
        <w:t xml:space="preserve">Samordning av åtgärder</w:t>
      </w:r>
    </w:p>
    <w:p w14:paraId="1DB6707D"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De åtgärder som vidtas vid genomförandet av denna avdelning ska utgöra en integrerad del av och vara förenliga med bestämmelserna om skydd av den marina miljön, bestämmelserna om vatten och kungligt dekret 1381/2002 av den 20 december 2002.</w:t>
      </w:r>
      <w:r>
        <w:rPr>
          <w:sz w:val="24"/>
          <w:rFonts w:ascii="Arial" w:hAnsi="Arial"/>
        </w:rPr>
        <w:t xml:space="preserve"> </w:t>
      </w:r>
      <w:r>
        <w:rPr>
          <w:sz w:val="24"/>
          <w:rFonts w:ascii="Arial" w:hAnsi="Arial"/>
        </w:rPr>
        <w:t xml:space="preserve">Dessa åtgärder ska överensstämma med ovannämnda program och planer.</w:t>
      </w:r>
    </w:p>
    <w:p w14:paraId="7B0635D0"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De åtgärder som vidtas vid tillämpningen av artiklarna 40–45 ska vara förenliga med unionens livsmedelslagstiftning i syfte att säkerställa att livsmedelshygien och livsmedelssäkerhet inte äventyras, samt uppmuntra användning av hållbara alternativ till plast för engångsbruk där så är möjligt för material avsett att komma i kontakt med livsmedel.</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b/>
          <w:sz w:val="24"/>
          <w:rFonts w:ascii="Arial" w:hAnsi="Arial"/>
        </w:rPr>
      </w:pPr>
      <w:r>
        <w:rPr>
          <w:b/>
          <w:sz w:val="24"/>
          <w:rFonts w:ascii="Arial" w:hAnsi="Arial"/>
        </w:rPr>
        <w:t xml:space="preserve">BILAGA IV</w:t>
      </w:r>
    </w:p>
    <w:p w14:paraId="519E54A3" w14:textId="77777777" w:rsidR="00F13023" w:rsidRPr="00A32D87" w:rsidRDefault="00F13023" w:rsidP="00512B74">
      <w:pPr>
        <w:keepNext/>
        <w:keepLines/>
        <w:spacing w:before="120" w:after="120" w:line="240" w:lineRule="auto"/>
        <w:jc w:val="center"/>
        <w:rPr>
          <w:sz w:val="24"/>
          <w:rFonts w:ascii="Arial" w:hAnsi="Arial"/>
        </w:rPr>
      </w:pPr>
      <w:r>
        <w:rPr>
          <w:b/>
          <w:sz w:val="24"/>
          <w:rFonts w:ascii="Arial" w:hAnsi="Arial"/>
        </w:rPr>
        <w:t xml:space="preserve">Plastprodukter för engångsbruk</w:t>
      </w:r>
    </w:p>
    <w:p w14:paraId="4221CA3B"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A. Plastprodukter för engångsbruk som ska minskas</w:t>
      </w:r>
    </w:p>
    <w:p w14:paraId="25580B2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Muggar, inklusive korkar och lock.</w:t>
      </w:r>
      <w:r>
        <w:rPr>
          <w:sz w:val="24"/>
          <w:rFonts w:ascii="Arial" w:hAnsi="Arial"/>
        </w:rPr>
        <w:t xml:space="preserve"> </w:t>
      </w:r>
    </w:p>
    <w:p w14:paraId="3DB1C4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Livsmedelsbehållare, det vill säga behållare såsom lådor, med eller utan lock, som används för livsmedel som</w:t>
      </w:r>
      <w:r>
        <w:rPr>
          <w:sz w:val="24"/>
          <w:rFonts w:ascii="Arial" w:hAnsi="Arial"/>
        </w:rPr>
        <w:t xml:space="preserve"> </w:t>
      </w:r>
    </w:p>
    <w:p w14:paraId="67BBB0A4"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är avsedda att konsumeras direkt, på försäljningsstället eller på en annan plats,</w:t>
      </w:r>
      <w:r>
        <w:rPr>
          <w:sz w:val="24"/>
          <w:rFonts w:ascii="Arial" w:hAnsi="Arial"/>
        </w:rPr>
        <w:t xml:space="preserve"> </w:t>
      </w:r>
    </w:p>
    <w:p w14:paraId="267476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vanligtvis konsumeras direkt ur behållaren, och</w:t>
      </w:r>
      <w:r>
        <w:rPr>
          <w:sz w:val="24"/>
          <w:rFonts w:ascii="Arial" w:hAnsi="Arial"/>
        </w:rPr>
        <w:t xml:space="preserve"> </w:t>
      </w:r>
    </w:p>
    <w:p w14:paraId="5CE258FE"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c) är redo att konsumeras utan någon ytterligare beredning, såsom tillagning, kokning eller uppvärmning, inklusive livsmedelsbehållare som används för snabbmat eller andra måltider som är avsedda att konsumeras direkt, utom dryckesbehållare, tallrikar och paket och omslag som innehåller livsmedel.</w:t>
      </w:r>
      <w:r>
        <w:rPr>
          <w:sz w:val="24"/>
          <w:rFonts w:ascii="Arial" w:hAnsi="Arial"/>
        </w:rPr>
        <w:t xml:space="preserve"> </w:t>
      </w:r>
    </w:p>
    <w:p w14:paraId="727CFAE9"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B. Plastprodukter för engångsbruk som omfattas av begränsningar vid utsläppande på marknaden</w:t>
      </w:r>
      <w:r>
        <w:rPr>
          <w:sz w:val="24"/>
          <w:rFonts w:ascii="Arial" w:hAnsi="Arial"/>
        </w:rPr>
        <w:t xml:space="preserve"> </w:t>
      </w:r>
    </w:p>
    <w:p w14:paraId="3FB2B96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Bomullspinnar (tops), utom sådana som omfattas av tillämpningsområdet för kungligt dekret 1591/2009 av den 16 oktober 2009 om reglering av medicintekniska produkter.</w:t>
      </w:r>
      <w:r>
        <w:rPr>
          <w:sz w:val="24"/>
          <w:rFonts w:ascii="Arial" w:hAnsi="Arial"/>
        </w:rPr>
        <w:t xml:space="preserve"> </w:t>
      </w:r>
    </w:p>
    <w:p w14:paraId="467F688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Bestick (gafflar, knivar, skedar, ätpinnar).</w:t>
      </w:r>
      <w:r>
        <w:rPr>
          <w:sz w:val="24"/>
          <w:rFonts w:ascii="Arial" w:hAnsi="Arial"/>
        </w:rPr>
        <w:t xml:space="preserve"> </w:t>
      </w:r>
    </w:p>
    <w:p w14:paraId="20D9E128"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Tallrikar.</w:t>
      </w:r>
      <w:r>
        <w:rPr>
          <w:sz w:val="24"/>
          <w:rFonts w:ascii="Arial" w:hAnsi="Arial"/>
        </w:rPr>
        <w:t xml:space="preserve"> </w:t>
      </w:r>
    </w:p>
    <w:p w14:paraId="619F746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Sugrör, utom sådana som omfattas av tillämpningsområdet för kungligt dekret 1591/2009 av den 16 oktober 2009.</w:t>
      </w:r>
    </w:p>
    <w:p w14:paraId="3D41681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5) Omrörare för drycker.</w:t>
      </w:r>
      <w:r>
        <w:rPr>
          <w:sz w:val="24"/>
          <w:rFonts w:ascii="Arial" w:hAnsi="Arial"/>
        </w:rPr>
        <w:t xml:space="preserve"> </w:t>
      </w:r>
    </w:p>
    <w:p w14:paraId="1142F79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6) Pinnar som ska fästas vid och bära upp ballonger, utom ballonger för industriella eller andra yrkesmässiga användningar och tillämpningar som inte distribueras till konsumenter, inklusive mekanismerna i sådana pinnar.</w:t>
      </w:r>
      <w:r>
        <w:rPr>
          <w:sz w:val="24"/>
          <w:rFonts w:ascii="Arial" w:hAnsi="Arial"/>
        </w:rPr>
        <w:t xml:space="preserve"> </w:t>
      </w:r>
    </w:p>
    <w:p w14:paraId="5120853D"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7) Livsmedelsbehållare av expanderad polystyren som anges i del A.2.</w:t>
      </w:r>
      <w:r>
        <w:rPr>
          <w:sz w:val="24"/>
          <w:rFonts w:ascii="Arial" w:hAnsi="Arial"/>
        </w:rPr>
        <w:t xml:space="preserve"> </w:t>
      </w:r>
    </w:p>
    <w:p w14:paraId="67A44FE5"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8) Dryckesbehållare av expanderad polystyren, inklusive korkar och lock.</w:t>
      </w:r>
      <w:r>
        <w:rPr>
          <w:sz w:val="24"/>
          <w:rFonts w:ascii="Arial" w:hAnsi="Arial"/>
        </w:rPr>
        <w:t xml:space="preserve"> </w:t>
      </w:r>
    </w:p>
    <w:p w14:paraId="259A031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9) Muggar av expanderad polystyren, inklusive korkar och lock.</w:t>
      </w:r>
    </w:p>
    <w:p w14:paraId="20768A90"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C. Plastprodukter för engångsbruk som omfattas av ekodesignkrav</w:t>
      </w:r>
    </w:p>
    <w:p w14:paraId="7EAE8908"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Dryckesbehållare med en kapacitet av högst tre liter, dvs. kärl som är avsedda för vätskor, t.ex. dryckesflaskor inklusive korkar och lock samt kompositdryckesförpackningar inklusive korkar och lock, men inte</w:t>
      </w:r>
      <w:r>
        <w:rPr>
          <w:sz w:val="24"/>
          <w:rFonts w:ascii="Arial" w:hAnsi="Arial"/>
        </w:rPr>
        <w:t xml:space="preserve"> </w:t>
      </w:r>
    </w:p>
    <w:p w14:paraId="08CBE62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dryckesbehållare i glas eller metall med korkar och lock som är gjorda av plast,</w:t>
      </w:r>
      <w:r>
        <w:rPr>
          <w:sz w:val="24"/>
          <w:rFonts w:ascii="Arial" w:hAnsi="Arial"/>
        </w:rPr>
        <w:t xml:space="preserve"> </w:t>
      </w:r>
    </w:p>
    <w:p w14:paraId="11483AF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dryckesbehållare som är avsedda och används för livsmedel för speciella medicinska ändamål enligt definitionen i artikel 2 g i Europaparlamentets och rådets förordning (EU) nr 609/2013 av den 12 juni 2013 om livsmedel avsedda för spädbarn och småbarn, livsmedel för speciella medicinska ändamål och komplett kostersättning för viktkontroll och om upphävande av rådets direktiv 92/52/EEG, kommissionens direktiv 96/8/EG, 1999/21/EG, 2006/125/EG och 2006/141/EG, Europaparlamentets och rådets direktiv 2009/39/EG och kommissionens förordningar (EG) nr 41/2009 och (EG) nr 953/2009, som är i flytande form.</w:t>
      </w:r>
      <w:r>
        <w:rPr>
          <w:sz w:val="24"/>
          <w:rFonts w:ascii="Arial" w:hAnsi="Arial"/>
        </w:rPr>
        <w:t xml:space="preserve"> </w:t>
      </w:r>
    </w:p>
    <w:p w14:paraId="1B0AA0F9" w14:textId="5DA82798"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D. Plastprodukter för engångsbruk som omfattas av märkningskrav</w:t>
      </w:r>
      <w:r>
        <w:rPr>
          <w:sz w:val="24"/>
          <w:rFonts w:ascii="Arial" w:hAnsi="Arial"/>
        </w:rPr>
        <w:t xml:space="preserve"> </w:t>
      </w:r>
    </w:p>
    <w:p w14:paraId="01CE2D6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Sanitetsbindor (dambindor), tamponger och tampongapplikatorer.</w:t>
      </w:r>
    </w:p>
    <w:p w14:paraId="5DAF893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Våtservetter, det vill säga på förhand våta servetter för personlig hygien eller användning i hushåll.</w:t>
      </w:r>
      <w:r>
        <w:rPr>
          <w:sz w:val="24"/>
          <w:rFonts w:ascii="Arial" w:hAnsi="Arial"/>
        </w:rPr>
        <w:t xml:space="preserve"> </w:t>
      </w:r>
    </w:p>
    <w:p w14:paraId="322F54C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Tobaksvaror med filter och filter som marknadsförs för användning i kombination med tobaksvaror.</w:t>
      </w:r>
      <w:r>
        <w:rPr>
          <w:sz w:val="24"/>
          <w:rFonts w:ascii="Arial" w:hAnsi="Arial"/>
        </w:rPr>
        <w:t xml:space="preserve"> </w:t>
      </w:r>
    </w:p>
    <w:p w14:paraId="5CD337D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Muggar.</w:t>
      </w:r>
    </w:p>
    <w:p w14:paraId="2E11469C"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E. Plastprodukter för engångsbruk som omfattas av separat insamling och ekodesignkrav</w:t>
      </w:r>
    </w:p>
    <w:p w14:paraId="67CEA7E9" w14:textId="77777777" w:rsidR="00F13023" w:rsidRDefault="00F13023" w:rsidP="00512B74">
      <w:pPr>
        <w:keepNext/>
        <w:keepLines/>
        <w:spacing w:before="120" w:after="120" w:line="240" w:lineRule="auto"/>
        <w:jc w:val="both"/>
        <w:rPr>
          <w:sz w:val="24"/>
          <w:rFonts w:ascii="Arial" w:hAnsi="Arial"/>
        </w:rPr>
      </w:pPr>
      <w:r>
        <w:rPr>
          <w:sz w:val="24"/>
          <w:rFonts w:ascii="Arial" w:hAnsi="Arial"/>
        </w:rPr>
        <w:t xml:space="preserve">Dryckesflaskor med en kapacitet av högst tre liter, inklusive korkar och lock, men inte</w:t>
      </w:r>
      <w:r>
        <w:rPr>
          <w:sz w:val="24"/>
          <w:rFonts w:ascii="Arial" w:hAnsi="Arial"/>
        </w:rPr>
        <w:t xml:space="preserve"> </w:t>
      </w:r>
    </w:p>
    <w:p w14:paraId="7E0C7C4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dryckesflaskor i glas eller metall med korkar och lock som är gjorda av plast,</w:t>
      </w:r>
    </w:p>
    <w:p w14:paraId="4009439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dryckesflaskor som är avsedda och används för livsmedel för speciella medicinska ändamål enligt definitionen i artikel 2 g i Europaparlamentets och rådets förordning (EU) nr 609/2013 av den 12 juni 2013 som är i flytande form.</w:t>
      </w:r>
    </w:p>
    <w:p w14:paraId="3E735C9D" w14:textId="62C2A9CC" w:rsidR="00F13023" w:rsidRPr="00A32D87" w:rsidRDefault="00F13023" w:rsidP="002478C1">
      <w:pPr>
        <w:spacing w:before="120" w:after="120" w:line="240" w:lineRule="auto"/>
        <w:jc w:val="both"/>
        <w:rPr>
          <w:sz w:val="24"/>
          <w:rFonts w:ascii="Arial" w:hAnsi="Arial"/>
        </w:rPr>
      </w:pPr>
      <w:r>
        <w:rPr>
          <w:sz w:val="24"/>
          <w:rFonts w:ascii="Arial" w:hAnsi="Arial"/>
        </w:rPr>
        <w:t xml:space="preserve">F. Plastprodukter för engångsbruk som omfattas av artikel 45 om utökat producentansvar och artikel 46 om medvetandehöjande åtgärder</w:t>
      </w:r>
    </w:p>
    <w:p w14:paraId="6AB4BB90" w14:textId="60F8E1CE"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Följande plastprodukter för engångsbruk som omfattas av punkt 2 i artikel 45 om utökat producentansvar:</w:t>
      </w:r>
    </w:p>
    <w:p w14:paraId="328C7CEC" w14:textId="43ABAA56"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1) Livsmedelsbehållare, det vill säga behållare såsom lådor, med eller utan lock, som används för livsmedel som</w:t>
      </w:r>
    </w:p>
    <w:p w14:paraId="52A13C01" w14:textId="7C0EF137"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a) är avsedda att konsumeras direkt, på försäljningsstället eller på en annan plats,</w:t>
      </w:r>
    </w:p>
    <w:p w14:paraId="0E87DD24" w14:textId="599EA543"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b) vanligtvis konsumeras direkt ur förpackningen,</w:t>
      </w:r>
    </w:p>
    <w:p w14:paraId="0D3B5B57" w14:textId="3D6DF30D"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c) är redo att konsumeras utan någon ytterligare beredning, såsom tillagning, kokning eller uppvärmning, inklusive livsmedelsbehållare som används för snabbmat eller andra måltider som är avsedda att konsumeras direkt, utom dryckesbehållare, tallrikar och paket och omslag som innehåller livsmedel.</w:t>
      </w:r>
      <w:r>
        <w:rPr>
          <w:sz w:val="24"/>
          <w:rFonts w:ascii="Arial" w:hAnsi="Arial"/>
        </w:rPr>
        <w:t xml:space="preserve"> </w:t>
      </w:r>
    </w:p>
    <w:p w14:paraId="392BC0FE" w14:textId="48CCC619"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2) Omslag av ett flexibelt material eller en förpackning som innehåller livsmedel som är avsedda att konsumeras direkt ur förpackningen eller omslaget utan ytterligare beredning.</w:t>
      </w:r>
    </w:p>
    <w:p w14:paraId="5E97A670" w14:textId="777220C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3) Dryckesbehållare med en kapacitet av högst tre liter, dvs. kärl som är avsedda för vätskor, t.ex. dryckesflaskor inklusive korkar och lock samt kompositdryckesförpackningar inklusive korkar och lock, men inte dryckesbehållare i glas eller metall med korkar och lock som är gjorda av plast.</w:t>
      </w:r>
    </w:p>
    <w:p w14:paraId="7AD9128A" w14:textId="2C94190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4) Muggar, inklusive korkar och lock.</w:t>
      </w:r>
    </w:p>
    <w:p w14:paraId="74A941FF" w14:textId="6734ABAE"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5) Tunna plastbärkassar enligt definitionen i kungligt dekret 293/2018 av den 18 maj 2018.</w:t>
      </w:r>
    </w:p>
    <w:p w14:paraId="1C55DC3C" w14:textId="46FB8EDA"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Plastprodukter för engångsbruk som omfattas av punkt 3 i artikel 45 om utökat producentansvar</w:t>
      </w:r>
    </w:p>
    <w:p w14:paraId="24EEA25F"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1) Våtservetter, det vill säga på förhand våta servetter för personlig hygien eller användning i hushåll.</w:t>
      </w:r>
    </w:p>
    <w:p w14:paraId="71D7CF4E"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2) Ballonger, utom ballonger för industriella eller andra yrkesmässiga användningar och tillämpningar som inte distribueras till konsumenter.</w:t>
      </w:r>
    </w:p>
    <w:p w14:paraId="7F38D765"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3) Tobaksvaror med filter och filter som marknadsförs för användning i kombination med tobaksvaror.</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016A" w14:textId="77777777" w:rsidR="005F5FF0" w:rsidRDefault="005F5FF0" w:rsidP="009F2382">
      <w:pPr>
        <w:spacing w:after="0" w:line="240" w:lineRule="auto"/>
      </w:pPr>
      <w:r>
        <w:separator/>
      </w:r>
    </w:p>
  </w:endnote>
  <w:endnote w:type="continuationSeparator" w:id="0">
    <w:p w14:paraId="5ECFDEAF" w14:textId="77777777" w:rsidR="005F5FF0" w:rsidRDefault="005F5FF0" w:rsidP="009F2382">
      <w:pPr>
        <w:spacing w:after="0" w:line="240" w:lineRule="auto"/>
      </w:pPr>
      <w:r>
        <w:continuationSeparator/>
      </w:r>
    </w:p>
  </w:endnote>
  <w:endnote w:type="continuationNotice" w:id="1">
    <w:p w14:paraId="51722FB4" w14:textId="77777777" w:rsidR="005F5FF0" w:rsidRDefault="005F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721F1C">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6CFC3" w14:textId="77777777" w:rsidR="005F5FF0" w:rsidRDefault="005F5FF0" w:rsidP="009F2382">
      <w:pPr>
        <w:spacing w:after="0" w:line="240" w:lineRule="auto"/>
      </w:pPr>
      <w:r>
        <w:separator/>
      </w:r>
    </w:p>
  </w:footnote>
  <w:footnote w:type="continuationSeparator" w:id="0">
    <w:p w14:paraId="0A72394E" w14:textId="77777777" w:rsidR="005F5FF0" w:rsidRDefault="005F5FF0" w:rsidP="009F2382">
      <w:pPr>
        <w:spacing w:after="0" w:line="240" w:lineRule="auto"/>
      </w:pPr>
      <w:r>
        <w:continuationSeparator/>
      </w:r>
    </w:p>
  </w:footnote>
  <w:footnote w:type="continuationNotice" w:id="1">
    <w:p w14:paraId="21EAC4D0" w14:textId="77777777" w:rsidR="005F5FF0" w:rsidRDefault="005F5F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position w:val="12"/>
              <w:sz w:val="14"/>
              <w:szCs w:val="14"/>
              <w:rFonts w:ascii="Arial" w:hAnsi="Arial" w:cs="Arial"/>
            </w:rPr>
          </w:pPr>
          <w:r>
            <w:rPr>
              <w:sz w:val="14"/>
              <w:rFonts w:ascii="Arial" w:hAnsi="Arial"/>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o:ole="">
                <v:imagedata r:id="rId1" o:title=""/>
              </v:shape>
              <o:OLEObject Type="Embed" ProgID="PBrush" ShapeID="_x0000_i1025" DrawAspect="Content" ObjectID="_1664996855" r:id="rId2"/>
            </w:object>
          </w:r>
        </w:p>
      </w:tc>
      <w:tc>
        <w:tcPr>
          <w:tcW w:w="4641" w:type="dxa"/>
          <w:vMerge w:val="restart"/>
          <w:vAlign w:val="center"/>
        </w:tcPr>
        <w:p w14:paraId="467E6C3D" w14:textId="78A3A593" w:rsidR="009F092F" w:rsidRPr="002478C1" w:rsidRDefault="009F092F" w:rsidP="002478C1">
          <w:pPr>
            <w:spacing w:after="0"/>
            <w:ind w:right="993"/>
            <w:rPr>
              <w:position w:val="12"/>
              <w:szCs w:val="14"/>
              <w:rFonts w:ascii="Arial" w:hAnsi="Arial" w:cs="Arial"/>
            </w:rPr>
          </w:pPr>
          <w:r>
            <w:rPr>
              <w:rFonts w:ascii="Arial" w:hAnsi="Arial"/>
            </w:rPr>
            <w:t xml:space="preserve">MINISTERIET FÖR EKOLOGISK OMSTÄLLNING OCH DEN DEMOGRAFISKA UTMANINGEN</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sz w:val="14"/>
              <w:szCs w:val="14"/>
              <w:rFonts w:ascii="Arial" w:hAnsi="Arial" w:cs="Arial"/>
            </w:rPr>
          </w:pPr>
          <w:r>
            <w:rPr>
              <w:sz w:val="14"/>
              <w:rFonts w:ascii="Arial" w:hAnsi="Arial"/>
            </w:rPr>
            <w:t xml:space="preserve">STATSSEKRETARIATET FÖR MILJÖFRÅGOR</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sz w:val="14"/>
              <w:szCs w:val="14"/>
              <w:rFonts w:ascii="Arial" w:hAnsi="Arial" w:cs="Arial"/>
            </w:rPr>
          </w:pPr>
          <w:r>
            <w:rPr>
              <w:sz w:val="14"/>
              <w:rFonts w:ascii="Arial" w:hAnsi="Arial"/>
            </w:rPr>
            <w:t xml:space="preserve">GENERALDIREKTORATET FÖR MILJÖKVALITET OCH MILJÖBEDÖMNING</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lang w:val="sv-SE"/>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lang w:val="sv-SE"/>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lang w:val="sv-SE"/>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lang w:val="sv-SE"/>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lang w:val="sv-SE"/>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lang w:val="sv-SE"/>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lang w:val="sv-SE"/>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lang w:val="sv-SE"/>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lang w:val="sv-SE"/>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sv-SE"/>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lang w:val="sv-SE"/>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4.xml><?xml version="1.0" encoding="utf-8"?>
<ds:datastoreItem xmlns:ds="http://schemas.openxmlformats.org/officeDocument/2006/customXml" ds:itemID="{428D4753-D60D-479E-8AA2-5379EB34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6705</Words>
  <Characters>38223</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Ke, Tingting</cp:lastModifiedBy>
  <cp:revision>4</cp:revision>
  <cp:lastPrinted>2020-02-20T16:31:00Z</cp:lastPrinted>
  <dcterms:created xsi:type="dcterms:W3CDTF">2020-10-23T09:37:00Z</dcterms:created>
  <dcterms:modified xsi:type="dcterms:W3CDTF">2020-10-23T14:21:00Z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