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2021. augusztus 24-i 2021-1109. számú TÖRVÉNY a köztársasági elveknek való megfelelés megerősítéséről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cím: A KÖZTÁRSASÁGI ELVEK ÉS A TÁRSADALMI ÉLETRE VONATKOZÓ MINIMÁLIS KÖVETELMÉNYEK TISZTELETBEN TARTÁSÁNAK GARANTÁLÁSA (1–67. cikk)</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cím: A VALLÁS SZABAD GYAKORLÁSÁNAK BIZTOSÍTÁSA (68–88. cikk)</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cím: VEGYES RENDELKEZÉSEK (89–90. cikk)</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cím: A TENGERENTÚLI MEGYÉKRE VONATKOZÓ RENDELKEZÉSEK [OUTRE-MER] (91–103. cikk)</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cím: A KÖZTÁRSASÁGI ELVEK ÉS A TÁRSADALMI ÉLETRE VONATKOZÓ MINIMÁLIS KÖVETELMÉNYEK TISZTELETBEN TARTÁSÁNAK GARANTÁLÁSA (1–67. cikk)</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fejezet: A gyűlöletbeszéd és a jogellenes online tartalmak elleni küzdelemre vonatkozó rendelkezések (36–48. cikk)</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39. cikk</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digitális gazdaságba vetett bizalomról szóló, 2004. június 21-i 2004-575. sz. törvény I. címének II. fejezete a következőképpen módosul:</w:t>
      </w:r>
      <w:r>
        <w:rPr>
          <w:rFonts w:ascii="Times New Roman" w:hAnsi="Times New Roman"/>
          <w:sz w:val="24"/>
        </w:rPr>
        <w:br/>
        <w:t>1. A 6. cikk I. bekezdésének 8. pontja a következőképpen egészül ki:</w:t>
      </w:r>
      <w:r>
        <w:rPr>
          <w:rFonts w:ascii="Times New Roman" w:hAnsi="Times New Roman"/>
          <w:sz w:val="24"/>
        </w:rPr>
        <w:br/>
        <w:t>a) Az elején a szöveg a következő: „8. „A bíróság elnöke az érdemi gyorsított eljárásnak megfelelően eljárva bármely olyan személy számára, aki valószínűleg hozzájárulhat ahhoz, előírhat bármely arra irányuló intézkedést... (a többi rész változatlan marad).”;</w:t>
      </w:r>
      <w:r>
        <w:rPr>
          <w:rFonts w:ascii="Times New Roman" w:hAnsi="Times New Roman"/>
          <w:sz w:val="24"/>
        </w:rPr>
        <w:br/>
        <w:t>b) A szöveg a következő bekezdéssel egészül ki:</w:t>
      </w:r>
      <w:r>
        <w:rPr>
          <w:rFonts w:ascii="Times New Roman" w:hAnsi="Times New Roman"/>
          <w:sz w:val="24"/>
        </w:rPr>
        <w:br/>
        <w:t>„Meghatározza azokat a személyeket vagy személyek kategóriáit, akikhez a közigazgatási hatóság a 6. cikk (3) bekezdésében megállapított feltételek szerint kérelmet nyújthat be.”;</w:t>
      </w:r>
      <w:r>
        <w:rPr>
          <w:rFonts w:ascii="Times New Roman" w:hAnsi="Times New Roman"/>
          <w:sz w:val="24"/>
        </w:rPr>
        <w:br/>
        <w:t>2. A szöveg a 6-2. cikk után a következő 6-3. cikkel egészül ki:</w:t>
      </w:r>
    </w:p>
    <w:p w14:paraId="6D881305" w14:textId="4CB6B799"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„6-3. cikk </w:t>
      </w:r>
      <w:r w:rsidR="006515DF">
        <w:rPr>
          <w:rFonts w:ascii="Times New Roman" w:hAnsi="Times New Roman"/>
          <w:sz w:val="24"/>
        </w:rPr>
        <w:t>-</w:t>
      </w:r>
      <w:r>
        <w:rPr>
          <w:rFonts w:ascii="Times New Roman" w:hAnsi="Times New Roman"/>
          <w:sz w:val="24"/>
        </w:rPr>
        <w:t xml:space="preserve"> Amennyiben egy végrehajtható bírósági határozat olyan nyilvánosan elérhető online hírközlési szolgáltatáshoz való hozzáférés megakadályozására irányuló intézkedést rendelt el, amelynek tartalma a 6. cikk I. bekezdésének 7. pontjában meghatározott bűncselekmények körébe tartozik, a közigazgatási hatóság </w:t>
      </w:r>
      <w:r w:rsidR="006515DF">
        <w:rPr>
          <w:rFonts w:ascii="Times New Roman" w:hAnsi="Times New Roman"/>
          <w:sz w:val="24"/>
        </w:rPr>
        <w:t>-</w:t>
      </w:r>
      <w:r>
        <w:rPr>
          <w:rFonts w:ascii="Times New Roman" w:hAnsi="Times New Roman"/>
          <w:sz w:val="24"/>
        </w:rPr>
        <w:t xml:space="preserve"> amennyiben azt bármely érintett személy kéri – felkérheti a 6. cikk I. bekezdésének 1. vagy 2. pontjában említett személyeket, vagy a bírósági határozatban említett bármely személyt, vagy személyek kategóriáit, hogy az e bírósági határozatban elrendelt intézkedések hátralévő időtartamát meg nem haladó ideig teljes egészében vagy jelentős mértékben akadályozza meg a nyilvánosan elérhető online hírközlési szolgáltatáshoz való hozzáférést, amelyet korábban a honlap tartalmaként azonosítottak.</w:t>
      </w:r>
      <w:r>
        <w:rPr>
          <w:rFonts w:ascii="Times New Roman" w:hAnsi="Times New Roman"/>
          <w:sz w:val="24"/>
        </w:rPr>
        <w:br/>
        <w:t xml:space="preserve">„Ugyanilyen feltételek mellett, és ugyanerre az időtartamra a közigazgatási hatóság az olyan szolgáltatás üzemeltetőjét is felkérheti, hogy szüntesse meg az e cikk első bekezdésében említett ilyen online hírközlési szolgáltatásokhoz való nyilvános </w:t>
      </w:r>
      <w:r>
        <w:rPr>
          <w:rFonts w:ascii="Times New Roman" w:hAnsi="Times New Roman"/>
          <w:sz w:val="24"/>
        </w:rPr>
        <w:lastRenderedPageBreak/>
        <w:t>hozzáférést biztosító webcímekre való hivatkozást, amely a javasolt vagy harmadik felek által online közzétett tartalmak számítógépes algoritmusok használatával történő osztályozásán vagy az azokra való hivatkozáson alapulnak.</w:t>
      </w:r>
      <w:r>
        <w:rPr>
          <w:rFonts w:ascii="Times New Roman" w:hAnsi="Times New Roman"/>
          <w:sz w:val="24"/>
        </w:rPr>
        <w:br/>
        <w:t>„A közigazgatási hatóság naprakészen tartja az e cikk ugyanezen első bekezdésében említett azon online hírközlési szolgáltatások jegyzékét, amelyek az említett első bekezdés alapján hozzáférés letiltására irányuló kérelem tárgyát képezték, valamint az ilyen szolgáltatásokhoz hozzáférést biztosító webcímek jegyzékét, és ezt a jegyzéket a hirdetők, azok ügynökei és az általános adótörvénykönyv 299. cikke II. bekezdésének 2. pontjában említett szolgálatok rendelkezésére bocsátja. Ezeket a szolgáltatásokat az igazságügyi hatóság által elrendelt intézkedések hátralévő időtartamára fel kell venni e jegyzékbe. Az e listára való felvétel időszaka alatt azok a hirdetők, képviselőik és az általános adótörvénykönyv 299. cikke II. bekezdésének 2. pontjában említett szolgáltatások, amelyek kereskedelmi kapcsolatokat tartanak fenn, különösen a reklámtevékenység céljából az e listán szereplő online nyilvános hírközlési szolgáltatásokkal, kötelesek legalább évente egyszer közzétenni a honlapjukon e kapcsolatok fennállását, és azokat éves beszámolójukban megemlíteni, amennyiben kötelesek ilyet készíteni.</w:t>
      </w:r>
      <w:r>
        <w:rPr>
          <w:rFonts w:ascii="Times New Roman" w:hAnsi="Times New Roman"/>
          <w:sz w:val="24"/>
        </w:rPr>
        <w:br/>
        <w:t>„Amennyiben az ilyen szolgáltatásokat nem zárolták vagy nem függesztették fel e cikkel összhangban, a bíróság elnöke az érdemi gyorsított eljárásnak megfelelően eljárva előírhat bármely intézkedést, amelynek célja az e szolgáltatások tartalmához való hozzáférés megszüntetése.”</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42. cikk</w:t>
      </w:r>
    </w:p>
    <w:p w14:paraId="67CC2320" w14:textId="6F0088D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6515DF">
        <w:rPr>
          <w:rFonts w:ascii="Times New Roman" w:hAnsi="Times New Roman"/>
          <w:sz w:val="24"/>
        </w:rPr>
        <w:t>-</w:t>
      </w:r>
      <w:r>
        <w:rPr>
          <w:rFonts w:ascii="Times New Roman" w:hAnsi="Times New Roman"/>
          <w:sz w:val="24"/>
        </w:rPr>
        <w:t xml:space="preserve"> A digitális gazdaságba vetett bizalomról szóló, 2004. június 21-i 2004-575 sz. törvény I. címének II. fejezete a következőképpen módosul:</w:t>
      </w:r>
      <w:r>
        <w:rPr>
          <w:rFonts w:ascii="Times New Roman" w:hAnsi="Times New Roman"/>
          <w:sz w:val="24"/>
        </w:rPr>
        <w:br/>
        <w:t>1. A 6. cikk I. bekezdése 7. pontjának negyedik albekezdése a következőképpen módosul:</w:t>
      </w:r>
      <w:r>
        <w:rPr>
          <w:rFonts w:ascii="Times New Roman" w:hAnsi="Times New Roman"/>
          <w:sz w:val="24"/>
        </w:rPr>
        <w:br/>
        <w:t>a) Az első mondat a következő szöveggel egészül ki: „és nyilvánosságra hozza azokat az eszközöket, amelyeket az e 7. pont harmadik bekezdésében említett tiltott tevékenységek elleni küzdelemre szánnak”;</w:t>
      </w:r>
      <w:r>
        <w:rPr>
          <w:rFonts w:ascii="Times New Roman" w:hAnsi="Times New Roman"/>
          <w:sz w:val="24"/>
        </w:rPr>
        <w:br/>
        <w:t>b) Ugyanezen első mondat után a szöveg a következő mondattal egészül ki: „Ezen kötelezettségek nem vonatkoznak a 6-4. cikk (I) bekezdésében hivatkozott üzemeltetőkre, az ugyanezen első bekezdésben említett tartalom terjesztése elleni küzdelem érdekében.”;</w:t>
      </w:r>
      <w:r>
        <w:rPr>
          <w:rFonts w:ascii="Times New Roman" w:hAnsi="Times New Roman"/>
          <w:sz w:val="24"/>
        </w:rPr>
        <w:br/>
        <w:t>c) A második mondat a következőképpen módosul:</w:t>
      </w:r>
    </w:p>
    <w:p w14:paraId="1D6C7618" w14:textId="3785A681"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515DF">
        <w:rPr>
          <w:rFonts w:ascii="Times New Roman" w:hAnsi="Times New Roman"/>
          <w:sz w:val="24"/>
        </w:rPr>
        <w:t>-</w:t>
      </w:r>
      <w:r>
        <w:rPr>
          <w:rFonts w:ascii="Times New Roman" w:hAnsi="Times New Roman"/>
          <w:sz w:val="24"/>
        </w:rPr>
        <w:t xml:space="preserve"> az elején a következő szó: „Ők” helyébe a következő szöveg lép: „Ezen I. bekezdés 1. és 2. pontjában említett személyek”;</w:t>
      </w:r>
      <w:r>
        <w:rPr>
          <w:rFonts w:ascii="Times New Roman" w:hAnsi="Times New Roman"/>
          <w:sz w:val="24"/>
        </w:rPr>
        <w:br/>
      </w:r>
      <w:r w:rsidR="006515DF">
        <w:rPr>
          <w:rFonts w:ascii="Times New Roman" w:hAnsi="Times New Roman"/>
          <w:sz w:val="24"/>
        </w:rPr>
        <w:t>-</w:t>
      </w:r>
      <w:r>
        <w:rPr>
          <w:rFonts w:ascii="Times New Roman" w:hAnsi="Times New Roman"/>
          <w:sz w:val="24"/>
        </w:rPr>
        <w:t xml:space="preserve"> a következő szót: „egyfelől,” el kell hagyni;</w:t>
      </w:r>
      <w:r>
        <w:rPr>
          <w:rFonts w:ascii="Times New Roman" w:hAnsi="Times New Roman"/>
          <w:sz w:val="24"/>
        </w:rPr>
        <w:br/>
      </w:r>
      <w:r w:rsidR="006515DF">
        <w:rPr>
          <w:rFonts w:ascii="Times New Roman" w:hAnsi="Times New Roman"/>
          <w:sz w:val="24"/>
        </w:rPr>
        <w:t>-</w:t>
      </w:r>
      <w:r>
        <w:rPr>
          <w:rFonts w:ascii="Times New Roman" w:hAnsi="Times New Roman"/>
          <w:sz w:val="24"/>
        </w:rPr>
        <w:t xml:space="preserve"> a következő szöveg: „az előző albekezdés” helyébe a következő szöveg lép: „e 7. cikk harmadik albekezdésében”;</w:t>
      </w:r>
      <w:r>
        <w:rPr>
          <w:rFonts w:ascii="Times New Roman" w:hAnsi="Times New Roman"/>
          <w:sz w:val="24"/>
        </w:rPr>
        <w:br/>
      </w:r>
      <w:r w:rsidR="006515DF">
        <w:rPr>
          <w:rFonts w:ascii="Times New Roman" w:hAnsi="Times New Roman"/>
          <w:sz w:val="24"/>
        </w:rPr>
        <w:t>-</w:t>
      </w:r>
      <w:r>
        <w:rPr>
          <w:rFonts w:ascii="Times New Roman" w:hAnsi="Times New Roman"/>
          <w:sz w:val="24"/>
        </w:rPr>
        <w:t xml:space="preserve"> a következő szó: „szolgáltatások” után a szöveget el kell hagyni;</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2. A 6-2. cikk után a szöveg a következő 6-4. cikkel egészül ki:</w:t>
      </w:r>
    </w:p>
    <w:p w14:paraId="120777EB" w14:textId="04D5B79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„6-4. cikk </w:t>
      </w:r>
      <w:r w:rsidR="006515DF">
        <w:rPr>
          <w:rFonts w:ascii="Times New Roman" w:hAnsi="Times New Roman"/>
          <w:sz w:val="24"/>
        </w:rPr>
        <w:t>-</w:t>
      </w:r>
      <w:r>
        <w:rPr>
          <w:rFonts w:ascii="Times New Roman" w:hAnsi="Times New Roman"/>
          <w:sz w:val="24"/>
        </w:rPr>
        <w:t xml:space="preserve"> I. </w:t>
      </w:r>
      <w:r w:rsidR="006515DF">
        <w:rPr>
          <w:rFonts w:ascii="Times New Roman" w:hAnsi="Times New Roman"/>
          <w:sz w:val="24"/>
        </w:rPr>
        <w:t>-</w:t>
      </w:r>
      <w:r>
        <w:rPr>
          <w:rFonts w:ascii="Times New Roman" w:hAnsi="Times New Roman"/>
          <w:sz w:val="24"/>
        </w:rPr>
        <w:t xml:space="preserve"> A fogyasztóvédelmi törvénykönyv L111-7. cikkében meghatározott onlineplatform-üzemeltetők, amelyek harmadik felek által online elhelyezett tartalmak osztályozásán, reklámozásán vagy megosztásán alapuló online hírközlési szolgáltatást kínálnak a nyilvánosság számára, és amelyek tevékenysége Franciaország területén meghaladja a csatlakozások számának rendeletben meghatározott küszöbértékét, függetlenül attól, hogy francia területen telepedtek-e le, hozzájárulnak az olyan tartalmak nyilvános terjesztése elleni küzdelemhez, amelyek ellentétesek az e törvény 6. cikke I. bekezdésének 7. pontjában, valamint a sajtószabadságról szóló, 1881. július 29-i törvény 33. cikkének harmadik és negyedik albekezdésében említett rendelkezésekkel. E tekintetben:</w:t>
      </w:r>
      <w:r>
        <w:rPr>
          <w:rFonts w:ascii="Times New Roman" w:hAnsi="Times New Roman"/>
          <w:sz w:val="24"/>
        </w:rPr>
        <w:br/>
        <w:t>„1. Arányos humán és technológiai eljárásokat és eszközöket alkalmaznak, amelyek lehetővé teszik számukra a következőket:</w:t>
      </w:r>
      <w:r>
        <w:rPr>
          <w:rFonts w:ascii="Times New Roman" w:hAnsi="Times New Roman"/>
          <w:sz w:val="24"/>
        </w:rPr>
        <w:br/>
        <w:t>„a) Az igazságügyi vagy közigazgatási hatóságok lehető leghamarabbi tájékoztatása az e hatóságok által az ezen I. bekezdés első albekezdésében említett tartalmakra vonatkozóan kiadott, tiltó határozatok eredményeként hozott intézkedésekről;</w:t>
      </w:r>
      <w:r>
        <w:rPr>
          <w:rFonts w:ascii="Times New Roman" w:hAnsi="Times New Roman"/>
          <w:sz w:val="24"/>
        </w:rPr>
        <w:br/>
        <w:t>„b) Az igazságügyi vagy közigazgatási hatóságoktól érkező, az üzemeltetők rendelkezésére álló adatok közlésére irányuló megkeresések biztonságos kézhezvételének haladéktalan megerősítése, lehetővé téve az ugyanezen első bekezdésben említett tartalmat feltöltő felhasználók azonosítását, és az említett hatóságok lehető leghamarabbi tájékoztatását az ilyen kérések nyomon követéséről;</w:t>
      </w:r>
      <w:r>
        <w:rPr>
          <w:rFonts w:ascii="Times New Roman" w:hAnsi="Times New Roman"/>
          <w:sz w:val="24"/>
        </w:rPr>
        <w:br/>
        <w:t>„c) Amennyiben érintettek a tartalom tárolásában, az üzemeltetők számára az első albekezdésben említett rendelkezésekkel ellentétesként bejelentett, és általuk visszavont vagy hozzáférhetetlenné tett tartalmak ideiglenes megőrzése annak érdekében, hogy azokat az igazságügyi hatóságok rendelkezésére bocsássák a bűncselekmények kivizsgálása, azonosítása és büntetőeljárás alá vonása céljából; e tartalom megőrzésének időtartamát és feltételeit az Államtanács egy olyan rendeletben határozza meg, amelyet az információtechnológiával és -szabadsággal foglalkozó nemzeti bizottság véleményét követően hozott meg;</w:t>
      </w:r>
      <w:r>
        <w:rPr>
          <w:rFonts w:ascii="Times New Roman" w:hAnsi="Times New Roman"/>
          <w:sz w:val="24"/>
        </w:rPr>
        <w:br/>
        <w:t>„2. Kijelölnek egy egyedüli kapcsolattartó pontot, egy olyan természetes személyt, aki felelős a hatóságokkal való kapcsolattartásért e cikk végrehajtása érdekében, és akihez különösen az Audiovizuális Legfelsőbb Tanács (Conseil Supérieur de l’Audiovisuel) által a kommunikációs szabadságról szóló, 1986. szeptember 30-i 86-1067. sz. törvény 62. cikke alapján benyújtott valamennyi kérelmet lehet elektronikus úton eljuttatni. Ez az egyedüli kapcsolattartó pont felelős különösen azért, hogy az e törvény 6. cikkének II. bekezdésében megállapított eljárásnak megfelelően átvegye az igazságügyi hatóságok által az üzemeltetőnek címzett kérelmeket, azok azonnali feldolgozásának biztosítása céljából;</w:t>
      </w:r>
      <w:r>
        <w:rPr>
          <w:rFonts w:ascii="Times New Roman" w:hAnsi="Times New Roman"/>
          <w:sz w:val="24"/>
        </w:rPr>
        <w:br/>
        <w:t xml:space="preserve">„3. Könnyen hozzáférhető módon elérhetővé teszik a nyilvánosság számára az általuk kínált szolgáltatás általános használati feltételeit; e feltételekbe belefoglalják az ezen I. bekezdés első albekezdésében említett jogellenes tartalom online közzétételét tiltó rendelkezéseket; e feltételekben világosan és pontosan leírják az ilyen tartalmak felkutatására és adott esetben azonosítására és feldolgozására irányuló moderálási intézkedéseiket is, részletezve az e célra alkalmazott eljárásokat és humán vagy automatizált eszközöket, valamint az ilyen </w:t>
      </w:r>
      <w:r>
        <w:rPr>
          <w:rFonts w:ascii="Times New Roman" w:hAnsi="Times New Roman"/>
          <w:sz w:val="24"/>
        </w:rPr>
        <w:lastRenderedPageBreak/>
        <w:t>tartalom rendelkezésre állását, láthatóságát és hozzáférhetőségét befolyásoló, általuk végrehajtott intézkedéseket; feltüntetik továbbá azokat az intézkedéseket, amelyeket az e tartalmat online hozzáférhetővé tevő felhasználók tekintetében hajtanak végre, valamint az ilyen felhasználók számára rendelkezésre álló belső és bírósági jogorvoslati lehetőségeket;</w:t>
      </w:r>
      <w:r>
        <w:rPr>
          <w:rFonts w:ascii="Times New Roman" w:hAnsi="Times New Roman"/>
          <w:sz w:val="24"/>
        </w:rPr>
        <w:br/>
        <w:t>„4. Tájékoztatják a nyilvánosságot az Audiovizuális Legfelsőbb Tanács által megállapított eljárásoknak megfelelően és időközönként az ezen I. bekezdés első albekezdésben említett jogellenes tartalomnak a francia területen található felhasználók számára történő terjesztése elleni küzdelem érdekében alkalmazott eszközökről és intézkedésekről, az Audiovizuális Legfelsőbb Tanács által meghatározott információkról és számszerűsített mutatókról, különösen az igazságügyi vagy közigazgatási hatóságoktól érkező tiltó határozatok vagy információkérések feldolgozása, a beérkezett bejelentések és a belső jogorvoslatok kiválasztása, valamint adott esetben azon megbízható harmadik felek kiválasztásának kritériumai tekintetében, akiknek bejelentései prioritást élveznek, és az ilyen harmadik felekkel való együttműködés feltételei vonatkozásában;</w:t>
      </w:r>
      <w:r>
        <w:rPr>
          <w:rFonts w:ascii="Times New Roman" w:hAnsi="Times New Roman"/>
          <w:sz w:val="24"/>
        </w:rPr>
        <w:br/>
        <w:t>„5. Könnyen hozzáférhető és könnyen használható eljárást alkalmaznak, amely lehetővé teszi bármely személy számára, hogy elektronikus úton, és a 6. cikk I. bekezdésének 5. pontjában említett elemek meghatározásával jelentsen minden olyan tartalmat, amelyről úgy vélik, hogy ellentétesek az ezen I. bekezdés első albekezdésben említett rendelkezésekkel;</w:t>
      </w:r>
      <w:r>
        <w:rPr>
          <w:rFonts w:ascii="Times New Roman" w:hAnsi="Times New Roman"/>
          <w:sz w:val="24"/>
        </w:rPr>
        <w:br/>
        <w:t>„6. Biztosítják, hogy az olyan szervezetek által benyújtott értesítések, amelyeket megbízható harmadik félként ismernek el az ezen I. bekezdés első albekezdésében említett jogellenes tartalom tekintetében, elsőbbséget élveznek.</w:t>
      </w:r>
      <w:r>
        <w:rPr>
          <w:rFonts w:ascii="Times New Roman" w:hAnsi="Times New Roman"/>
          <w:sz w:val="24"/>
        </w:rPr>
        <w:br/>
        <w:t>„A megbízható harmadik fél minősítést – az Audiovizuális Legfelsőbb Tanács által megállapított szabályoknak megfelelően, átlátható, megkülönböztetésmentes feltételek mellett és kérésükre – olyan szervezetek kapják meg, amelyek különleges szakértelemmel és kompetenciával rendelkeznek az első albekezdésben említett jogellenes tartalom felderítése, azonosítása és bejelentése terén, amelyek közös érdekeket képviselnek, és amelyek garantálják a gondosságot és az objektivitást;</w:t>
      </w:r>
      <w:r>
        <w:rPr>
          <w:rFonts w:ascii="Times New Roman" w:hAnsi="Times New Roman"/>
          <w:sz w:val="24"/>
        </w:rPr>
        <w:br/>
        <w:t>„7. Arányos humán és technológiai eljárásokat és eszközöket alkalmaznak, amelyek lehetővé teszik számukra a következőket:</w:t>
      </w:r>
      <w:r>
        <w:rPr>
          <w:rFonts w:ascii="Times New Roman" w:hAnsi="Times New Roman"/>
          <w:sz w:val="24"/>
        </w:rPr>
        <w:br/>
        <w:t>„a) Az ezen I. bekezdés első albekezdésben említett jogellenes tartalmakkal kapcsolatos bejelentések biztonságos beérkezésének haladéktalan megerősítése, a szerzővel való kapcsolatfelvételhez szükséges információkra is figyelemmel;</w:t>
      </w:r>
      <w:r>
        <w:rPr>
          <w:rFonts w:ascii="Times New Roman" w:hAnsi="Times New Roman"/>
          <w:sz w:val="24"/>
        </w:rPr>
        <w:br/>
        <w:t>„b) E bejelentések megfelelő, időben történő elemzésének biztosítása;</w:t>
      </w:r>
      <w:r>
        <w:rPr>
          <w:rFonts w:ascii="Times New Roman" w:hAnsi="Times New Roman"/>
          <w:sz w:val="24"/>
        </w:rPr>
        <w:br/>
        <w:t>„c) A szerző tájékoztatása az annak során tett lépésekről, valamint a rendelkezésre álló belső és bírósági jogorvoslati lehetőségekről, feltéve, hogy rendelkezésére állnak a vele való kapcsolatfelvételhez szükséges információk;</w:t>
      </w:r>
      <w:r>
        <w:rPr>
          <w:rFonts w:ascii="Times New Roman" w:hAnsi="Times New Roman"/>
          <w:sz w:val="24"/>
        </w:rPr>
        <w:br/>
        <w:t>„d) Ha az a döntés születik, hogy az ezen első bekezdésben említett rendelkezések figyelmen kívül hagyása miatt eltávolítják vagy hozzáférhetetlenné teszik a tartalmat, az azt közzétevő eredeti felhasználó tájékoztatása, feltéve, hogy rendelkezésére állnak a vele való kapcsolatfelvételhez szükséges információk:</w:t>
      </w:r>
    </w:p>
    <w:p w14:paraId="43902745" w14:textId="00AA9E2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6515DF">
        <w:rPr>
          <w:rFonts w:ascii="Times New Roman" w:hAnsi="Times New Roman"/>
          <w:sz w:val="24"/>
        </w:rPr>
        <w:t>-</w:t>
      </w:r>
      <w:r>
        <w:rPr>
          <w:rFonts w:ascii="Times New Roman" w:hAnsi="Times New Roman"/>
          <w:sz w:val="24"/>
        </w:rPr>
        <w:t xml:space="preserve"> a döntés mögött meghúzódó okok megjelölése;</w:t>
      </w:r>
      <w:r>
        <w:rPr>
          <w:rFonts w:ascii="Times New Roman" w:hAnsi="Times New Roman"/>
          <w:sz w:val="24"/>
        </w:rPr>
        <w:br/>
        <w:t>„</w:t>
      </w:r>
      <w:r w:rsidR="006515DF">
        <w:rPr>
          <w:rFonts w:ascii="Times New Roman" w:hAnsi="Times New Roman"/>
          <w:sz w:val="24"/>
        </w:rPr>
        <w:t>-</w:t>
      </w:r>
      <w:r>
        <w:rPr>
          <w:rFonts w:ascii="Times New Roman" w:hAnsi="Times New Roman"/>
          <w:sz w:val="24"/>
        </w:rPr>
        <w:t xml:space="preserve"> annak meghatározása, hogy ezt a döntést automatizált eszközzel hozták-e meg;</w:t>
      </w:r>
      <w:r>
        <w:rPr>
          <w:rFonts w:ascii="Times New Roman" w:hAnsi="Times New Roman"/>
          <w:sz w:val="24"/>
        </w:rPr>
        <w:br/>
        <w:t>„</w:t>
      </w:r>
      <w:r w:rsidR="006515DF">
        <w:rPr>
          <w:rFonts w:ascii="Times New Roman" w:hAnsi="Times New Roman"/>
          <w:sz w:val="24"/>
        </w:rPr>
        <w:t>-</w:t>
      </w:r>
      <w:r>
        <w:rPr>
          <w:rFonts w:ascii="Times New Roman" w:hAnsi="Times New Roman"/>
          <w:sz w:val="24"/>
        </w:rPr>
        <w:t xml:space="preserve"> a felhasználó tájékoztatása a rendelkezésére álló belső és bírósági jogorvoslati lehetőségekről;</w:t>
      </w:r>
      <w:r>
        <w:rPr>
          <w:rFonts w:ascii="Times New Roman" w:hAnsi="Times New Roman"/>
          <w:sz w:val="24"/>
        </w:rPr>
        <w:br/>
      </w:r>
      <w:r>
        <w:rPr>
          <w:rFonts w:ascii="Times New Roman" w:hAnsi="Times New Roman"/>
          <w:sz w:val="24"/>
        </w:rPr>
        <w:lastRenderedPageBreak/>
        <w:t>„</w:t>
      </w:r>
      <w:r w:rsidR="006515DF">
        <w:rPr>
          <w:rFonts w:ascii="Times New Roman" w:hAnsi="Times New Roman"/>
          <w:sz w:val="24"/>
        </w:rPr>
        <w:t>-</w:t>
      </w:r>
      <w:r>
        <w:rPr>
          <w:rFonts w:ascii="Times New Roman" w:hAnsi="Times New Roman"/>
          <w:sz w:val="24"/>
        </w:rPr>
        <w:t xml:space="preserve"> és annak bejelentése, hogy a jogellenes tartalom közzététele polgári és büntetőjogi szankciókat von maga után.</w:t>
      </w:r>
    </w:p>
    <w:p w14:paraId="0C3F650D" w14:textId="3680F963"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„Ez a d) alpont nem alkalmazandó, ha azt valamely hatóság közrendi okokból vagy bűncselekmények megelőzése, felderítése, kivizsgálása és a vádeljárás lefolytatása céljából kéri;</w:t>
      </w:r>
      <w:r>
        <w:rPr>
          <w:rFonts w:ascii="Times New Roman" w:hAnsi="Times New Roman"/>
          <w:sz w:val="24"/>
        </w:rPr>
        <w:br/>
        <w:t>„8. Olyan belső jogorvoslati eszközöket alkalmaznak, amelyek lehetővé teszik, hogy:</w:t>
      </w:r>
      <w:r>
        <w:rPr>
          <w:rFonts w:ascii="Times New Roman" w:hAnsi="Times New Roman"/>
          <w:sz w:val="24"/>
        </w:rPr>
        <w:br/>
        <w:t>„a) az ezen I. bekezdés első albekezdésben említett jogellenes tartalomra vonatkozó bejelentés szerzője megtámadja az üzemeltető által a bejelentésre válaszul hozott döntést;</w:t>
      </w:r>
      <w:r>
        <w:rPr>
          <w:rFonts w:ascii="Times New Roman" w:hAnsi="Times New Roman"/>
          <w:sz w:val="24"/>
        </w:rPr>
        <w:br/>
        <w:t>„b) az a felhasználó, aki a 7. pont d) alpontjában említett döntés tárgyát képező tartalom közzétételének kezdeményezője, megtámadja az említett határozatot;</w:t>
      </w:r>
      <w:r>
        <w:rPr>
          <w:rFonts w:ascii="Times New Roman" w:hAnsi="Times New Roman"/>
          <w:sz w:val="24"/>
        </w:rPr>
        <w:br/>
        <w:t>„c) az a felhasználó, akire a 9. pont a) vagy b) alpontja szerinti döntés vonatkozik, megtámadja az említett döntést.</w:t>
      </w:r>
      <w:r>
        <w:rPr>
          <w:rFonts w:ascii="Times New Roman" w:hAnsi="Times New Roman"/>
          <w:sz w:val="24"/>
        </w:rPr>
        <w:br/>
      </w:r>
      <w:r w:rsidR="006515DF" w:rsidRPr="006515DF">
        <w:rPr>
          <w:rFonts w:ascii="Times New Roman" w:hAnsi="Times New Roman"/>
          <w:sz w:val="24"/>
        </w:rPr>
        <w:t>„</w:t>
      </w:r>
      <w:r>
        <w:rPr>
          <w:rFonts w:ascii="Times New Roman" w:hAnsi="Times New Roman"/>
          <w:sz w:val="24"/>
        </w:rPr>
        <w:t>Gondoskodnak arról, hogy ezek a rendszerek könnyen hozzáférhetők és könnyen használhatók legyenek, és hogy lehetővé tegyék a fellebbezések megfelelő és azonnali feldolgozását, amely nem kizárólag automatizált eszközök használatán alapul, a felhasználó haladéktalan tájékoztatását a meghozott döntésről és a kérdéses tartalommal vagy a felhasználóval kapcsolatosan az üzemeltető által végrehajtott intézkedések haladéktalan visszavonását, amennyiben a fellebbezés alapján az üzemeltető úgy ítéli meg, hogy a megtámadott döntés nem volt indokolt;</w:t>
      </w:r>
      <w:r>
        <w:rPr>
          <w:rFonts w:ascii="Times New Roman" w:hAnsi="Times New Roman"/>
          <w:sz w:val="24"/>
        </w:rPr>
        <w:br/>
        <w:t>„9. Az ilyen eljárások alkalmazására vonatkozó döntés során a használati feltételekben világosan és pontosan meghatározzák azokat az eljárásokat, amelyek az alábbiakhoz vezetnek:</w:t>
      </w:r>
      <w:r>
        <w:rPr>
          <w:rFonts w:ascii="Times New Roman" w:hAnsi="Times New Roman"/>
          <w:sz w:val="24"/>
        </w:rPr>
        <w:br/>
        <w:t>„a) Azon felhasználók fiókjának felfüggesztése vagy – a legsúlyosabb esetekben – megszüntetése, akik többször is feltöltöttek az ezen I. bekezdés első albekezdésében említett rendelkezésekkel ellentétes tartalmat;</w:t>
      </w:r>
      <w:r>
        <w:rPr>
          <w:rFonts w:ascii="Times New Roman" w:hAnsi="Times New Roman"/>
          <w:sz w:val="24"/>
        </w:rPr>
        <w:br/>
        <w:t>„b) A bejelentési mechanizmushoz való hozzáférés felfüggesztése azon felhasználók esetében, akik többször is nyilvánvalóan megalapozatlan bejelentést tettek az ugyanezen első albekezdésben említett tartalommal kapcsolatban.</w:t>
      </w:r>
      <w:r>
        <w:rPr>
          <w:rFonts w:ascii="Times New Roman" w:hAnsi="Times New Roman"/>
          <w:sz w:val="24"/>
        </w:rPr>
        <w:br/>
        <w:t>„Ilyen eljárások alkalmazásakor eseti elemzést kell végezni, amelynek célja a 9. pont a) vagy b) alpontjában említett magatartás fennállásának objektív jellemzése, és amely különösen a következőket veszi figyelembe:</w:t>
      </w:r>
    </w:p>
    <w:p w14:paraId="7714552C" w14:textId="310F95D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r w:rsidR="006515DF">
        <w:rPr>
          <w:rFonts w:ascii="Times New Roman" w:hAnsi="Times New Roman"/>
          <w:sz w:val="24"/>
        </w:rPr>
        <w:t>-</w:t>
      </w:r>
      <w:r>
        <w:rPr>
          <w:rFonts w:ascii="Times New Roman" w:hAnsi="Times New Roman"/>
          <w:sz w:val="24"/>
        </w:rPr>
        <w:t xml:space="preserve"> az ezen I. bekezdés első albekezdésében említett jogellenes tartalom mennyisége vagy az elmúlt évben a felhasználótól származó, nyilvánvalóan megalapozatlan bejelentések száma, mind abszolút értékben, mind a felhasználótól származó tartalmak teljes mennyiségének vagy bejelentések teljes számának arányában;</w:t>
      </w:r>
      <w:r>
        <w:rPr>
          <w:rFonts w:ascii="Times New Roman" w:hAnsi="Times New Roman"/>
          <w:sz w:val="24"/>
        </w:rPr>
        <w:br/>
        <w:t>„</w:t>
      </w:r>
      <w:r w:rsidR="006515DF">
        <w:rPr>
          <w:rFonts w:ascii="Times New Roman" w:hAnsi="Times New Roman"/>
          <w:sz w:val="24"/>
        </w:rPr>
        <w:t>-</w:t>
      </w:r>
      <w:r>
        <w:rPr>
          <w:rFonts w:ascii="Times New Roman" w:hAnsi="Times New Roman"/>
          <w:sz w:val="24"/>
        </w:rPr>
        <w:t xml:space="preserve"> és e visszaélések súlyossága és következményei.</w:t>
      </w:r>
    </w:p>
    <w:p w14:paraId="621474B0" w14:textId="3D80D58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„Alkalmazásukkor ezen eljárások biztosítják, hogy a 9. pont a) és b) alpontjában említett intézkedések jellegüknél fogva arányosak legyenek a szóban forgó magatartás súlyosságával, felfüggesztés esetén pedig észszerű időtartamra rendeljék el a felfüggesztést. A felhasználót figyelmeztetni kell a rendelkezésre álló belső és bírósági jogorvoslati lehetőségekre és tájékoztatni kell azokról.</w:t>
      </w:r>
      <w:r>
        <w:rPr>
          <w:rFonts w:ascii="Times New Roman" w:hAnsi="Times New Roman"/>
          <w:sz w:val="24"/>
        </w:rPr>
        <w:br/>
        <w:t xml:space="preserve">„II. </w:t>
      </w:r>
      <w:r w:rsidR="006515DF">
        <w:rPr>
          <w:rFonts w:ascii="Times New Roman" w:hAnsi="Times New Roman"/>
          <w:sz w:val="24"/>
        </w:rPr>
        <w:t>-</w:t>
      </w:r>
      <w:r>
        <w:rPr>
          <w:rFonts w:ascii="Times New Roman" w:hAnsi="Times New Roman"/>
          <w:sz w:val="24"/>
        </w:rPr>
        <w:t xml:space="preserve"> Az ezen I. bekezdés első albekezdésében említett üzemeltetők, akik olyan </w:t>
      </w:r>
      <w:r>
        <w:rPr>
          <w:rFonts w:ascii="Times New Roman" w:hAnsi="Times New Roman"/>
          <w:sz w:val="24"/>
        </w:rPr>
        <w:lastRenderedPageBreak/>
        <w:t>tevékenységet folytatnak Franciaország területén, amely meghaladja a csatlakozások számának rendeletben meghatározott küszöbértékét, és amely magasabb az ugyanezen első bekezdésben említett küszöbértéknél, kötelesek:</w:t>
      </w:r>
      <w:r>
        <w:rPr>
          <w:rFonts w:ascii="Times New Roman" w:hAnsi="Times New Roman"/>
          <w:sz w:val="24"/>
        </w:rPr>
        <w:br/>
        <w:t>„1. évente értékelni a szolgáltatásaik működtetésével és igénybevételével kapcsolatos rendszerszintű kockázatokat az első bekezdésben említett tartalom terjesztése és az alapvető jogok megsértése tekintetében, beleértve a véleménynyilvánítás szabadságát is. Ez az értékelés figyelembe veszi e szolgáltatások jellemzőit, különösen a fent említett tartalom vírusszerű terjedésére vagy tömeges terjesztésére gyakorolt hatásukat;</w:t>
      </w:r>
      <w:r>
        <w:rPr>
          <w:rFonts w:ascii="Times New Roman" w:hAnsi="Times New Roman"/>
          <w:sz w:val="24"/>
        </w:rPr>
        <w:br/>
        <w:t>„2. észszerű, hatékony és arányos intézkedéseket végrehajtani, különös tekintettel a szolgáltatásaik jellemzőire, valamint a II. bekezdés 1. albekezdésében említett értékelés végén azonosított kockázatok mértékére és súlyosságára, mely intézkedések célja az ilyen tartalmak terjesztésével kapcsolatos kockázatok mérséklése, és amelyek különösen az ilyen tartalmak felkutatására, azonosítására és kezelésére szolgáló eljárásokra és humán és technológiai eszközökre vonatkozhatnak, megelőzve ugyanakkor az alkalmazandó jog és a használati feltételeik szerinti indokolatlan eltávolítás kockázatát;</w:t>
      </w:r>
      <w:r>
        <w:rPr>
          <w:rFonts w:ascii="Times New Roman" w:hAnsi="Times New Roman"/>
          <w:sz w:val="24"/>
        </w:rPr>
        <w:br/>
        <w:t>„3. az Audiovizuális Legfelsőbb Tanács által megállapított eljárásoknak megfelelően és időközönként beszámolni a nyilvánosságnak e rendszerkockázatok értékeléséről és a végrehajtott kockázatcsökkentő intézkedésekről.</w:t>
      </w:r>
      <w:r>
        <w:rPr>
          <w:rFonts w:ascii="Times New Roman" w:hAnsi="Times New Roman"/>
          <w:sz w:val="24"/>
        </w:rPr>
        <w:br/>
        <w:t xml:space="preserve">„III. </w:t>
      </w:r>
      <w:r w:rsidR="006515DF">
        <w:rPr>
          <w:rFonts w:ascii="Times New Roman" w:hAnsi="Times New Roman"/>
          <w:sz w:val="24"/>
        </w:rPr>
        <w:t>-</w:t>
      </w:r>
      <w:r>
        <w:rPr>
          <w:rFonts w:ascii="Times New Roman" w:hAnsi="Times New Roman"/>
          <w:sz w:val="24"/>
        </w:rPr>
        <w:t xml:space="preserve"> Az I. bekezdés első albekezdésében említett üzemeltetők a fent említett, 1986. szeptember 30-i 86-1067. sz. törvény 62. cikkében megállapított feltételek szerint jelentést tesznek az Audiovizuális Legfelsőbb Tanácsnak az e cikk alkalmazása céljából használt eljárásokról és eszközökről.”</w:t>
      </w:r>
    </w:p>
    <w:p w14:paraId="45CD7FF2" w14:textId="3A3E4CE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6515DF">
        <w:rPr>
          <w:rFonts w:ascii="Times New Roman" w:hAnsi="Times New Roman"/>
          <w:sz w:val="24"/>
        </w:rPr>
        <w:t>-</w:t>
      </w:r>
      <w:r>
        <w:rPr>
          <w:rFonts w:ascii="Times New Roman" w:hAnsi="Times New Roman"/>
          <w:sz w:val="24"/>
        </w:rPr>
        <w:t xml:space="preserve"> A kommunikációs szabadságáról szóló, 1986. szeptember 30-i 86-1067. sz. törvény a következőképpen módosul:</w:t>
      </w:r>
      <w:r>
        <w:rPr>
          <w:rFonts w:ascii="Times New Roman" w:hAnsi="Times New Roman"/>
          <w:sz w:val="24"/>
        </w:rPr>
        <w:br/>
        <w:t>1. A 19. cikk I. bekezdése 1. pontjának harmadik albekezdésében a következő szöveg: „valamint videomegosztó platformok” helyébe a következő szöveg lép: „, videomegosztó platformok, valamint a 62. cikkben említett onlineplatform-üzemeltetők”;</w:t>
      </w:r>
      <w:r>
        <w:rPr>
          <w:rFonts w:ascii="Times New Roman" w:hAnsi="Times New Roman"/>
          <w:sz w:val="24"/>
        </w:rPr>
        <w:br/>
        <w:t>2. A 42-7. cikk első bekezdésében a következő hivatkozás: „és 48-3.” helyébe a következő hivatkozások lépnek: „, 48-3. és 62.”;</w:t>
      </w:r>
      <w:r>
        <w:rPr>
          <w:rFonts w:ascii="Times New Roman" w:hAnsi="Times New Roman"/>
          <w:sz w:val="24"/>
        </w:rPr>
        <w:br/>
        <w:t>3. A IV. cím a következő III. fejezettel egészül ki:</w:t>
      </w:r>
    </w:p>
    <w:p w14:paraId="77B231FD" w14:textId="1793593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„III. FEJEZET</w:t>
      </w:r>
      <w:r>
        <w:rPr>
          <w:rFonts w:ascii="Times New Roman" w:hAnsi="Times New Roman"/>
          <w:sz w:val="24"/>
        </w:rPr>
        <w:br/>
        <w:t>„A gyűlöletkeltő tartalmak elleni küzdelmet szolgáló online platformokra alkalmazandó rendelkezések</w:t>
      </w:r>
    </w:p>
    <w:p w14:paraId="0A34B744" w14:textId="262D4DD8"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„62. cikk </w:t>
      </w:r>
      <w:r w:rsidR="006515DF">
        <w:rPr>
          <w:rFonts w:ascii="Times New Roman" w:hAnsi="Times New Roman"/>
          <w:sz w:val="24"/>
        </w:rPr>
        <w:t>-</w:t>
      </w:r>
      <w:r>
        <w:rPr>
          <w:rFonts w:ascii="Times New Roman" w:hAnsi="Times New Roman"/>
          <w:sz w:val="24"/>
        </w:rPr>
        <w:t xml:space="preserve"> I. </w:t>
      </w:r>
      <w:r w:rsidR="006515DF">
        <w:rPr>
          <w:rFonts w:ascii="Times New Roman" w:hAnsi="Times New Roman"/>
          <w:sz w:val="24"/>
        </w:rPr>
        <w:t>-</w:t>
      </w:r>
      <w:r>
        <w:rPr>
          <w:rFonts w:ascii="Times New Roman" w:hAnsi="Times New Roman"/>
          <w:sz w:val="24"/>
        </w:rPr>
        <w:t xml:space="preserve"> Az Audiovizuális Legfelsőbb Tanács gondoskodik arról, hogy a digitális gazdaságba vetett bizalomról szóló, 2004. június 21-i 2004-575. sz. törvény 6-4. cikke I. bekezdésének első albekezdésében említett onlineplatform-üzemeltetők megfeleljenek ugyanezen 6-4. cikk rendelkezéseinek az általuk kínált szolgáltatások mindegyike tekintetében, figyelembe véve a szolgáltatás jellemzőit és az üzemeltető által használt eszközök megfelelőségét, különös tekintettel az említett 6-4. cikk I. bekezdésének első albekezdésében említett tartalom terjesztése által az e szolgáltatásra nézve jelentett kockázatnak a mértékére és súlyosságára, </w:t>
      </w:r>
      <w:r>
        <w:rPr>
          <w:rFonts w:ascii="Times New Roman" w:hAnsi="Times New Roman"/>
          <w:sz w:val="24"/>
        </w:rPr>
        <w:lastRenderedPageBreak/>
        <w:t>valamint az alkalmazandó jog és a használati feltételeik szerinti indokolatlan eltávolítás kockázatára. Az Audiovizuális Legfelsőbb Tanács iránymutatásokat ad a platformüzemeltetők számára az ugyanezen 6-4. cikk alkalmazására vonatkozóan.</w:t>
      </w:r>
      <w:r>
        <w:rPr>
          <w:rFonts w:ascii="Times New Roman" w:hAnsi="Times New Roman"/>
          <w:sz w:val="24"/>
        </w:rPr>
        <w:br/>
        <w:t>„Az Audiovizuális Legfelsőbb Tanács az e törvény 19. cikkében megállapított feltételek mellett összegyűjti az ilyen üzemeltetőktől a kötelezettségeik ellenőrzéséhez szükséges információkat. E célból a fenti, 2004. június 21-i 2004-575. sz. törvény 6-4. cikkének II. bekezdésében említett üzemeltetők hozzáférést biztosítanak az e kötelezettségek teljesítéséhez használt automatizált eszközök működési elveihez, az ezen eszközök által használt paraméterekhez, a teljesítményük értékeléséhez és javításához használt módszerekhez és adatokhoz, valamint minden egyéb olyan információhoz vagy adathoz, amely lehetővé teszi a hatékonyságuknak a személyes adatok védelmével kapcsolatos rendelkezésekkel összhangban történő értékelését. A rendelkezéseknek megfelelően a Tanács az e célra szánt programozási felületeken keresztül arányos hozzáférést kérhet minden olyan adathoz, amely a hatékonyságuk értékeléséhez szükséges. E rendelkezéseknek megfelelően és ugyanezen célból arányos módszereket alkalmazhat a nyilvánosan hozzáférhető adatok automatizált gyűjtésére a szükséges adatokhoz való hozzáférés érdekében, abban az esetben is, ha az ilyen adatokhoz való hozzáféréshez egy fiókba való bejelentkezés szükséges.</w:t>
      </w:r>
      <w:r>
        <w:rPr>
          <w:rFonts w:ascii="Times New Roman" w:hAnsi="Times New Roman"/>
          <w:sz w:val="24"/>
        </w:rPr>
        <w:br/>
        <w:t>„Az Audiovizuális Legfelsőbb Tanács meghatározza azokat az információkat és számszerűsített mutatókat, amelyeket ezen üzemeltetőknek a 6-4. cikk I. bekezdésének 4. pontjával összhangban közzé kell tenniük, valamint e közzététel módozatait és gyakoriságát.</w:t>
      </w:r>
      <w:r>
        <w:rPr>
          <w:rFonts w:ascii="Times New Roman" w:hAnsi="Times New Roman"/>
          <w:sz w:val="24"/>
        </w:rPr>
        <w:br/>
        <w:t>„Az Audiovizuális Legfelsőbb Tanács évente közzéteszi a 6-4. cikkben foglalt rendelkezések alkalmazásáról készített felülvizsgálatot.</w:t>
      </w:r>
      <w:r>
        <w:rPr>
          <w:rFonts w:ascii="Times New Roman" w:hAnsi="Times New Roman"/>
          <w:sz w:val="24"/>
        </w:rPr>
        <w:br/>
        <w:t xml:space="preserve">„II. </w:t>
      </w:r>
      <w:r w:rsidR="006515DF">
        <w:rPr>
          <w:rFonts w:ascii="Times New Roman" w:hAnsi="Times New Roman"/>
          <w:sz w:val="24"/>
        </w:rPr>
        <w:t>-</w:t>
      </w:r>
      <w:r>
        <w:rPr>
          <w:rFonts w:ascii="Times New Roman" w:hAnsi="Times New Roman"/>
          <w:sz w:val="24"/>
        </w:rPr>
        <w:t xml:space="preserve"> Az Audiovizuális Legfelsőbb Tanács a fent említett 2004. június 21-i 2004-575. sz. törvény 6-4. cikke I. bekezdésének első albekezdésében említett onlineplatform-üzemeltetőket arra ösztönzi, hogy hajtsák végre az alábbiakat:</w:t>
      </w:r>
      <w:r>
        <w:rPr>
          <w:rFonts w:ascii="Times New Roman" w:hAnsi="Times New Roman"/>
          <w:sz w:val="24"/>
        </w:rPr>
        <w:br/>
        <w:t>„1. A 6-4. cikkben említett jogsértések elleni küzdelem érdekében a platformüzemeltetők közötti együttműködés és információmegosztás eszközei, az ajánlásainak megfelelő nyílt formátumban;</w:t>
      </w:r>
      <w:r>
        <w:rPr>
          <w:rFonts w:ascii="Times New Roman" w:hAnsi="Times New Roman"/>
          <w:sz w:val="24"/>
        </w:rPr>
        <w:br/>
        <w:t>„2. Arányos műszaki eszközök, amelyek a 6-4. cikkben említett tartalom bejelentésének feldolgozásáig lehetővé teszik a tartalom megosztásának és nyilvánosságnak való kitettségének korlátozását;</w:t>
      </w:r>
      <w:r>
        <w:rPr>
          <w:rFonts w:ascii="Times New Roman" w:hAnsi="Times New Roman"/>
          <w:sz w:val="24"/>
        </w:rPr>
        <w:br/>
        <w:t>„3. Az online nyilvános hírközlési szolgáltatások közötti interoperabilitás közös, dokumentált és stabil műszaki szabványai, összhangban a technika jelenlegi állásával annak érdekében, hogy megkönnyítsék a felhasználóknak a különböző platformok közötti szabad választást.</w:t>
      </w:r>
      <w:r>
        <w:rPr>
          <w:rFonts w:ascii="Times New Roman" w:hAnsi="Times New Roman"/>
          <w:sz w:val="24"/>
        </w:rPr>
        <w:br/>
      </w:r>
      <w:r w:rsidR="006515DF" w:rsidRPr="006515DF">
        <w:rPr>
          <w:rFonts w:ascii="Times New Roman" w:hAnsi="Times New Roman"/>
          <w:sz w:val="24"/>
        </w:rPr>
        <w:t>„</w:t>
      </w:r>
      <w:r>
        <w:rPr>
          <w:rFonts w:ascii="Times New Roman" w:hAnsi="Times New Roman"/>
          <w:sz w:val="24"/>
        </w:rPr>
        <w:t xml:space="preserve">III. </w:t>
      </w:r>
      <w:r w:rsidR="006515DF">
        <w:rPr>
          <w:rFonts w:ascii="Times New Roman" w:hAnsi="Times New Roman"/>
          <w:sz w:val="24"/>
        </w:rPr>
        <w:t>-</w:t>
      </w:r>
      <w:r>
        <w:rPr>
          <w:rFonts w:ascii="Times New Roman" w:hAnsi="Times New Roman"/>
          <w:sz w:val="24"/>
        </w:rPr>
        <w:t xml:space="preserve"> Az Audiovizuális Legfelsőbb Tanács felszólítást küldhet az üzemeltetőnek, hogy az általa meghatározott időszakon belül tegyen eleget a 2004. június 21-i 2004-575. sz. törvény 6-4. cikkének, és reagáljon az e cikk I. bekezdésének második albekezdése szerint megküldött információkérésre.</w:t>
      </w:r>
      <w:r>
        <w:rPr>
          <w:rFonts w:ascii="Times New Roman" w:hAnsi="Times New Roman"/>
          <w:sz w:val="24"/>
        </w:rPr>
        <w:br/>
        <w:t xml:space="preserve">„Abban az esetben, ha az üzemeltető nem tesz eleget a kapott felszólításnak, az Audiovizuális Legfelsőbb Tanács az e törvény 42-7. cikkében megállapított feltételek mellett bírságot szabhat ki, amelynek összege figyelembe veszi a meg nem felelés súlyosságát és adott esetben ismétlődő jellegét, és amely nem haladja meg a 20 millió EUR összeget vagy az előző év teljes éves forgalmának 6%-át, attól függően, hogy melyik a magasabb. Ha ugyanazon jogsértés esetében valamely másik államban ugyanazon az alapon kiszámított pénzbüntetés </w:t>
      </w:r>
      <w:r>
        <w:rPr>
          <w:rFonts w:ascii="Times New Roman" w:hAnsi="Times New Roman"/>
          <w:sz w:val="24"/>
        </w:rPr>
        <w:lastRenderedPageBreak/>
        <w:t>kiszabására került sor, e büntetés összegét figyelembe kell venni az e bekezdés alapján kiszabott büntetés meghatározásakor.</w:t>
      </w:r>
      <w:r>
        <w:rPr>
          <w:rFonts w:ascii="Times New Roman" w:hAnsi="Times New Roman"/>
          <w:sz w:val="24"/>
        </w:rPr>
        <w:br/>
        <w:t>„E III. bekezdés második albekezdésétől eltérve a szabályozó által az I. bekezdés második albekezdése alapján kért információk közzétételének megtagadása esetén, illetve hamis vagy félrevezető információk közlése esetén a kiszabott bírság összege nem haladhatja meg az előző pénzügyi év teljes éves világszintű forgalmának 1%-át.</w:t>
      </w:r>
      <w:r>
        <w:rPr>
          <w:rFonts w:ascii="Times New Roman" w:hAnsi="Times New Roman"/>
          <w:sz w:val="24"/>
        </w:rPr>
        <w:br/>
        <w:t>„Az Audiovizuális Legfelsőbb Tanács nyilvánosságra hozhatja a felszólításokat és a kirótt szankciókat. Az Audiovizuális Legfelsőbb Tanács határozatában meghatározza a közzététel részleteit, amelyeknek arányosaknak kell lenniük a jogsértés súlyosságával. Elrendelheti továbbá a határozatának a kijelölt kiadványokban, újságokban és médiában a hivatalos felszólítás vagy szankció hatálya alá tartozó üzemeltető költségére történő közzétételét.</w:t>
      </w:r>
      <w:r>
        <w:rPr>
          <w:rFonts w:ascii="Times New Roman" w:hAnsi="Times New Roman"/>
          <w:sz w:val="24"/>
        </w:rPr>
        <w:br/>
        <w:t>„A bírságokat az állammal szemben fennálló nem adójellegű és nem vagyoni jellegű tartozásként kell beszedni.”;</w:t>
      </w:r>
    </w:p>
    <w:p w14:paraId="23676506" w14:textId="00B0E522"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A következő szó: „eredményeként” után a 108. cikk első albekezdésének vége a következő: „a köztársasági elveknek való megfelelés megerősítéséről szóló, 2021. augusztus 24-i 2021-1109. sz. törvényből.”</w:t>
      </w:r>
      <w:r>
        <w:rPr>
          <w:rFonts w:ascii="Times New Roman" w:hAnsi="Times New Roman"/>
          <w:sz w:val="24"/>
        </w:rPr>
        <w:br/>
        <w:t xml:space="preserve">III. </w:t>
      </w:r>
      <w:r w:rsidR="006515DF">
        <w:rPr>
          <w:rFonts w:ascii="Times New Roman" w:hAnsi="Times New Roman"/>
          <w:sz w:val="24"/>
        </w:rPr>
        <w:t>-</w:t>
      </w:r>
      <w:r>
        <w:rPr>
          <w:rFonts w:ascii="Times New Roman" w:hAnsi="Times New Roman"/>
          <w:sz w:val="24"/>
        </w:rPr>
        <w:t xml:space="preserve"> A. </w:t>
      </w:r>
      <w:r w:rsidR="006515DF">
        <w:rPr>
          <w:rFonts w:ascii="Times New Roman" w:hAnsi="Times New Roman"/>
          <w:sz w:val="24"/>
        </w:rPr>
        <w:t>-</w:t>
      </w:r>
      <w:r>
        <w:rPr>
          <w:rFonts w:ascii="Times New Roman" w:hAnsi="Times New Roman"/>
          <w:sz w:val="24"/>
        </w:rPr>
        <w:t xml:space="preserve"> Ezt a cikket 2023. december 31-ig kell alkalmazni.</w:t>
      </w:r>
      <w:r>
        <w:rPr>
          <w:rFonts w:ascii="Times New Roman" w:hAnsi="Times New Roman"/>
          <w:sz w:val="24"/>
        </w:rPr>
        <w:br/>
        <w:t xml:space="preserve">B. </w:t>
      </w:r>
      <w:r w:rsidR="006515DF">
        <w:rPr>
          <w:rFonts w:ascii="Times New Roman" w:hAnsi="Times New Roman"/>
          <w:sz w:val="24"/>
        </w:rPr>
        <w:t>-</w:t>
      </w:r>
      <w:r>
        <w:rPr>
          <w:rFonts w:ascii="Times New Roman" w:hAnsi="Times New Roman"/>
          <w:sz w:val="24"/>
        </w:rPr>
        <w:t xml:space="preserve"> E III. bekezdés A. pontjától eltérve ez a cikk 2022. június 7-től nem alkalmazandó az online terrorista tartalom terjesztésével szembeni fellépésről szóló, 2021. április 29-i (EU) 2021/784 európai parlamenti és tanácsi rendelet 7. cikkének (2) bekezdése szerinti terrorista tartalom nyilvános terjesztése elleni küzdelemre.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515DF"/>
    <w:rsid w:val="0067021E"/>
    <w:rsid w:val="00897AF7"/>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2506</Words>
  <Characters>20881</Characters>
  <Application>Microsoft Office Word</Application>
  <DocSecurity>0</DocSecurity>
  <Lines>426</Lines>
  <Paragraphs>205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2022-02-14T11:32:00Z</dcterms:created>
  <dcterms:modified xsi:type="dcterms:W3CDTF">2022-02-14T11:32:00Z</dcterms:modified>
</cp:coreProperties>
</file>