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E87B" w14:textId="77777777" w:rsidR="00A31ACD" w:rsidRPr="00A31ACD" w:rsidRDefault="00A31ACD" w:rsidP="00A31A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Ustawa nr 2021-1109 z dnia 24 sierpnia 2021 r. wzmacniająca zgodność z zasadami Republiki (1)</w:t>
      </w:r>
    </w:p>
    <w:p w14:paraId="64CA8548" w14:textId="77777777" w:rsidR="00A31ACD" w:rsidRPr="00A31ACD" w:rsidRDefault="00A31ACD" w:rsidP="00A31A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Tytuł I: GWARANCJA PRZESTRZEGANIA ZASAD REPUBLIKI I MINIMALNYCH WYMOGÓW ŻYCIA SPOŁECZNEGO (art. 1-67)</w:t>
      </w:r>
    </w:p>
    <w:p w14:paraId="486809C0" w14:textId="77777777" w:rsidR="00A31ACD" w:rsidRPr="00A31ACD" w:rsidRDefault="00A31ACD" w:rsidP="00A31A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Tytuł II: GWARANCJA SWOBODY WYKONYWANIA PRAKTYK RELIGIJNYCH (art. 68-88)</w:t>
      </w:r>
    </w:p>
    <w:p w14:paraId="5A4AE87C" w14:textId="77777777" w:rsidR="00A31ACD" w:rsidRPr="00A31ACD" w:rsidRDefault="00A31ACD" w:rsidP="00A31A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Tytuł III: POSTANOWIENIA RÓŻNE (art. 89-90)</w:t>
      </w:r>
    </w:p>
    <w:p w14:paraId="06C5BFCE" w14:textId="77777777" w:rsidR="00A31ACD" w:rsidRPr="00A31ACD" w:rsidRDefault="00A31ACD" w:rsidP="00A31A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Tytuł IV: PRZEPISY ODNOSZĄCE SIĘ DO DEPARTAMENTÓW ZAMORSKICH [OUTRE-MER] (art. 91-103)</w:t>
      </w:r>
    </w:p>
    <w:p w14:paraId="6B5C04BF" w14:textId="77777777" w:rsidR="00A31ACD" w:rsidRPr="00A31ACD" w:rsidRDefault="00A31ACD" w:rsidP="00A31A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</w:rPr>
        <w:t>Tytuł I: GWARANCJA PRZESTRZEGANIA ZASAD REPUBLIKI I MINIMALNYCH WYMOGÓW ŻYCIA SPOŁECZNEGO (art. 1-67)</w:t>
      </w:r>
    </w:p>
    <w:p w14:paraId="442EF518" w14:textId="77777777" w:rsidR="00A31ACD" w:rsidRPr="00A31ACD" w:rsidRDefault="00A31ACD" w:rsidP="00A31ACD">
      <w:pPr>
        <w:spacing w:before="100" w:beforeAutospacing="1" w:after="100" w:afterAutospacing="1" w:line="240" w:lineRule="auto"/>
        <w:ind w:left="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Rozdział IV: Przepisy dotyczące zwalczania mowy nienawiści i nielegalnych treści w internecie (art. 36-48)</w:t>
      </w:r>
    </w:p>
    <w:p w14:paraId="587D6E29" w14:textId="77777777" w:rsidR="00A31ACD" w:rsidRPr="00A31ACD" w:rsidRDefault="00A31ACD" w:rsidP="00A31ACD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Artykuł 39</w:t>
      </w:r>
    </w:p>
    <w:p w14:paraId="5EF80FEE" w14:textId="77777777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W tytule I rozdział II ustawy nr 2004-575 z dnia 21 czerwca 2004 r. o zaufaniu do gospodarki cyfrowej wprowadza się następujące zmiany:</w:t>
      </w:r>
      <w:r>
        <w:rPr>
          <w:rFonts w:ascii="Times New Roman" w:hAnsi="Times New Roman"/>
          <w:sz w:val="24"/>
        </w:rPr>
        <w:br/>
        <w:t xml:space="preserve">1. W art. 6 część I ust. 8 wprowadza się następujące zmiany: </w:t>
      </w:r>
      <w:r>
        <w:rPr>
          <w:rFonts w:ascii="Times New Roman" w:hAnsi="Times New Roman"/>
          <w:sz w:val="24"/>
        </w:rPr>
        <w:br/>
        <w:t>a) Początek otrzymuje następujące brzmienie: „8. „Prezes sądu, orzekając zgodnie z procedurą przyspieszoną co do istoty sprawy, może nakazać każdej osobie, która może przyczynić się do postępowania, podjęcie wszelkich środków... (reszta pozostaje bez zmian).”;</w:t>
      </w:r>
      <w:r>
        <w:rPr>
          <w:rFonts w:ascii="Times New Roman" w:hAnsi="Times New Roman"/>
          <w:sz w:val="24"/>
        </w:rPr>
        <w:br/>
        <w:t>b) dodaje się ustęp w następującym brzmieniu:</w:t>
      </w:r>
      <w:r>
        <w:rPr>
          <w:rFonts w:ascii="Times New Roman" w:hAnsi="Times New Roman"/>
          <w:sz w:val="24"/>
        </w:rPr>
        <w:br/>
      </w:r>
      <w:bookmarkStart w:id="0" w:name="_Hlk95738328"/>
      <w:r>
        <w:rPr>
          <w:rFonts w:ascii="Times New Roman" w:hAnsi="Times New Roman"/>
          <w:sz w:val="24"/>
        </w:rPr>
        <w:t>„</w:t>
      </w:r>
      <w:bookmarkEnd w:id="0"/>
      <w:r>
        <w:rPr>
          <w:rFonts w:ascii="Times New Roman" w:hAnsi="Times New Roman"/>
          <w:sz w:val="24"/>
        </w:rPr>
        <w:t>Określa osoby lub kategorie osób, do których organ administracyjny może złożyć wniosek na warunkach określonych w art. 6 ust. 3.”;</w:t>
      </w:r>
      <w:r>
        <w:rPr>
          <w:rFonts w:ascii="Times New Roman" w:hAnsi="Times New Roman"/>
          <w:sz w:val="24"/>
        </w:rPr>
        <w:br/>
        <w:t>2. Po art. 6-2 dodaje się art. 6-3 w brzmieniu:</w:t>
      </w:r>
    </w:p>
    <w:p w14:paraId="6D881305" w14:textId="53B0D4A7" w:rsid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„Artykuł 6-3. </w:t>
      </w:r>
      <w:r w:rsidR="0072715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W przypadku gdy prawomocnym orzeczeniem sądu zasądzono środek uniemożliwiający dostęp do usługi publicznego udostępniania online, której treść wyczerpuje znamiona wykroczeń wymienionych w art. 6 ust. I pkt 7, organ administracyjny, na żądanie zainteresowanej osoby, może zażądać od osób wymienionych w art. 6 ust. I pkt 1 lub 2 lub od każdej zainteresowanej osoby lub kategorii osób, o których mowa w tym orzeczeniu sądowym, na okres nieprzekraczający okresu pozostałego do zastosowania środków nałożonych orzeczeniem sądowym, uniemożliwiały dostęp do wszelkich usług publicznego udostępniania online, które zostały uprzednio zidentyfikowane jako zawierające w całości lub w znacznej części treść tej strony.</w:t>
      </w:r>
      <w:r>
        <w:rPr>
          <w:rFonts w:ascii="Times New Roman" w:hAnsi="Times New Roman"/>
          <w:sz w:val="24"/>
        </w:rPr>
        <w:br/>
        <w:t xml:space="preserve">„Na tych samych warunkach i na ten sam okres organ administracyjny może również zwrócić się do każdego operatora usługi opartej na klasyfikacji lub odsyłaniu, za pomocą algorytmów komputerowych, treści proponowanych lub umieszczanych w Internecie przez osoby trzecie o zaprzestanie umieszczania odnośników do adresów internetowych umożliwiających publiczny dostęp do takich usług komunikacji online dla osób, o których mowa w akapicie pierwszym </w:t>
      </w:r>
      <w:r>
        <w:rPr>
          <w:rFonts w:ascii="Times New Roman" w:hAnsi="Times New Roman"/>
          <w:sz w:val="24"/>
        </w:rPr>
        <w:lastRenderedPageBreak/>
        <w:t>niniejszego artykułu.</w:t>
      </w:r>
      <w:r>
        <w:rPr>
          <w:rFonts w:ascii="Times New Roman" w:hAnsi="Times New Roman"/>
          <w:sz w:val="24"/>
        </w:rPr>
        <w:br/>
        <w:t>„Organ administracyjny aktualizuje wykaz usług łączności online, o których mowa w ustępie pierwszym niniejszego artykułu, będących przedmiotem wniosku o zablokowanie dostępu zgodnie z tym samym ustępem pierwszym, jak również adresów internetowych udostępniających takie usługi, oraz udostępnia ten wykaz reklamodawcom, ich przedstawicielom i służbom, o których mowa w art. 299 ust. II akapit 2 KP. Usługi te zostają włączone do tego wykazu na pozostały okres obowiązywania środków zarządzonych przez organ sądowy. Przez cały okres wpisu do tego wykazu reklamodawcy, ich przedstawiciele i podmioty świadczące usługi, o których mowa w art. 299 ust. II akapit 2 KP, utrzymujące stosunki handlowe, w szczególności w celu prowadzenia reklamy, z publicznymi usługami komunikacji on-line wymienionymi w tym wykazie, są zobowiązani do podawania do wiadomości publicznej na swojej stronie internetowej, przynajmniej raz w roku, istnienia tych stosunków i wymieniania ich w swoim sprawozdaniu rocznym, jeżeli są zobowiązani do jego sporządzenia.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W przypadku gdy takie usługi nie zostały zablokowane lub wstrzymane zgodnie z niniejszym artykułem, prezes sądu, orzekając zgodnie z procedurą przyspieszoną co do istoty sprawy, może zarządzić każdy środek mający na celu zakończenie dostępu do treści tych usług</w:t>
      </w:r>
      <w:r w:rsidR="0072715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”</w:t>
      </w:r>
    </w:p>
    <w:p w14:paraId="184EA6CC" w14:textId="77777777" w:rsidR="00E7401A" w:rsidRPr="00A31ACD" w:rsidRDefault="00E7401A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(…)</w:t>
      </w:r>
    </w:p>
    <w:p w14:paraId="1C619CE1" w14:textId="77777777" w:rsidR="00A31ACD" w:rsidRPr="00A31ACD" w:rsidRDefault="00A31ACD" w:rsidP="00A31ACD">
      <w:pPr>
        <w:spacing w:before="100" w:beforeAutospacing="1" w:after="100" w:afterAutospacing="1" w:line="240" w:lineRule="auto"/>
        <w:ind w:left="10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Artykuł 42</w:t>
      </w:r>
    </w:p>
    <w:p w14:paraId="67CC2320" w14:textId="07D5E5E0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I. </w:t>
      </w:r>
      <w:r w:rsidR="0072715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W tytule I rozdział II ustawy nr 2004-575 z dnia 21 czerwca 2004 r. o zaufaniu do gospodarki cyfrowej wprowadza się następujące zmiany:</w:t>
      </w:r>
      <w:r>
        <w:rPr>
          <w:rFonts w:ascii="Times New Roman" w:hAnsi="Times New Roman"/>
          <w:sz w:val="24"/>
        </w:rPr>
        <w:br/>
        <w:t>1. W art. 6 ust. I pkt 7 ppkt 4 wprowadza się następujące zmiany:</w:t>
      </w:r>
      <w:r>
        <w:rPr>
          <w:rFonts w:ascii="Times New Roman" w:hAnsi="Times New Roman"/>
          <w:sz w:val="24"/>
        </w:rPr>
        <w:br/>
        <w:t>a) zdanie pierwsze uzupełnia się słowami: „i podać do wiadomości publicznej środki przeznaczone na walkę z nielegalną działalnością, o której mowa w trzecim akapicie pkt. 7”;</w:t>
      </w:r>
      <w:r>
        <w:rPr>
          <w:rFonts w:ascii="Times New Roman" w:hAnsi="Times New Roman"/>
          <w:sz w:val="24"/>
        </w:rPr>
        <w:br/>
        <w:t>b) po tym samym zdaniu pierwszym dodaje się zdanie w brzmieniu: „Obowiązki te nie mają zastosowania do podmiotów, o których mowa w art. 6-4 akapit pierwszy, w celu zwalczania rozpowszechniania treści, o których mowa w tym samym akapicie.”;</w:t>
      </w:r>
      <w:r>
        <w:rPr>
          <w:rFonts w:ascii="Times New Roman" w:hAnsi="Times New Roman"/>
          <w:sz w:val="24"/>
        </w:rPr>
        <w:br/>
        <w:t>c) W drugim zdaniu wprowadza się następujące zmiany:</w:t>
      </w:r>
    </w:p>
    <w:p w14:paraId="1D6C7618" w14:textId="3CA77FD0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72715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na początku wyraz: „Oni” zastępuje się wyrazami: „Osoby, o których mowa w pkt 1 i 2 w tym samym paragrafie”;</w:t>
      </w:r>
      <w:r>
        <w:rPr>
          <w:rFonts w:ascii="Times New Roman" w:hAnsi="Times New Roman"/>
          <w:sz w:val="24"/>
        </w:rPr>
        <w:br/>
      </w:r>
      <w:r w:rsidR="0072715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skreśla się wyrazy: „z jednej strony”;</w:t>
      </w:r>
      <w:r>
        <w:rPr>
          <w:rFonts w:ascii="Times New Roman" w:hAnsi="Times New Roman"/>
          <w:sz w:val="24"/>
        </w:rPr>
        <w:br/>
      </w:r>
      <w:r w:rsidR="0072715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wyrazy: „z poprzedniego akapitu” zastępuje się wyrazami: „w akapicie trzecim artykułu 7”;</w:t>
      </w:r>
      <w:r>
        <w:rPr>
          <w:rFonts w:ascii="Times New Roman" w:hAnsi="Times New Roman"/>
          <w:sz w:val="24"/>
        </w:rPr>
        <w:br/>
      </w:r>
      <w:r w:rsidR="0072715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po wyrazie: „usługi”, skreśla się pozostałą część zdania;</w:t>
      </w:r>
    </w:p>
    <w:p w14:paraId="64FB26AC" w14:textId="77777777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2. Po art. 6-4 dodaje się art. 6-2 w brzmieniu:</w:t>
      </w:r>
    </w:p>
    <w:p w14:paraId="120777EB" w14:textId="0E8D3323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„Artykuł 6-4. - I. - Operatorzy platform internetowych określonych w art. L111-7 </w:t>
      </w:r>
      <w:r>
        <w:rPr>
          <w:rFonts w:ascii="Times New Roman" w:hAnsi="Times New Roman"/>
          <w:sz w:val="24"/>
        </w:rPr>
        <w:lastRenderedPageBreak/>
        <w:t>kodeksu konsumenta, którzy oferują usługę komunikacyjną online opartą na klasyfikacji, odsyłaniu lub udostępnianiu treści umieszczonych w internecie przez osoby trzecie, których działalność na terytorium Francji przekracza próg liczby połączeń określonej w dekrecie, niezależnie od tego, czy mają siedzibę na terytorium Francji, przyczyniają się do zwalczania publicznego rozpowszechniania treści sprzecznych z przepisami art. 6 ust. I pkt 7 niniejszej ustawy oraz art. 24a oraz art. 33 akapity trzeci i czwarty ustawy z dnia 29 lipca 1881 r. o wolności prasy. W związku z tym: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1. Wdrażają odpowiednie procedury oraz zasoby ludzkie i technologiczne, które umożliwią im:</w:t>
      </w:r>
      <w:r>
        <w:rPr>
          <w:rFonts w:ascii="Times New Roman" w:hAnsi="Times New Roman"/>
          <w:sz w:val="24"/>
        </w:rPr>
        <w:br/>
        <w:t>„a) jak najszybsze poinformowanie organów sądowych lub administracyjnych o działaniach podjętych w wyniku nakazów wydanych przez te organy dotyczących treści, o których mowa w pierwszym akapicie niniejszego paragrafu I;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b) niezwłoczne potwierdzenie bezpiecznego otrzymania wniosków od organów sądowych lub administracyjnych o przekazanie danych, którymi dysponują, w celu umożliwienia identyfikacji użytkowników, którzy udostępnili treści, o których mowa w tym samym akapicie pierwszym, oraz jak najszybsze poinformowanie tych organów o działaniach podjętych w następstwie takich wniosków;</w:t>
      </w:r>
      <w:r>
        <w:rPr>
          <w:rFonts w:ascii="Times New Roman" w:hAnsi="Times New Roman"/>
          <w:sz w:val="24"/>
        </w:rPr>
        <w:br/>
        <w:t>„c) W przypadku gdy zajmują się one przechowywaniem treści, tymczasowe wstrzymanie treści, które zostały im zgłoszone jako sprzeczne z przepisami, o których mowa w akapicie pierwszym i które wycofały lub stały się niedostępne, w celu udostępnienia ich organom prawnym do celów dochodzenia, identyfikacji i ścigania przestępstw; czas trwania i warunki zachowania tej treści określa się w drodze dekretu Rady Stanu, po uzyskaniu opinii krajowej Komisji ds. Technologii Informatycznych i Wolności;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2. Wyznaczają pojedynczy punkt kontaktowy – osobę fizyczną odpowiedzialną za komunikowanie się z władzami publicznymi w celu wykonania niniejszego artykułu, do której w szczególności można kierować wszelkie wnioski złożone przez Wysoka Radę Do Spraw Audiowizualnych zgodnie z art. 62 ustawy nr 86-1067 z dnia 30 września 1986 r. o swobodzie komunikacji drogą elektroniczną. Ten pojedynczy punkt kontaktowy odpowiada w szczególności za przyjmowanie wniosków kierowanych do operatora przez organ sądowy zgodnie z procedurą określoną w art. 6 ust. II niniejszej ustawy, w celu zapewnienia ich szybkiego rozpatrzenia;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3. Udostępniają ogółowi społeczeństwa w przystępny sposób ogólne warunki korzystania z oferowanej przez siebie usługi; zamieszczają w nich przepisy zakazujące publikowania w internecie nielegalnych treści, o których mowa w akapicie pierwszym niniejszego paragrafu I; w sposób jasny i precyzyjny opisują swoje rozwiązania z zakresu moderowania, które służą wykrywaniu oraz, w stosownych przypadkach, identyfikacji i przetwarzaniu takich treści, z wyszczególnieniem procedur i wykorzystywanych w tym celu zasobów ludzkich lub zautomatyzowanych rozwiązań, a wdrażane przez nie środki wpływają na dostępność, widoczność i możliwość dotarcia do takich treści; wskazują środki stosowane wobec użytkowników, którzy udostępnili te treści w internecie, a także krajowe i prawne środki odwoławcze dostępne dla takich użytkowników;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 xml:space="preserve">4. Informują opinię publiczną o stosowanych środkach i działaniach przyjętych w celu zwalczania rozpowszechniania wśród użytkowników znajdujących się na terytorium Francji bezprawnie treści, o których mowa w akapicie pierwszym pkt I, poprzez publikację, zgodnie z procedurami i w odstępach czasu ustalonych przez Wysoką Radę ds. Audiowizualnych, informacji i wskaźników ilościowych, </w:t>
      </w:r>
      <w:r>
        <w:rPr>
          <w:rFonts w:ascii="Times New Roman" w:hAnsi="Times New Roman"/>
          <w:sz w:val="24"/>
        </w:rPr>
        <w:lastRenderedPageBreak/>
        <w:t>określonych przez te ostatnie, odnoszących się w szczególności do rozpatrywania nakazów lub wniosków o udzielenie informacji pochodzących od organów sądowych lub administracyjnych, otrzymanych powiadomień i wyboru środków odwoławczych, jak również, w stosownym przypadku, kryteriów wyboru zaufanych stron trzecich, których powiadomienia są traktowane priorytetowo, oraz warunków współpracy z tymi stronami trzecimi;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5. Wprowadzają łatwo dostępną i łatwą w użyciu procedurę, która umożliwi każdej osobie zgłaszanie drogą elektroniczną, z podaniem elementów wymienionych w art. 6 ust. I pkt 5, wszelkich treści uznanych za sprzeczne z przepisami wymienionymi w akapicie pierwszym pkt I;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6. Zapewniają one priorytetowe traktowanie powiadomień dotyczących treści sprzecznych z prawem, o których mowa w akapicie pierwszym niniejszego artykułu, składanych przez podmioty uznawane przez nie za zaufane strony trzecie.</w:t>
      </w:r>
      <w:r>
        <w:rPr>
          <w:rFonts w:ascii="Times New Roman" w:hAnsi="Times New Roman"/>
          <w:sz w:val="24"/>
        </w:rPr>
        <w:br/>
        <w:t>„Status zaufanych osób trzecich przyznaje się, zgodnie z ustaleniami Wysokiej Rady ds. Audiowizualnych na przejrzystych i niedyskryminacyjnych warunkach i na wniosek podmiotów, które posiadają szczególną wiedzę fachową i kompetencje w zakresie wykrywania, identyfikacji i zgłaszania nielegalnych treści, o których mowa w akapicie pierwszym, które reprezentują interesy zbiorowe i które dają gwarancje staranności i obiektywności;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7. Wdrażają proporcjonalne ludzkie i technologiczne procedury i środki umożliwiające im: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a) niezwłoczne potwierdzenie bezpiecznego otrzymania powiadomień dotyczących nielegalnych treści, o których mowa w akapicie pierwszym paragrafu I, z zastrzeżeniem informacji niezbędnych do skontaktowania się z autorem;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b) zapewnienie odpowiedniej analizy tych powiadomień w odpowiednim czasie;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c) powiadomienie autora o podjętych działaniach oraz o dostępnych krajowych i prawnych środkach odwoławczych, z zastrzeżeniem posiadania niezbędnych informacji, aby się z nimi skontaktować;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d) poinformowanie użytkownika o pochodzeniu publikacji, pod warunkiem posiadania niezbędnych informacji umożliwiających skontaktowanie się z nim, jeżeli zostanie podjęta decyzja o usunięciu treści lub uniemożliwieniu dostępu do nich ze względu na nieprzestrzeganie postanowień, o których mowa w akapicie pierwszym, przy czym należy:</w:t>
      </w:r>
    </w:p>
    <w:p w14:paraId="43902745" w14:textId="61829734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 w:rsidR="0072715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wskazać przyczyny takiej decyzji;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 w:rsidR="0072715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określić, czy decyzja ta została podjęta za pomocą zautomatyzowanego narzędzia;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 w:rsidR="0072715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poinformować o dostępnych krajowych środkach odwoławczych;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 w:rsidR="0072715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oraz poinformować, że za publikację treści niezgodnych z prawem grożą sankcje cywilne i karne.</w:t>
      </w:r>
    </w:p>
    <w:p w14:paraId="0C3F650D" w14:textId="66DE6FBB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„Niniejszej litery d nie stosuje się na wniosek organu publicznego ze względów porządku publicznego lub w celu zapobiegania przestępstwom, ich wykrywania, prowadzenia dochodzeń w ich sprawie i ich ścigania;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8. Wdrażają wewnętrzne środki zaradcze umożliwiające: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a)  zaskarżenie przez autora powiadomienia o nielegalnej treści, o której mowa w akapicie pierwszym paragrafu I, decyzji podjętej przez operatora w odpowiedzi na otrzymane powiadomienie;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lastRenderedPageBreak/>
        <w:t>„</w:t>
      </w:r>
      <w:r>
        <w:rPr>
          <w:rFonts w:ascii="Times New Roman" w:hAnsi="Times New Roman"/>
          <w:sz w:val="24"/>
        </w:rPr>
        <w:t>b) zaskarżenie decyzji przez użytkownika, który jest autorem opublikowanych treści będących przedmiotem decyzji, o której mowa w pkt 7 lit. d);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c) zaskarżenie decyzji przez użytkownika, którego dotyczy decyzja określona w pkt. 9 lit. a) lub b).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Zapewniają, aby systemy te były łatwo dostępne i łatwe w użyciu oraz aby umożliwiały właściwe i szybkie rozpatrywanie odwołań, które nie opierają się wyłącznie na wykorzystaniu zautomatyzowanych środków, bezzwłoczne informując użytkownika o podjętej decyzji i niezwłocznie uchylając środki odnoszące się do danej treści lub użytkownika wdrożone przez operatora, jeżeli w wyniku odwołania uzna on, że zaskarżona decyzja nie była uzasadniona;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9. Decydując się na wdrożenie takich procedur, określają w warunkach użytkowania, w sposób jasny i precyzyjny, procedury prowadzące do: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a) zawieszenia lub, w najpoważniejszych przypadkach, usunięcia kont użytkowników, którzy wielokrotnie zamieszczali treści niezgodne z przepisami, o których mowa w akapicie pierwszym niniejszego artykułu;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b) zawieszenia dostępu do mechanizmu powiadamiania użytkowników, którzy wielokrotnie składali oczywiście nieuzasadnione powiadomienia dotyczące treści, o których mowa w tym samym akapicie pierwszym.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W przypadku gdy takie procedury są wdrażane, przeprowadza się analizę poszczególnych przypadków mającą na celu obiektywną charakterystykę zachowania, o którym mowa w lit. a) lub b) pkt. 9, biorąc pod uwagę w szczególności:</w:t>
      </w:r>
    </w:p>
    <w:p w14:paraId="7714552C" w14:textId="1F99DA0C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 w:rsidR="0072715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ilość nielegalnych treści, o których mowa w akapicie pierwszym niniejszego artykułu, lub liczbę oczywiście nieuzasadnionych powiadomień pochodzących od użytkownika w ubiegłym roku, zarówno w wartościach bezwzględnych, jak i proporcjonalnie do całkowitej ilości treści lub liczby powiadomień, za które był on odpowiedzialny;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 w:rsidR="0072715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oraz powagę i konsekwencje tych nadużyć.</w:t>
      </w:r>
    </w:p>
    <w:p w14:paraId="621474B0" w14:textId="27A3653C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Procedury te przewidują, że środki, o których mowa w ust. 9 lit. a) i b), ze względu na ich charakter, są proporcjonalne do wagi danego postępowania oraz, w przypadku zawieszenia, że są one orzekane na rozsądny okres. Użytkownik otrzymuje ostrzeżenie wraz z informacją na temat dostępnych krajowych i sądowych środków odwoławczych.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II. - Operatorzy, o których mowa w akapicie pierwszym paragrafu I, prowadzący działalność na terytorium Francji, którzy przekraczają limit liczby połączeń określony dekretem i które są wyższe niż wymienione w tym samym akapicie pierwszym mają obowiązek: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1. Przeprowadzać raz w roku ocenę ryzyka systemowego związanego z funkcjonowaniem i korzystaniem z ich usług w odniesieniu do rozpowszechniania treści, o których mowa w akapicie pierwszym, oraz do naruszeń praw podstawowych, w tym wolności wypowiedzi. Ocena ta uwzględnia cechy charakterystyczne tych usług, w szczególności ich wpływ na wirusowe rozprzestrzenianie się lub masowe rozpowszechnianie wyżej wymienionych treści;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 xml:space="preserve">2. Wdrażać racjonalne, skuteczne i proporcjonalne środki, w szczególności w odniesieniu do cech ich usług oraz skali i stopnia ryzyka zidentyfikowanego na końcu oceny, o której mowa w art. 2 ust. 1, mające na celu złagodzenie ryzyka </w:t>
      </w:r>
      <w:r>
        <w:rPr>
          <w:rFonts w:ascii="Times New Roman" w:hAnsi="Times New Roman"/>
          <w:sz w:val="24"/>
        </w:rPr>
        <w:lastRenderedPageBreak/>
        <w:t>rozpowszechniania takich treści, które może w szczególności odnosić się do procedur oraz zasobów ludzkich i technologicznych wykorzystywanych do wykrywania, identyfikowania i przetwarzania takich treści, przy jednoczesnym zapobieganiu ryzyku nieuzasadnionej eliminacji na mocy obowiązującego prawa i korzystania z tych usług;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3. Podawać do publicznej wiadomości, zgodnie z procedurami i w odstępach czasu ustalonych przez Wysoką Radę do Spraw Audiowizualnych, ocenę tych zagrożeń systemowych oraz wdrożonych środków ograniczających ryzyko.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III. - Podmioty, o których mowa w akapicie pierwszym paragrafu I, składają Wysokiej Radzie ds. Audiowizualnych sprawozdania dotyczące procedur i środków stosowanych w celu wdrożenia niniejszego artykułu, na warunkach określonych w art. 62 ustawy nr 86-1067 z dnia 30 września 1986 r., o której mowa powyżej.</w:t>
      </w:r>
    </w:p>
    <w:p w14:paraId="45CD7FF2" w14:textId="654B0DC4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727152">
        <w:rPr>
          <w:rFonts w:ascii="Times New Roman" w:hAnsi="Times New Roman"/>
          <w:sz w:val="24"/>
        </w:rPr>
        <w:t>II. -</w:t>
      </w:r>
      <w:r>
        <w:rPr>
          <w:rFonts w:ascii="Times New Roman" w:hAnsi="Times New Roman"/>
          <w:sz w:val="24"/>
        </w:rPr>
        <w:t xml:space="preserve"> W ustawie nr 86-1067 z dnia 30 września 1986 r. o wolności komunikacji społecznej wprowadza się następujące zmiany:</w:t>
      </w:r>
      <w:r>
        <w:rPr>
          <w:rFonts w:ascii="Times New Roman" w:hAnsi="Times New Roman"/>
          <w:sz w:val="24"/>
        </w:rPr>
        <w:br/>
        <w:t>1. W art. 19 ust. I pkt 1 akapit trzeci wyrazy: „a także platformy udostępniania plików wideo” zastępuje się wyrazami: „platformy udostępniania plików wideo, jak również operatorzy platform internetowych, o których mowa w art. 62”;</w:t>
      </w:r>
      <w:r>
        <w:rPr>
          <w:rFonts w:ascii="Times New Roman" w:hAnsi="Times New Roman"/>
          <w:sz w:val="24"/>
        </w:rPr>
        <w:br/>
        <w:t>2. W art. 42-7 w akapicie pierwszym odniesienie: „i 48-3” zastępuje się odniesieniami: „, 48-3 i 62”;</w:t>
      </w:r>
      <w:r>
        <w:rPr>
          <w:rFonts w:ascii="Times New Roman" w:hAnsi="Times New Roman"/>
          <w:sz w:val="24"/>
        </w:rPr>
        <w:br/>
        <w:t>3. Tytuł IV uzupełnia się rozdziałem III, który otrzymuje brzmienie:</w:t>
      </w:r>
    </w:p>
    <w:p w14:paraId="77B231FD" w14:textId="090AF903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„ROZDZIAŁ III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Przepisy mające zastosowanie do platform internetowych w celu zwalczania treści nawołujących do nienawiści</w:t>
      </w:r>
    </w:p>
    <w:p w14:paraId="0A34B744" w14:textId="3B606D2B" w:rsidR="00A31ACD" w:rsidRP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„Art. 62. - I. - Wysoka Rada do Spraw Audiowizualnych czuwa nad tym, by operatorzy platform internetowych, o których mowa w art. 6-4 ust. 1 w akapicie pierwszym ustawy nr 2004-575 z dnia 21 czerwca 2004 r. o zaufaniu społecznym do gospodarki cyfrowej, przestrzegali przepisów tegoż art. 6-4, uwzględniając w odniesieniu do każdej oferowanej przez nich usługi cechy charakterystyczne usługi i adekwatność środków stosowanych przez operatora w odniesieniu do, w szczególności, zakresu i stopnia ryzyka rozpowszechniania w tej usłudze treści, o których mowa w pierwszym akapicie artykułu 6-4 ust. 1, oraz ryzyka nieuzasadnionej eliminacji na mocy obowiązującego prawa i warunków użytkowania. Dostarcza tym operatorom platform wytyczne dotyczące stosowania tego samego art. 6-4.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 xml:space="preserve">Wysoka Rada ds. Audiowizualnych zbiera od takich podmiotów, na warunkach określonych w art. 19 niniejszej ustawy, informacje niezbędne do monitorowania ich zobowiązań. W związku z tym podmioty, o których mowa w art. 6-4 ust. 2 powyższej ustawy nr 2004-575 z dnia 21 czerwca 2004 r., zapewniają dostęp do zasad działania zautomatyzowanych narzędzi stosowanych w celu wypełnienia tych zobowiązań, do parametrów wykorzystywanych przez te narzędzia, do metod i danych wykorzystywanych do oceny i poprawy ich działania, a także do wszelkich innych informacji lub danych umożliwiających ocenę ich skuteczności, zgodnie z przepisami dotyczącymi ochrony danych osobowych. Zgodnie z tymi </w:t>
      </w:r>
      <w:r>
        <w:rPr>
          <w:rFonts w:ascii="Times New Roman" w:hAnsi="Times New Roman"/>
          <w:sz w:val="24"/>
        </w:rPr>
        <w:lastRenderedPageBreak/>
        <w:t>przepisami Rada może przekazywać proporcjonalne wnioski o dostęp do wszelkich danych istotnych dla oceny ich skuteczności za pośrednictwem specjalnych interfejsów programowych. Zgodnie z tymi przepisami i w tych samych celach może wdrożyć proporcjonalne metody automatycznego gromadzenia publicznie dostępnych danych w celu uzyskania dostępu do niezbędnych danych w tym, gdy dostęp do takich danych wymaga zalogowania się na konto.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Określa informacje i wskaźniki ilościowe, które podmioty te mają obowiązek publikować zgodnie z art. 6-4 ust. 1 i 4, jak również zasady i częstotliwość takiej publikacji.</w:t>
      </w:r>
      <w:r>
        <w:rPr>
          <w:rFonts w:ascii="Times New Roman" w:hAnsi="Times New Roman"/>
          <w:sz w:val="24"/>
        </w:rPr>
        <w:br/>
        <w:t>Publikuje corocznie przegląd stosowania przepisów art. 6-4.</w:t>
      </w:r>
      <w:r>
        <w:rPr>
          <w:rFonts w:ascii="Times New Roman" w:hAnsi="Times New Roman"/>
          <w:sz w:val="24"/>
        </w:rPr>
        <w:br/>
        <w:t>„II. Wysoka Rada ds. Audiowizualnych zachęca operatorów platform internetowych, o których mowa w art. 6-4 ust. I akapit pierwszy ww. ustawy nr 2004-575 z dnia 21 czerwca 2004 r., do wdrożenia:</w:t>
      </w:r>
      <w:r>
        <w:rPr>
          <w:rFonts w:ascii="Times New Roman" w:hAnsi="Times New Roman"/>
          <w:sz w:val="24"/>
        </w:rPr>
        <w:br/>
        <w:t>„1. Narzędzia współpracy i wymiany informacji między operatorami platform, w otwartym formacie zgodnym z jej zaleceniami, w celu zwalczania naruszeń, o których mowa w art. 6-4;</w:t>
      </w:r>
      <w:r>
        <w:rPr>
          <w:rFonts w:ascii="Times New Roman" w:hAnsi="Times New Roman"/>
          <w:sz w:val="24"/>
        </w:rPr>
        <w:br/>
        <w:t>„2. Proporcjonalne urządzenia techniczne umożliwiające, w oczekiwaniu na przetworzenie powiadomienia o treści, o którym mowa w art. 6-4, ograniczenie udostępniania tej treści i narażenia na nią opinii publicznej;</w:t>
      </w:r>
      <w:r>
        <w:rPr>
          <w:rFonts w:ascii="Times New Roman" w:hAnsi="Times New Roman"/>
          <w:sz w:val="24"/>
        </w:rPr>
        <w:br/>
        <w:t>„3. Wspólne normy techniczne dotyczące interoperacyjności między internetowymi publicznymi usługami łączności, zgodnie z aktualnym stanem wiedzy, które są udokumentowane i stabilne, w celu ułatwienia użytkownikom swobodnego wyboru między różnymi platformami.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 xml:space="preserve">III. </w:t>
      </w:r>
      <w:r w:rsidR="0072715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Wysoka Rada ds. Audiowizualnych może wezwać podmiot do zastosowania się w wyznaczonym przez nią terminie do przepisów art. 6-4 ustawy nr 2004-575 z dnia 21 czerwca 2004 r. oraz do udzielenia odpowiedzi na wnioski o udzielenie informacji przesłane jej zgodnie z akapitem drugim pkt I tego artykułu.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W przypadku gdy operator nie zastosuje się do otrzymanego zawiadomienia, Wysoka Rada ds. Audiowizualnych może, na warunkach określonych w art. 42-7 niniejszej ustawy, nałożyć grzywnę, której wysokość uwzględnia wagę naruszenia oraz, w stosownych przypadkach, jego powtarzający się charakter, nieprzekraczającą 20 mln EUR lub 6 % całkowitego rocznego obrotu uzyskanego w poprzednim roku, w zależności od tego, która z tych kwot jest wyższa. Jeżeli za to samo przewinienie w innym państwie nałożono karę finansową obliczoną na tej samej podstawie, kwotę tej kary uwzględnia się przy ustalaniu kary nałożonej na mocy niniejszego ustępu.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W drodze odstępstwa od akapitu drugiego niniejszego punktu III, w przypadku odmowy ujawnienia informacji wymaganych przez organ regulacyjny na mocy akapitu drugiego pkt I lub w przypadku przekazania nieprawdziwych lub wprowadzających w błąd informacji, wysokość nałożonej kary nie może przekroczyć 1% całkowitego rocznego światowego obrotu z poprzedniego roku budżetowego.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Wysoka Rada do Spraw Audiowizualnych może podawać do wiadomości publicznej informacje o zawiadomieniach i nałożonych sankcjach. W swojej decyzji określa ona szczegóły takiej publikacji, które są proporcjonalne do wagi przewinienia. Może również nakazać zamieszczenie informacji o swojej decyzji w wyznaczonych publikacjach, gazetach i środkach masowego przekazu na koszt podmiotów podlegających formalnemu wezwaniu lub sankcjom.</w:t>
      </w:r>
      <w:r>
        <w:rPr>
          <w:rFonts w:ascii="Times New Roman" w:hAnsi="Times New Roman"/>
          <w:sz w:val="24"/>
        </w:rPr>
        <w:br/>
      </w:r>
      <w:r w:rsidR="00727152" w:rsidRPr="00727152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Grzywny są pobierane jako zobowiązania nieopodatkowane i niemajątkowe należności wobec państwa.</w:t>
      </w:r>
      <w:r w:rsidR="00727152" w:rsidRPr="00727152">
        <w:rPr>
          <w:rFonts w:ascii="Times New Roman" w:hAnsi="Times New Roman"/>
          <w:sz w:val="24"/>
        </w:rPr>
        <w:t>”</w:t>
      </w:r>
      <w:r w:rsidR="00727152">
        <w:rPr>
          <w:rFonts w:ascii="Times New Roman" w:hAnsi="Times New Roman"/>
          <w:sz w:val="24"/>
        </w:rPr>
        <w:t>;</w:t>
      </w:r>
    </w:p>
    <w:p w14:paraId="23676506" w14:textId="4EEA99B1" w:rsidR="00A31ACD" w:rsidRDefault="00A31ACD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4° Art. 108 akapit pierwszy po wyrazie: „wynikający” otrzymuje brzmienie: „z ustawy nr 2021-1109 z dnia 24 sierpnia 2021 r. o wzmocnieniu poszanowania zasad Republiki”.</w:t>
      </w:r>
      <w:r>
        <w:rPr>
          <w:rFonts w:ascii="Times New Roman" w:hAnsi="Times New Roman"/>
          <w:sz w:val="24"/>
        </w:rPr>
        <w:br/>
        <w:t xml:space="preserve">III. </w:t>
      </w:r>
      <w:r w:rsidR="0072715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A. </w:t>
      </w:r>
      <w:r w:rsidR="0072715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Niniejszy artykuł stosuje się do dnia 31 grudnia 2023 r.</w:t>
      </w:r>
      <w:r>
        <w:rPr>
          <w:rFonts w:ascii="Times New Roman" w:hAnsi="Times New Roman"/>
          <w:sz w:val="24"/>
        </w:rPr>
        <w:br/>
        <w:t xml:space="preserve">B. </w:t>
      </w:r>
      <w:r w:rsidR="0072715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Na zasadzie odstępstwa od części A niniejszego artykułu nie stosuje się od dnia 7 czerwca 2022 r. do zwalczania publicznego rozpowszechniania treści o charakterze terrorystycznym w rozumieniu art. 7 ust. 2 rozporządzenia Parlamentu Europejskiego i Rady (UE) 2021/784 z dnia 29 kwietnia 2021 r. w sprawie przeciwdziałania rozpowszechnianiu w internecie treści o charakterze terrorystycznym.</w:t>
      </w:r>
    </w:p>
    <w:p w14:paraId="509B6F4B" w14:textId="77777777" w:rsidR="0067021E" w:rsidRPr="00A31ACD" w:rsidRDefault="0067021E" w:rsidP="00A31AC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(…).</w:t>
      </w:r>
    </w:p>
    <w:sectPr w:rsidR="0067021E" w:rsidRPr="00A31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65DF"/>
    <w:multiLevelType w:val="multilevel"/>
    <w:tmpl w:val="D38E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2D0DDE"/>
    <w:multiLevelType w:val="multilevel"/>
    <w:tmpl w:val="3BE0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5AA"/>
    <w:rsid w:val="000034C9"/>
    <w:rsid w:val="00054B06"/>
    <w:rsid w:val="000D276F"/>
    <w:rsid w:val="001B29CB"/>
    <w:rsid w:val="002225AA"/>
    <w:rsid w:val="0067021E"/>
    <w:rsid w:val="00727152"/>
    <w:rsid w:val="00897AF7"/>
    <w:rsid w:val="00A31ACD"/>
    <w:rsid w:val="00C95584"/>
    <w:rsid w:val="00D4016E"/>
    <w:rsid w:val="00E7401A"/>
    <w:rsid w:val="00FD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7750"/>
  <w15:chartTrackingRefBased/>
  <w15:docId w15:val="{EEF3F0B8-4A83-4913-98D1-0C41ED59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2305</Words>
  <Characters>19206</Characters>
  <Application>Microsoft Office Word</Application>
  <DocSecurity>0</DocSecurity>
  <Lines>391</Lines>
  <Paragraphs>188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21323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Ines Varvodic</cp:lastModifiedBy>
  <cp:revision>2</cp:revision>
  <dcterms:created xsi:type="dcterms:W3CDTF">2022-02-14T12:42:00Z</dcterms:created>
  <dcterms:modified xsi:type="dcterms:W3CDTF">2022-02-14T12:42:00Z</dcterms:modified>
</cp:coreProperties>
</file>