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Proyecto de Ley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«Modificaciones de la Ley de protección animal»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 N.º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La Ley de protección animal [</w:t>
      </w:r>
      <w:r>
        <w:rPr>
          <w:sz w:val="24"/>
          <w:i/>
        </w:rPr>
        <w:t xml:space="preserve">Latvijas Republikas Saeimas un Ministru Kabineta Ziñaotājs</w:t>
      </w:r>
      <w:r>
        <w:rPr>
          <w:sz w:val="24"/>
        </w:rPr>
        <w:t xml:space="preserve"> (Reportero de la Saeima y el Gabinete de Ministros de la República de Letonia), 2000, n.º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n.º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 6, 16, 2005, n.º 10, 2007, n.º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n.º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n.º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(Boletín Oficial), 2010, n.º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n.º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n.º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n.º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n.º 248A] se modifica como sigue: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En el artículo 10, apartado 10, se suprimen las palabras «granjas de animales de peletería».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capítulo II se completa con el artículo 13 </w:t>
      </w:r>
      <w:r>
        <w:rPr>
          <w:sz w:val="24"/>
          <w:i/>
          <w:iCs/>
          <w:rFonts w:ascii="Times New Roman" w:hAnsi="Times New Roman"/>
        </w:rPr>
        <w:t xml:space="preserve">bis</w:t>
      </w:r>
      <w:r>
        <w:rPr>
          <w:sz w:val="24"/>
          <w:rFonts w:ascii="Times New Roman" w:hAnsi="Times New Roman"/>
        </w:rPr>
        <w:t xml:space="preserve"> con la siguiente redacción: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«</w:t>
      </w:r>
      <w:r>
        <w:rPr>
          <w:sz w:val="24"/>
          <w:b/>
          <w:rFonts w:ascii="Times New Roman" w:hAnsi="Times New Roman"/>
        </w:rPr>
        <w:t xml:space="preserve">Artículo 13 </w:t>
      </w:r>
      <w:r>
        <w:rPr>
          <w:sz w:val="24"/>
          <w:b/>
          <w:i/>
          <w:iCs/>
          <w:rFonts w:ascii="Times New Roman" w:hAnsi="Times New Roman"/>
        </w:rPr>
        <w:t xml:space="preserve">bis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 prohibirá la reproducción y el mantenimiento de animales de granja si el único o principal objetivo de la cría o de la tenencia es la producción de pieles».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Las disposiciones transitorias se completan con el artículo 22 con el siguiente tenor: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«22.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artículo 13 </w:t>
      </w:r>
      <w:r>
        <w:rPr>
          <w:sz w:val="24"/>
          <w:i/>
          <w:iCs/>
          <w:rFonts w:ascii="Times New Roman" w:hAnsi="Times New Roman"/>
        </w:rPr>
        <w:t xml:space="preserve">bis</w:t>
      </w:r>
      <w:r>
        <w:rPr>
          <w:sz w:val="24"/>
          <w:rFonts w:ascii="Times New Roman" w:hAnsi="Times New Roman"/>
        </w:rPr>
        <w:t xml:space="preserve"> entrará en vigor el 1 de enero de 2028».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