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Belgické kráľovstvo</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FEDERÁLNA VEREJNÁ SLUŽBA PRE ZDRAVIE, BEZPEČNOSŤ POTRAVINOVÉHO REŤAZCA A ŽIVOTNÉ PROSTREDIE</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Kráľovský dekrét, ktorým sa mení kráľovský dekrét z 28. októbra 2016 o výrobe a uvádzaní elektronických cigariet na trh</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FILIP, kráľ Belgičanov,</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Na vedomie všetkým, ktorých sa to týka,</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so zreteľom na zákon z 24. januára 1977 o ochrane zdravia spotrebiteľov, pokiaľ ide o potraviny a iné výrobky, najmä na jeho článok 6 § 1 písm. a), zmenený zákonom z 22. marca 1989, článok 10 ods. 1, nahradený zákonom z 9. februára 1994, a článok 10 ods. 3, nahradený zákonom z 10. apríla 2014, a článok 18 § 1, nahradený zákonom z 22. marca 1989 a zmenený zákonom z 22. decembra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so zreteľom na kráľovský dekrét , ktorým sa mení kráľovský dekrét z 28. októbra 2016 o výrobe a uvádzaní elektronických cigariet na trh;</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so zreteľom na stanovisko finančného inšpektora vydané dňa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so zreteľom na stanovisko Štátnej rady </w:t>
            </w:r>
            <w:r>
              <w:rPr>
                <w:sz w:val="22"/>
                <w:highlight w:val="yellow"/>
                <w:highlight w:val="yellow"/>
                <w:rFonts w:ascii="Garamond" w:hAnsi="Garamond"/>
              </w:rPr>
              <w:t xml:space="preserve">…</w:t>
            </w:r>
            <w:r>
              <w:rPr>
                <w:sz w:val="22"/>
                <w:rFonts w:ascii="Garamond" w:hAnsi="Garamond"/>
              </w:rPr>
              <w:t xml:space="preserve"> vydané </w:t>
            </w:r>
            <w:r>
              <w:rPr>
                <w:sz w:val="22"/>
                <w:highlight w:val="yellow"/>
                <w:rFonts w:ascii="Garamond" w:hAnsi="Garamond"/>
              </w:rPr>
              <w:t xml:space="preserve">XX</w:t>
            </w:r>
            <w:r>
              <w:rPr>
                <w:sz w:val="22"/>
                <w:rFonts w:ascii="Garamond" w:hAnsi="Garamond"/>
              </w:rPr>
              <w:t xml:space="preserve"> podľa článku 84 § 1 ods. 1 bodu 2 zákonov o Štátnej rade zosúladených 12. januára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na návrh ministra hospodárstva, ministra zdravotníctva a ministra pre malé a stredné podniky,</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SOM ROZHODOL A TÝMTO NARIAĎUJEM:</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bCs/>
                <w:rFonts w:ascii="Garamond" w:hAnsi="Garamond"/>
              </w:rPr>
              <w:t xml:space="preserve">Článok 1</w:t>
            </w:r>
            <w:r>
              <w:rPr>
                <w:sz w:val="22"/>
                <w:rFonts w:ascii="Garamond" w:hAnsi="Garamond"/>
              </w:rPr>
              <w:t xml:space="preserve"> </w:t>
            </w:r>
            <w:r>
              <w:rPr>
                <w:sz w:val="22"/>
                <w:rFonts w:ascii="Garamond" w:hAnsi="Garamond"/>
              </w:rPr>
              <w:t xml:space="preserve">V článku 2 kráľovského dekrétu z 28. októbra 2016 o výrobe a uvádzaní elektronických cigariet na trh sa vykonávajú tieto zmeny:</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v bode 1 sa medzi slová „výparov obsahujúcich“ a slovo „nikotín“ vkladajú slová „alebo neobsahujúcich“;</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vkladá sa bod 2 ods. 1, ktorý znie:</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Plniaca fľaštička bez obsahu nikotínu: nádobka obsahujúca tekutinu, ktorá neobsahuje nikotín, ktorú možno použiť na opätovné naplnenie elektronickej cigarety;“;</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vkladá sa bod 10 ods. 1, ktorý znie:</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Cezhraničný predaj na diaľku: predaj spotrebiteľom na diaľku, pri ktorom sa spotrebiteľ v čase objednávky výrobku z maloobchodnej predajne nachádza v inom členskom štáte, ako je členský štát alebo tretia krajina, kde má uvedená maloobchodná predajňa sídlo;</w:t>
            </w:r>
            <w:r>
              <w:rPr>
                <w:sz w:val="22"/>
                <w:rFonts w:ascii="Garamond" w:hAnsi="Garamond"/>
              </w:rPr>
              <w:t xml:space="preserve"> </w:t>
            </w:r>
            <w:r>
              <w:rPr>
                <w:sz w:val="22"/>
                <w:rFonts w:ascii="Garamond" w:hAnsi="Garamond"/>
              </w:rPr>
              <w:t xml:space="preserve">usudzuje sa, že maloobchodná predajňa má sídlo v členskom štáte:</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v prípade fyzickej osoby: ak má miesto svojho podnikania v uvedenom členskom štáte;</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v ostatných prípadoch: ak má maloobchodná predajňa svoje registrované sídlo, ústredie alebo miesto podnikania vrátane pobočky, zastúpenia alebo akejkoľvek inej prevádzkarne v uvedenom členskom štáte;“;</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bod 13 sa nahrádza takto:</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dovozca: vlastník elektronických cigariet, plniacich fľaštičiek a plniacich fľaštičiek bez obsahu nikotínu alebo osoba, ktorá má právo zaobchádzať s elektronickými cigaretami, plniacimi fľaštičkami a plniacimi fľaštičkami bez obsahu nikotínu dovezenými na územie Únie;“;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vkladá sa bod 13 ods. 1, ktorý znie:</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dovozca do Belgicka:</w:t>
            </w:r>
            <w:r>
              <w:rPr>
                <w:sz w:val="22"/>
                <w:rFonts w:ascii="Garamond" w:hAnsi="Garamond"/>
              </w:rPr>
              <w:t xml:space="preserve">  </w:t>
            </w:r>
            <w:r>
              <w:rPr>
                <w:sz w:val="22"/>
                <w:rFonts w:ascii="Garamond" w:hAnsi="Garamond"/>
              </w:rPr>
              <w:t xml:space="preserve">vlastník elektronických cigariet, plniacich fľaštičiek a plniacich fľaštičiek bez obsahu nikotínu alebo osoba, ktorá má právo zaobchádzať s elektronickými cigaretami, plniacimi fľaštičkami a plniacimi fľaštičkami bez obsahu nikotínu dovezenými na územie Belgicka;“;</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zoznam sa doplní bodmi 18, 19 a 20, ktoré majú toto znenie:</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zdravotné varovanie: varovanie týkajúce sa nepriaznivých účinkov výrobku na ľudské zdravie alebo iných nežiaducich dôsledkov jeho spotreby;</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aróma: prídavná látka, ktorá dodáva vôňu a/alebo chuť,</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maloobchodná predajňa: každá predajňa, kde sa elektronické cigarety, plniace fľaštičky a plniace fľaštičky bez obsahu nikotínu uvádzajú na trh, a to aj fyzickou osobou.“.</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Článok 2</w:t>
            </w:r>
            <w:r>
              <w:rPr>
                <w:sz w:val="22"/>
                <w:rFonts w:ascii="Garamond" w:hAnsi="Garamond"/>
              </w:rPr>
              <w:t xml:space="preserve"> </w:t>
            </w:r>
            <w:r>
              <w:rPr>
                <w:sz w:val="22"/>
                <w:rFonts w:ascii="Garamond" w:hAnsi="Garamond"/>
              </w:rPr>
              <w:t xml:space="preserve">Článok 3 toho istého dekrétu, zmeneného kráľovským dekrétom zo 17. mája 2017, sa nahrádza takto:</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„Článok 3 Oznámenie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Uvádzanie elektronických cigariet a plniacich fľaštičiek na trh podlieha oznámeniu službe.</w:t>
            </w:r>
            <w:r>
              <w:rPr>
                <w:sz w:val="22"/>
                <w:rFonts w:ascii="Garamond" w:hAnsi="Garamond"/>
              </w:rPr>
              <w:t xml:space="preserve"> </w:t>
            </w:r>
            <w:r>
              <w:rPr>
                <w:sz w:val="22"/>
                <w:rFonts w:ascii="Garamond" w:hAnsi="Garamond"/>
              </w:rPr>
              <w:t xml:space="preserve">Výrobca alebo dovozca alebo dovozca do Belgicka, ak prvé dva subjekty nemajú registrované sídlo v Belgicku a neoznámili výrobok, predložia službe oznámenie o akýchkoľvek elektronických cigaretách a plniacich fľaštičkách, ktoré plánujú uviesť na trh.</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Oznámenie sa predloží elektronicky šesť mesiacov pred zamýšľaným uvedením na trh.</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V závislosti od toho, či je výrobok elektronickou cigaretou, alebo plniacou fľaštičkou, oznámenie obsahuje tieto informácie:</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názov a kontaktné údaje výrobcu, dovozcu a dovozcu do Belgicka;</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zoznam všetkých zložiek obsiahnutých vo výrobku a emisií vznikajúcich v dôsledku používania výrobku, a to podľa obchodnej značky a typu, vrátane ich množstiev;</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toxikologické údaje týkajúce sa týchto zložiek výrobku a emisií aj v zohriatom stave najmä vzhľadom na ich účinky na zdravie spotrebiteľov pri inhalácii a berúc do úvahy okrem iného akýkoľvek návykový účinok;</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informácie o dávkach nikotínu a jeho vstrebávaní pri konzumácii za obvyklých alebo odôvodnene predvídateľných podmienok;</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opis komponentov výrobku, v uplatniteľnom prípade vrátane otváracieho a plniaceho mechanizmu elektronickej cigarety alebo plniacich fľaštičiek;</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opis výrobného procesu vrátane toho, či výrobný proces zahŕňa sériovú výrobu a vyhlásenie, že v súvislosti s výrobným procesom je zabezpečený súlad s požiadavkami uvedenými v tomto článku;</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vyhlásenie, že výrobca, dovozca a dovozca do Belgicka nesú plnú zodpovednosť za kvalitu a bezpečnosť výrobku pri jeho uvedení na trh a používaní za obvyklých a odôvodnene predvídateľných podmienok;</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označovanie jednotkových balení a akéhokoľvek vonkajšieho obalu a obsahu letáku, ako sa uvádza v článku 5 paragrafe 9 tohto dekrétu.</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Ak služba dospeje k záveru, že poskytnuté informácie sú neúplné, má právo požadovať doplnenie príslušných informácií.</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Informácie o výrobku poskytnuté v súlade s paragrafom 3 tohto článku sa sprístupnia na webovom sídle služby, ak služba považuje tieto informácie za úplné a faktúra uvedená v paragrafe 7 tohto článku bola zaplatená.</w:t>
            </w:r>
            <w:r>
              <w:rPr>
                <w:sz w:val="22"/>
                <w:rFonts w:ascii="Garamond" w:hAnsi="Garamond"/>
              </w:rPr>
              <w:t xml:space="preserve"> </w:t>
            </w:r>
            <w:r>
              <w:rPr>
                <w:sz w:val="22"/>
                <w:rFonts w:ascii="Garamond" w:hAnsi="Garamond"/>
              </w:rPr>
              <w:t xml:space="preserve">Výrobky, ktoré sa nenachádzajú v zozname overených výrobkov uverejnených na webovom sídle služby, nemôžu byť uvedené na trh.</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Pri uvedení informácií sa musia označiť informácie, ktoré predstavujú obchodné tajomstvo, alebo iné dôverné informácie.</w:t>
            </w:r>
            <w:r>
              <w:rPr>
                <w:sz w:val="22"/>
                <w:rFonts w:ascii="Garamond" w:hAnsi="Garamond"/>
              </w:rPr>
              <w:t xml:space="preserve"> </w:t>
            </w:r>
            <w:r>
              <w:rPr>
                <w:sz w:val="22"/>
                <w:rFonts w:ascii="Garamond" w:hAnsi="Garamond"/>
              </w:rPr>
              <w:t xml:space="preserve">Tieto tvrdenia musia byť odôvodnené na požiadanie.</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Za dôverné informácie ani za obchodné tajomstvo sa nepovažujú nasledujúce informácie:</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zložky použité v množstvách vyšších ako 0,1 % konečného zloženia tekutiny;</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štúdie a údaje zasielané v súlade s týmto článkom, najmä pokiaľ ide o toxicitu alebo návykovosť výrobkov.</w:t>
            </w:r>
            <w:r>
              <w:rPr>
                <w:sz w:val="22"/>
                <w:rFonts w:ascii="Garamond" w:hAnsi="Garamond"/>
              </w:rPr>
              <w:t xml:space="preserve"> </w:t>
            </w:r>
            <w:r>
              <w:rPr>
                <w:sz w:val="22"/>
                <w:rFonts w:ascii="Garamond" w:hAnsi="Garamond"/>
              </w:rPr>
              <w:t xml:space="preserve">Ak sú tieto štúdie spojené s konkrétnymi ochrannými známkami, vypustia sa výslovné a implicitné odkazy na ochrannú známku a sprístupní sa revidovaná verzia.</w:t>
            </w:r>
            <w:r>
              <w:rPr>
                <w:sz w:val="22"/>
                <w:rFonts w:ascii="Garamond" w:hAnsi="Garamond"/>
              </w:rPr>
              <w:t xml:space="preserve"> </w:t>
            </w:r>
            <w:r>
              <w:rPr>
                <w:sz w:val="22"/>
                <w:rFonts w:ascii="Garamond" w:hAnsi="Garamond"/>
              </w:rPr>
              <w:t xml:space="preserve">Každá oznamujúca osoba musí odovzdať službe úplné štúdie a údaje, ako aj revidovanú verziu.</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Každá osoba, ktorá službe predkladá oznámenie podľa paragrafov 1 až 4, zaplatí do rozpočtového fondu pre suroviny a výrobky poplatok vo výške 200 EUR za výrobok.</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Tento poplatok musí byť zaplatený do 30 dní od zaslania faktúry.</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poplatok je splatný hneď po zadaní údajov do oznamovacieho systému</w:t>
            </w:r>
            <w:r>
              <w:t xml:space="preserve"> </w:t>
            </w:r>
            <w:r>
              <w:rPr>
                <w:sz w:val="22"/>
                <w:rFonts w:ascii="Garamond" w:hAnsi="Garamond"/>
              </w:rPr>
              <w:t xml:space="preserve">stanoveného ministrom podľa článku 3 § 13 a je nenávratný.</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Výrobca alebo dovozca alebo dovozca do Belgicka, ak prvé dva subjekty nemajú registrované sídlo v Belgicku a neoznámili výrobok, predložia nové relevantné informácie pre každú úpravu výrobku, ktorá vedie k zmene údajov zaslaných v súlade s paragrafmi 1 až 4.</w:t>
            </w:r>
            <w:r>
              <w:rPr>
                <w:sz w:val="22"/>
                <w:rFonts w:ascii="Garamond" w:hAnsi="Garamond"/>
              </w:rPr>
              <w:t xml:space="preserve"> </w:t>
            </w:r>
            <w:r>
              <w:rPr>
                <w:sz w:val="22"/>
                <w:rFonts w:ascii="Garamond" w:hAnsi="Garamond"/>
              </w:rPr>
              <w:t xml:space="preserve">Tieto zmeny sa považujú za podstatné zmeny s výnimkou zmien požadovaných službou, zmien v kontaktných informáciách a zadania údajov o objeme predaja za predchádzajúci rok, ako sa stanovuje v paragrafe 10 tohto článku.</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Každá osoba, ktorá predloží službe oznámenie o podstatnej zmene podľa paragrafu 8, zaplatí do rozpočtového fondu pre suroviny a výrobky poplatok vo výške 100 EUR za výrobok.</w:t>
            </w:r>
            <w:r>
              <w:rPr>
                <w:sz w:val="22"/>
                <w:rFonts w:ascii="Garamond" w:hAnsi="Garamond"/>
              </w:rPr>
              <w:t xml:space="preserve"> </w:t>
            </w:r>
            <w:r>
              <w:rPr>
                <w:sz w:val="22"/>
                <w:rFonts w:ascii="Garamond" w:hAnsi="Garamond"/>
              </w:rPr>
              <w:t xml:space="preserve">Tento poplatok musí byť zaplatený do 30 dní od zaslania faktúry.</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Tento poplatok je splatný hneď po zmene údajov v oznamovacom systéme stanovenom ministrom podľa článku 3 § 13 a je nenávratný.</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Výrobca alebo dovozca alebo dovozca do Belgicka, ak prvé dva subjekty nemajú registrované sídlo v Belgicku a neoznámili výrobok, každoročne predložia službe najneskôr do prvého marca:</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komplexné údaje o objeme predaja za predchádzajúci rok podľa obchodnej značky a typu výrobku;</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informácie o preferenciách rôznych skupín spotrebiteľov vrátane mladých ľudí, nefajčiarov a hlavných typov súčasných používateľov;</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informácie o spôsobe predaja výrobkov;</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prehľadné súhrny akýchkoľvek trhových prieskumov vykonaných v súvislosti s uvedenými skupinami vrátane ich prekladu do angličtiny.</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Každá osoba, ktorá každoročne predkladá službe údaje podľa paragrafu 10, zaplatí do rozpočtového fondu pre suroviny a výrobky poplatok vo výške 50 EUR za výrobok.</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poplatok musí byť zaplatený do 30 dní od zaslania faktúry.</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poplatok je splatný hneď po zadaní údajov do oznamovacieho systému</w:t>
            </w:r>
            <w:r>
              <w:rPr>
                <w:sz w:val="22"/>
                <w:rFonts w:ascii="Garamond" w:hAnsi="Garamond"/>
              </w:rPr>
              <w:t xml:space="preserve"> </w:t>
            </w:r>
            <w:r>
              <w:rPr>
                <w:sz w:val="22"/>
                <w:rFonts w:ascii="Garamond" w:hAnsi="Garamond"/>
              </w:rPr>
              <w:t xml:space="preserve">stanoveného ministrom podľa článku 3 § 13 a je nenávratný.</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Výrobca alebo dovozca alebo dovozca do Belgicka, ak prvé dva subjekty nemajú sídlo v Belgicku, vytvorí a udržiava systém na zber informácií o všetkých nepriaznivých účinkoch týchto výrobkov na ľudské zdravie, v súvislosti s ktorými existuje podozrenie, že existujú.</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Ak sa ktorýkoľvek z týchto hospodárskych subjektov domnieva alebo ak má dôvod domnievať sa, že elektronické cigarety alebo plniace fľaštičky, ktoré má v držbe a ktoré majú byť uvedené na trh alebo sa uvádzajú na trh, nie sú bezpečné ani dobrej kvality, alebo inak nie sú v súlade s týmto dekrétom, uvedený hospodársky subjekt bezodkladne prijme nápravné opatrenia potrebné na to, aby bol tento dotknutý výrobok uvedený do súladu s týmto dekrétom alebo stiahnutý, alebo vrátený.</w:t>
            </w:r>
            <w:r>
              <w:rPr>
                <w:sz w:val="22"/>
                <w:rFonts w:ascii="Garamond" w:hAnsi="Garamond"/>
              </w:rPr>
              <w:t xml:space="preserve"> </w:t>
            </w:r>
            <w:r>
              <w:rPr>
                <w:sz w:val="22"/>
                <w:rFonts w:ascii="Garamond" w:hAnsi="Garamond"/>
              </w:rPr>
              <w:t xml:space="preserve">V takých prípadoch sa od hospodárskeho subjektu tiež vyžaduje, aby bezodkladne informoval službu a poskytol podrobné informácie najmä o riziku pre ľudské zdravie a bezpečnosť, ďalej o všetkých prijatých nápravných opatreniach a o ich výsledkoch.</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Služba môže od hospodárskych subjektov vyžadovať aj doplňujúce informácie napríklad o aspektoch bezpečnosti a kvality alebo o akýchkoľvek nepriaznivých účinkoch elektronických cigariet a plniacich fľaštičiek.</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Vzor, ktorý sa uplatňuje na predkladanie a sprístupňovanie informácií uvedených v tomto článku, a spôsob prenosu informácií požadovaných v tomto článku môže určiť minister.</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Článok 3</w:t>
            </w:r>
            <w:r>
              <w:rPr>
                <w:sz w:val="22"/>
                <w:rFonts w:ascii="Garamond" w:hAnsi="Garamond"/>
              </w:rPr>
              <w:t xml:space="preserve"> </w:t>
            </w:r>
            <w:r>
              <w:rPr>
                <w:sz w:val="22"/>
                <w:rFonts w:ascii="Garamond" w:hAnsi="Garamond"/>
              </w:rPr>
              <w:t xml:space="preserve">Článok 4 toho istého dekrétu</w:t>
            </w:r>
            <w:r>
              <w:rPr>
                <w:sz w:val="22"/>
                <w:rFonts w:ascii="Garamond" w:hAnsi="Garamond"/>
              </w:rPr>
              <w:t xml:space="preserve"> sa nahrádza takto:</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„Článok 4 Zloženie a technické normy</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Tekutina obsahujúca nikotín sa uvádza na trh len:</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 osobitných plniacich fľaštičkách s maximálnym objemom 10 mililitrov;</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 jednorazových zásobníkoch.</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Uvedené zásobníky alebo nádržky nesmú prekračovať objem 2 mililitre.</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Jednorazové elektronické cigarety sú zakázané.</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Je zakázané uvádzať na trh elektronické cigarety, ktoré majú atraktívne vlastnosti, ktoré nie sú užitočné na prevádzku zariadenia.</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Tekutina obsahujúca nikotín nesmie obsahovať viac ako 20 miligramov nikotínu na mililiter.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Tekutina obsahujúca nikotín nesmie obsahovať tieto prídavné látky:</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vitamíny alebo iné prídavné látky, ktoré vytvárajú dojem, že tabakový výrobok je prospešný pre zdravie alebo predstavuje znížené zdravotné riziká;</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kofeín alebo taurín, alebo iné prídavné látky a stimulujúce zložky, ktoré sa spájajú s energiou a vitalitou;</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prídavné látky, ktorých vlastnosti spôsobujú sfarbenie emisií;</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prídavné látky, ktoré majú KMR vlastnosti v nezhorenej podobe.</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 vypracuje zoznam ďalších zakázaných prídavných látok a/alebo zoznam povolených prídavných látok.</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Pri výrobe tekutiny obsahujúcej nikotín sa musia používať iba zložky vysokej čistoty.</w:t>
            </w:r>
            <w:r>
              <w:rPr>
                <w:sz w:val="22"/>
                <w:rFonts w:ascii="Garamond" w:hAnsi="Garamond"/>
              </w:rPr>
              <w:t xml:space="preserve"> </w:t>
            </w:r>
            <w:r>
              <w:rPr>
                <w:sz w:val="22"/>
                <w:rFonts w:ascii="Garamond" w:hAnsi="Garamond"/>
              </w:rPr>
              <w:t xml:space="preserve">Iné látky než zložky uvedené v článku 3 § 3 bode 2 smú byť v tekutine obsahujúcej nikotín prítomné len v stopových množstvách, ak sa výskytu takýchto stopových množstiev nedá počas výroby technicky zabrániť.</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V tekutine obsahujúcej nikotín sa okrem nikotínu môžu používať iba zložky, ktoré v zohriatom či nezohriatom stave nepredstavujú riziko pre ľudské zdravie.</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Elektronické cigarety musia uvoľňovať dávky nikotínu na rovnomerných úrovniach za obvyklých podmienok.</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Elektronické cigarety a plniace fľaštičky musia byť odolné voči manipulácii deťmi a voči neoprávnenej manipulácii;</w:t>
            </w:r>
            <w:r>
              <w:rPr>
                <w:sz w:val="22"/>
                <w:rFonts w:ascii="Garamond" w:hAnsi="Garamond"/>
              </w:rPr>
              <w:t xml:space="preserve"> </w:t>
            </w:r>
            <w:r>
              <w:rPr>
                <w:sz w:val="22"/>
                <w:rFonts w:ascii="Garamond" w:hAnsi="Garamond"/>
              </w:rPr>
              <w:t xml:space="preserve">musia byť chránené proti rozbitiu a úniku náplne a mať mechanizmus zabezpečujúci opätovné plnenie bez úniku náplne.</w:t>
            </w:r>
            <w:r>
              <w:rPr>
                <w:sz w:val="22"/>
                <w:rFonts w:ascii="Garamond" w:hAnsi="Garamond"/>
              </w:rPr>
              <w:t xml:space="preserve"> </w:t>
            </w:r>
            <w:r>
              <w:rPr>
                <w:sz w:val="22"/>
                <w:rFonts w:ascii="Garamond" w:hAnsi="Garamond"/>
              </w:rPr>
              <w:t xml:space="preserve">Musia byť v súlade s normou ISO 8317:2003.</w:t>
            </w:r>
            <w:r>
              <w:rPr>
                <w:sz w:val="22"/>
                <w:rFonts w:ascii="Garamond" w:hAnsi="Garamond"/>
              </w:rPr>
              <w:t xml:space="preserve"> </w:t>
            </w:r>
            <w:r>
              <w:rPr>
                <w:sz w:val="22"/>
                <w:rFonts w:ascii="Garamond" w:hAnsi="Garamond"/>
              </w:rPr>
              <w:t xml:space="preserve">Minister stanoví technické normy pre mechanizmus opätovného plnenia.</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Minister stanoví normy a metódy analýzy, ktoré sa majú používať na overenie vykonávania ustanovení o zložení a emisiách v tomto článku.</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Článok 4</w:t>
            </w:r>
            <w:r>
              <w:rPr>
                <w:sz w:val="22"/>
                <w:b/>
                <w:rFonts w:ascii="Garamond" w:hAnsi="Garamond"/>
              </w:rPr>
              <w:t xml:space="preserve"> </w:t>
            </w:r>
            <w:r>
              <w:rPr>
                <w:sz w:val="22"/>
                <w:rFonts w:ascii="Garamond" w:hAnsi="Garamond"/>
              </w:rPr>
              <w:t xml:space="preserve">Článok 5 toho istého dekrétu</w:t>
            </w:r>
            <w:r>
              <w:rPr>
                <w:sz w:val="22"/>
                <w:rFonts w:ascii="Garamond" w:hAnsi="Garamond"/>
              </w:rPr>
              <w:t xml:space="preserve"> sa nahrádza takto:</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„Článok 5 Označovanie</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Na každom jednotkovom balení elektronických cigariet alebo plniacich fľaštičiek a každom vonkajšom obale sa musia uvádzať zdravotné varovania stanovené v tomto článku v holandskom, francúzskom a nemeckom jazyku.</w:t>
            </w:r>
            <w:r>
              <w:rPr>
                <w:sz w:val="22"/>
                <w:rFonts w:ascii="Garamond" w:hAnsi="Garamond"/>
              </w:rPr>
              <w:t xml:space="preserve"> </w:t>
            </w:r>
            <w:r>
              <w:rPr>
                <w:sz w:val="22"/>
                <w:rFonts w:ascii="Garamond" w:hAnsi="Garamond"/>
              </w:rPr>
              <w:t xml:space="preserve">Každý jazyk sa vytlačí na nový riadok.</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Zdravotné varovania musia pokrývať celý povrch jednotkového balenia alebo vonkajšieho obalu, ktorý je pre ne vyhradený, a nesmú sa komentovať, parafrázovať, ani sa na ne nemožno žiadnym spôsobom odvolávať.</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Zdravotné varovania na jednotkových baleniach a každom vonkajšom obale výrobkov musia byť neodstrániteľne vytlačené, nezmazateľné a plne viditeľné.</w:t>
            </w:r>
            <w:r>
              <w:rPr>
                <w:sz w:val="22"/>
                <w:rFonts w:ascii="Garamond" w:hAnsi="Garamond"/>
              </w:rPr>
              <w:t xml:space="preserve"> </w:t>
            </w:r>
            <w:r>
              <w:rPr>
                <w:sz w:val="22"/>
                <w:rFonts w:ascii="Garamond" w:hAnsi="Garamond"/>
              </w:rPr>
              <w:t xml:space="preserve">Nesmú byť čiastočne alebo úplne zakryté alebo prerušené kontrolnými známkami, cenovými etiketami, bezpečnostnými prvkami, obalmi, puzdrami, škatuľkami alebo inými prostriedkami.</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Zdravotné varovania musia zostať neporušené otvorením jednotkového balenia.</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Zdravotné varovania sa ohraničujú čiernym okrajom s hrúbkou 1 mm vnútri plochy povrchu vyhradenej na tieto varovania.</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Na každom jednotkovom balení a vonkajšom obale elektronických cigariet alebo plniacich fľaštičiek sa musí uvádzať toto zdravotné varovanie:</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[Tento výrobok obsahuje nikotín, ktorý je vysoko návykovou látkou.</w:t>
            </w:r>
            <w:r>
              <w:rPr>
                <w:sz w:val="22"/>
                <w:rFonts w:ascii="Garamond" w:hAnsi="Garamond"/>
              </w:rPr>
              <w:t xml:space="preserve"> </w:t>
            </w:r>
            <w:r>
              <w:rPr>
                <w:sz w:val="22"/>
                <w:rFonts w:ascii="Garamond" w:hAnsi="Garamond"/>
              </w:rPr>
              <w:t xml:space="preserve">Neodporúča sa, aby ho používali nefajčiari.]</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Zdravotné varovanie:</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sa musí nachádzať na dvoch najväčších povrchoch jednotkového balenia a každého vonkajšieho obalu.</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Na jednotkových baleniach so štyrmi podobne veľkými povrchmi sa varovanie musí nachádzať na dvoch protiľahlých povrchoch, z ktorých jeden je hlavným povrchom zobrazujúcim obchodnú značku.</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Na jednotkových baleniach cylindrického tvaru sa zdravotné varovanie musí nachádzať iba raz a musí pokrývať celý obvod;</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musí pokrývať 35 % zodpovedajúceho povrchu jednotkového balenia a každého vonkajšieho obalu;</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musí byť umiestnené v spodnej časti zodpovedajúceho povrchu jednotkového balenia a každého vonkajšieho obalu a na rovnobežnostenných jednotkových baleniach a každom vonkajšom obale musí byť rovnobežné s bočným okrajom jednotkového balenia alebo vonkajšieho obalu.</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Text zdravotných varovaní musí byť:</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uvedený rovnobežne s hlavným textom na povrchu vyhradenom na tieto varovania;</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vytlačený čiernym tučným písmom typu Helvetica na bielom podklade s takou veľkosťou znakov, aby príslušný text zaberal čo najväčšiu časť plochy vyhradenej pre tieto zdravotné varovania bez toho, aby to ovplyvnilo jeho čitateľnosť;</w:t>
            </w:r>
            <w:r>
              <w:rPr>
                <w:sz w:val="22"/>
                <w:rFonts w:ascii="Garamond" w:hAnsi="Garamond"/>
              </w:rPr>
              <w:t xml:space="preserve"> </w:t>
            </w:r>
            <w:r>
              <w:rPr>
                <w:sz w:val="22"/>
                <w:rFonts w:ascii="Garamond" w:hAnsi="Garamond"/>
              </w:rPr>
              <w:t xml:space="preserve">a</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umiestnený v strede plochy pre ne vyhradenej.</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Jednotkové balenia elektronických cigariet a plniacich fľaštičiek musia obsahovať leták aspoň v holandskom, francúzskom a nemeckom jazyku s informáciami o:</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používaní a skladovaní výrobku vrátane upozornenia, že sa neodporúča, aby výrobok používali mladí ľudia a nefajčiari;</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kontraindikáciách;</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varovaniach pre konkrétne rizikové skupiny;</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možných nepriaznivých účinkoch;</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návykovosti a toxicite;</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kontaktných údajoch výrobcu a dovozcu alebo dovozcu do Belgicka, ako aj právnickej alebo fyzickej osoby v Európskej únii;</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čísle toxikologického centra.</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Jednotkové balenia a všetky vonkajšie obaly elektronických cigariet a plniacich fľaštičiek musia obsahovať zoznam aspoň v holandskom, francúzskom a nemeckom jazyku s týmito informáciami:</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všetky zložky, vrátane aróm a alergénov, nachádzajúce sa vo výrobku v zostupnom poradí podľa hmotnosti;</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obsah nikotínu vo výrobku a príjem nikotínu v jednej dávke;</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číslo šarže, ktorému predchádza slovo „šarža“;</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odporúčanie, aby sa výrobok uchovával mimo dosahu detí vo forme textu alebo loga;</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identifikačné číslo výrobku vydané oznamovacím systémom stanoveným ministrom podľa článku 3 §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Plniace fľaštičky majú dátum exspirácie.</w:t>
            </w:r>
            <w:r>
              <w:rPr>
                <w:sz w:val="22"/>
                <w:rFonts w:ascii="Garamond" w:hAnsi="Garamond"/>
              </w:rPr>
              <w:t xml:space="preserve"> </w:t>
            </w:r>
            <w:r>
              <w:rPr>
                <w:sz w:val="22"/>
                <w:rFonts w:ascii="Garamond" w:hAnsi="Garamond"/>
              </w:rPr>
              <w:t xml:space="preserve">Plniace fľaštičky, v prípade ktorých uplynul dátum exspirácie, sa už nesmú uvádzať na trh.</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Bez toho, aby bol dotknutý paragraf 10, jednotkové balenia a žiadny vonkajší obal elektronických cigariet a plniacich fľaštičiek nesmú obsahovať:</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akýkoľvek náznak, že daná elektronická cigareta alebo plniaca fľaštička je menej škodlivá ako iné, alebo že jej účelom je znížiť účinky niektorých škodlivých zložiek dymu, alebo má vitalizačné, energizujúce, liečiace, omladzujúce, prírodné, organické vlastnosti alebo iné pozitívne účinky na zdravie alebo životný štýl;</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akúkoľvek podobnosť s potravinovými alebo kozmetickými výrobkami;</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akýkoľvek náznak, že daná elektronická cigareta alebo plniaca fľaštička má zlepšenú biologickú odbúrateľnosť alebo iné environmentálne prínosy;</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akýkoľvek odkaz na chuť, vôňu, arómu alebo na ich neprítomnosť.</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Jednotkové balenia a žiadny vonkajší obal nesmú naznačovať žiadne ekonomické výhody tým, že by obsahovali tlačené poukážky, ponúkali zľavy, výrobky zadarmo, dva výrobky za cenu jedného alebo iné podobné ponuky.</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Prvky alebo charakteristické znaky, ktoré sú zakázané podľa paragrafov 12 a 13, môžu okrem iného zahŕňať texty, symboly, názvy, obchodné značky, názorné alebo iné symboly.</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Značka a podznačka uvedené na jednotkovom balení a vonkajšom obale musia byť totožné s tými, ktoré sú uvedené v oznamovacom systéme stanovenom</w:t>
            </w:r>
            <w:r>
              <w:rPr>
                <w:sz w:val="22"/>
                <w:rFonts w:ascii="Garamond" w:hAnsi="Garamond"/>
              </w:rPr>
              <w:t xml:space="preserve"> ministrom podľa článku 3 §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Minister môže stanoviť dodatočné podmienky týkajúce sa obsahu a prezentácie informácií uvedených v tomto článku.</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Článok 5</w:t>
            </w:r>
            <w:r>
              <w:rPr>
                <w:sz w:val="22"/>
                <w:rFonts w:ascii="Garamond" w:hAnsi="Garamond"/>
              </w:rPr>
              <w:t xml:space="preserve"> </w:t>
            </w:r>
            <w:r>
              <w:rPr>
                <w:sz w:val="22"/>
                <w:rFonts w:ascii="Garamond" w:hAnsi="Garamond"/>
              </w:rPr>
              <w:t xml:space="preserve">Článok 6 toho istého dekrétu sa nahrádza takto:</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„Článok 6</w:t>
            </w:r>
            <w:r>
              <w:rPr>
                <w:sz w:val="22"/>
                <w:rFonts w:ascii="Garamond" w:hAnsi="Garamond"/>
              </w:rPr>
              <w:t xml:space="preserve"> </w:t>
            </w:r>
            <w:r>
              <w:rPr>
                <w:sz w:val="22"/>
                <w:rFonts w:ascii="Garamond" w:hAnsi="Garamond"/>
              </w:rPr>
              <w:t xml:space="preserve">Predaj elektronických cigariet na diaľku</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Predaj na diaľku spotrebiteľom a nákup elektronických cigariet a plniacich fľaštičiek spotrebiteľmi na diaľku sú zakázané.</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Odchylne od paragrafu 1 je cezhraničný predaj na diaľku povolený, ak to umožňujú právne predpisy členského štátu určenia.“</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Článok 6</w:t>
            </w:r>
            <w:r>
              <w:rPr>
                <w:sz w:val="22"/>
                <w:b/>
                <w:rFonts w:ascii="Garamond" w:hAnsi="Garamond"/>
              </w:rPr>
              <w:t xml:space="preserve">  </w:t>
            </w:r>
            <w:r>
              <w:rPr>
                <w:sz w:val="22"/>
                <w:rFonts w:ascii="Garamond" w:hAnsi="Garamond"/>
              </w:rPr>
              <w:t xml:space="preserve">Do toho istého dekrétu sa vkladá článok 6 ods. 1, ktorý má toto znenie:</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„Článok 6/1.</w:t>
            </w:r>
            <w:r>
              <w:rPr>
                <w:sz w:val="22"/>
                <w:rFonts w:ascii="Garamond" w:hAnsi="Garamond"/>
              </w:rPr>
              <w:t xml:space="preserve"> </w:t>
            </w:r>
            <w:r>
              <w:rPr>
                <w:sz w:val="22"/>
                <w:rFonts w:ascii="Garamond" w:hAnsi="Garamond"/>
              </w:rPr>
              <w:t xml:space="preserve">Plniace fľaštičky bez nikotínu</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Ustanovenia týkajúce sa oznamovania v článku 3 sa uplatňujú na plniace fľaštičky bez obsahu nikotínu.</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Ustanovenia článku 4 týkajúce sa zloženia a technických noriem sa uplatňujú na plniace fľaštičky bez obsahu nikotínu s výnimkou paragrafov 1, 4 a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Ustanovenia článku 5 s výnimkou paragrafu 6 sa uplatňujú na plniace fľaštičky bez obsahu nikotínu.</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Zdravotné varovanie pre tento typ výrobku znie takto:</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[Tento výrobok poškodzuje vaše zdravie.</w:t>
            </w:r>
            <w:r>
              <w:rPr>
                <w:sz w:val="22"/>
                <w:rFonts w:ascii="Garamond" w:hAnsi="Garamond"/>
              </w:rPr>
              <w:t xml:space="preserve"> </w:t>
            </w:r>
            <w:r>
              <w:rPr>
                <w:sz w:val="22"/>
                <w:rFonts w:ascii="Garamond" w:hAnsi="Garamond"/>
              </w:rPr>
              <w:t xml:space="preserve">Neodporúča sa, aby ho používali nefajčiari.]</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Článok 6 o predaji na diaľku sa vzťahuje na plniace fľaštičky bez obsahu nikotínu.“</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Článok 7</w:t>
            </w:r>
            <w:r>
              <w:rPr>
                <w:sz w:val="22"/>
                <w:b/>
                <w:rFonts w:ascii="Garamond" w:hAnsi="Garamond"/>
              </w:rPr>
              <w:t xml:space="preserve">  </w:t>
            </w:r>
            <w:r>
              <w:rPr>
                <w:sz w:val="22"/>
                <w:rFonts w:ascii="Garamond" w:hAnsi="Garamond"/>
              </w:rPr>
              <w:t xml:space="preserve">Článok 7 toho istého dekrétu sa nahrádza takto:</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„Článok 7 Sankcie</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Elektronické cigarety, plniace fľaštičky a plniace fľaštičky bez obsahu nikotínu, ktoré nie sú v súlade s ustanoveniami tohto dekrétu, sa považujú za škodlivé v zmysle článku 18 zákona z 24. januára 1977 o ochrane zdravia spotrebiteľov, pokiaľ ide o potraviny a iné výrobky.</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Porušenia ustanovení tohto dekrétu sa skúmajú, zaznamenávajú, stíhajú a trestajú v súlade s ustanoveniami vyššie uvedeného zákona z 24. januára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Výrobca, dovozca, dovozca do Belgicka a maloobchodný predajca môžu niesť zodpovednosť za nedodržanie ustanovení tohto dekrétu.“</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Článok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Tento dekrét nadobúda účinnosť dňa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Článok 9</w:t>
            </w:r>
            <w:r>
              <w:rPr>
                <w:sz w:val="22"/>
                <w:rFonts w:ascii="Garamond" w:hAnsi="Garamond"/>
              </w:rPr>
              <w:t xml:space="preserve"> </w:t>
            </w:r>
            <w:r>
              <w:rPr>
                <w:sz w:val="22"/>
                <w:rFonts w:ascii="Garamond" w:hAnsi="Garamond"/>
              </w:rPr>
              <w:t xml:space="preserve">Za vykonávanie tohto dekrétu zodpovedá minister hospodárstva, minister zdravotníctva a minister pre malé a stredné podniky, každý v rozsahu svojich právomocí.</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V Bruseli,</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Za kráľa:</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Ministerka hospodárstva,</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Minister zdravotníctva,</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Minister pre malé a stredné podniky,</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sk-SK"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sk-SK"/>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sk-SK"/>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sk-SK"/>
    </w:rPr>
  </w:style>
  <w:style w:type="paragraph" w:styleId="Titre9">
    <w:name w:val="heading 9"/>
    <w:basedOn w:val="Normal"/>
    <w:next w:val="Normal"/>
    <w:qFormat/>
    <w:pPr>
      <w:keepNext/>
      <w:tabs>
        <w:tab w:val="left" w:pos="567"/>
        <w:tab w:val="left" w:pos="2268"/>
      </w:tabs>
      <w:jc w:val="both"/>
      <w:outlineLvl w:val="8"/>
    </w:pPr>
    <w:rPr>
      <w:i/>
      <w:iCs/>
      <w:sz w:val="22"/>
      <w:lang w:val="sk-S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sk-SK"/>
    </w:rPr>
  </w:style>
  <w:style w:type="paragraph" w:styleId="Corpsdetexte3">
    <w:name w:val="Body Text 3"/>
    <w:basedOn w:val="Normal"/>
    <w:pPr>
      <w:widowControl w:val="0"/>
    </w:pPr>
    <w:rPr>
      <w:snapToGrid w:val="0"/>
      <w:sz w:val="22"/>
      <w:lang w:val="sk-SK"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sk-SK"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sk-SK"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sk-SK"/>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sk-SK"/>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sk-SK"/>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sk-SK"/>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sk-SK"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sk-SK"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sk-SK"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sk-SK" w:eastAsia="en-US"/>
    </w:rPr>
  </w:style>
  <w:style w:type="character" w:customStyle="1" w:styleId="En-tteCar">
    <w:name w:val="En-tête Car"/>
    <w:link w:val="En-tte"/>
    <w:uiPriority w:val="99"/>
    <w:rsid w:val="00792B2A"/>
    <w:rPr>
      <w:lang w:val="sk-SK" w:eastAsia="nl-NL"/>
    </w:rPr>
  </w:style>
  <w:style w:type="character" w:customStyle="1" w:styleId="PieddepageCar">
    <w:name w:val="Pied de page Car"/>
    <w:link w:val="Pieddepage"/>
    <w:uiPriority w:val="99"/>
    <w:rsid w:val="00792B2A"/>
    <w:rPr>
      <w:lang w:val="sk-SK" w:eastAsia="nl-NL"/>
    </w:rPr>
  </w:style>
  <w:style w:type="paragraph" w:styleId="Rvision">
    <w:name w:val="Revision"/>
    <w:hidden/>
    <w:uiPriority w:val="99"/>
    <w:semiHidden/>
    <w:rsid w:val="00B63DAF"/>
    <w:rPr>
      <w:lang w:val="sk-SK"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