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3F27F5DB" w:rsidR="00DF230E" w:rsidRDefault="00F85DA0" w:rsidP="00B8223A">
      <w:pPr>
        <w:pStyle w:val="Titel"/>
        <w:tabs>
          <w:tab w:val="clear" w:pos="6804"/>
          <w:tab w:val="right" w:pos="7655"/>
        </w:tabs>
      </w:pPr>
      <w:r w:rsidRPr="00B8223A">
        <w:rPr>
          <w:noProof/>
        </w:rPr>
        <mc:AlternateContent>
          <mc:Choice Requires="wps">
            <w:drawing>
              <wp:anchor distT="0" distB="0" distL="114300" distR="114300" simplePos="0" relativeHeight="251659265" behindDoc="0" locked="0" layoutInCell="1" allowOverlap="1" wp14:anchorId="438AC7CC" wp14:editId="33F4C501">
                <wp:simplePos x="0" y="0"/>
                <wp:positionH relativeFrom="column">
                  <wp:posOffset>4042410</wp:posOffset>
                </wp:positionH>
                <wp:positionV relativeFrom="paragraph">
                  <wp:posOffset>205105</wp:posOffset>
                </wp:positionV>
                <wp:extent cx="944880" cy="495300"/>
                <wp:effectExtent l="0" t="0" r="7620" b="0"/>
                <wp:wrapNone/>
                <wp:docPr id="799183960" name="Text Box 1"/>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ŠVEDSKA PROMETNA AGENCIJA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8.3pt;margin-top:16.15pt;width:74.4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" fillcolor="white [3201]" stroked="f" strokeweight=".5pt">
                <v:textbox inset="0,0,0,0">
                  <w:txbxContent>
                    <w:p w14:paraId="374CE7CB" w14:textId="164B17EE" w:rsidR="00F85DA0" w:rsidRPr="00F85DA0" w:rsidRDefault="00F85DA0">
                      <w:pPr>
                        <w:rPr>
                          <w:b/>
                          <w:bCs/>
                          <w:sz w:val="22"/>
                          <w:szCs w:val="22"/>
                        </w:rPr>
                      </w:pPr>
                      <w:r>
                        <w:rPr>
                          <w:b/>
                          <w:sz w:val="22"/>
                        </w:rPr>
                        <w:t>ŠVEDSKA PROMETNA AGENCIJA</w:t>
                      </w:r>
                    </w:p>
                  </w:txbxContent>
                </v:textbox>
              </v:shape>
            </w:pict>
          </mc:Fallback>
        </mc:AlternateContent>
      </w:r>
      <w:r w:rsidRPr="00B8223A">
        <w:t xml:space="preserve">Zbornik propisa </w:t>
      </w:r>
      <w:r w:rsidR="00B8223A">
        <w:br/>
      </w:r>
      <w:r w:rsidRPr="00B8223A">
        <w:t>Švedske prometne agencije</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Propisi</w:t>
      </w:r>
      <w:r>
        <w:br/>
        <w:t>o izmjeni Propisa i općih savjeta Švedske prometne agencije (TSFS 2016:22) o motornim vozilima i vučenim prikolicama puštenima u uporabu 1. srpnja 2010. ili nakon tog datuma;</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000F1FF8">
                <wp:simplePos x="0" y="0"/>
                <wp:positionH relativeFrom="page">
                  <wp:posOffset>4457700</wp:posOffset>
                </wp:positionH>
                <wp:positionV relativeFrom="page">
                  <wp:posOffset>2294255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B8223A"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Godina"/>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B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Objavljeno</w:t>
                            </w:r>
                            <w:r>
                              <w:br/>
                              <w:t xml:space="preserve">dana </w:t>
                            </w:r>
                            <w:sdt>
                              <w:sdtPr>
                                <w:alias w:val="Odaberite datum"/>
                                <w:tag w:val="Utkom datum"/>
                                <w:id w:val="1764647152"/>
                                <w:showingPlcHdr/>
                                <w:dataBinding w:prefixMappings="xmlns:ns0='consensis-fs'" w:xpath="/ns0:root[1]/ns0:fs-fields[1]/ns0:fs-date[1]" w:storeItemID="{F222B965-9C48-4AC7-962E-E2AF3EEF1550}"/>
                                <w:date>
                                  <w:dateFormat w:val="d MMMM yyyy"/>
                                  <w:lid w:val="hr-HR"/>
                                  <w:storeMappedDataAs w:val="dateTime"/>
                                  <w:calendar w:val="gregorian"/>
                                </w:date>
                              </w:sdtPr>
                              <w:sdtEndPr/>
                              <w:sdtContent>
                                <w:r>
                                  <w:rPr>
                                    <w:rStyle w:val="PlaceholderText"/>
                                  </w:rPr>
                                  <w:t>[Odaberite datum]</w:t>
                                </w:r>
                              </w:sdtContent>
                            </w:sdt>
                          </w:p>
                          <w:sdt>
                            <w:sdtPr>
                              <w:alias w:val="Unijeti seriju"/>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CESTOVNI PROMET</w:t>
                                </w:r>
                              </w:p>
                            </w:sdtContent>
                          </w:sdt>
                          <w:p w14:paraId="55142639" w14:textId="77777777" w:rsidR="00FC02EB" w:rsidRPr="007C403E" w:rsidRDefault="00B8223A" w:rsidP="007C403E">
                            <w:pPr>
                              <w:pStyle w:val="Underserie"/>
                              <w:rPr>
                                <w:bCs/>
                              </w:rPr>
                            </w:pPr>
                            <w:sdt>
                              <w:sdtPr>
                                <w:alias w:val="Unijeti podseriju"/>
                                <w:tag w:val="Userie"/>
                                <w:id w:val="1607690029"/>
                                <w:showingPlcHdr/>
                                <w:dataBinding w:prefixMappings="xmlns:ns0='consensis-fs'" w:xpath="/ns0:root[1]/ns0:fs-fields[1]/ns0:fs-subseries[1]" w:storeItemID="{F222B965-9C48-4AC7-962E-E2AF3EEF1550}"/>
                                <w:text/>
                              </w:sdtPr>
                              <w:sdtEndPr/>
                              <w:sdtContent>
                                <w:r w:rsidR="00DA20BB">
                                  <w:rPr>
                                    <w:rStyle w:val="PlaceholderText"/>
                                  </w:rPr>
                                  <w:t>[Unijeti podseriju]</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80.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" filled="f" stroked="f">
                <v:textbox>
                  <w:txbxContent>
                    <w:p w14:paraId="570F4F7F" w14:textId="77777777" w:rsidR="00FC02EB" w:rsidRPr="0024789E" w:rsidRDefault="00B8223A"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Godina"/>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B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Objavljeno</w:t>
                      </w:r>
                      <w:r>
                        <w:br/>
                        <w:t xml:space="preserve">dana </w:t>
                      </w:r>
                      <w:sdt>
                        <w:sdtPr>
                          <w:alias w:val="Odaberite datum"/>
                          <w:tag w:val="Utkom datum"/>
                          <w:id w:val="1764647152"/>
                          <w:showingPlcHdr/>
                          <w:dataBinding w:prefixMappings="xmlns:ns0='consensis-fs'" w:xpath="/ns0:root[1]/ns0:fs-fields[1]/ns0:fs-date[1]" w:storeItemID="{F222B965-9C48-4AC7-962E-E2AF3EEF1550}"/>
                          <w:date>
                            <w:dateFormat w:val="d MMMM yyyy"/>
                            <w:lid w:val="hr-HR"/>
                            <w:storeMappedDataAs w:val="dateTime"/>
                            <w:calendar w:val="gregorian"/>
                          </w:date>
                        </w:sdtPr>
                        <w:sdtEndPr/>
                        <w:sdtContent>
                          <w:r>
                            <w:rPr>
                              <w:rStyle w:val="PlaceholderText"/>
                            </w:rPr>
                            <w:t>[Odaberite datum]</w:t>
                          </w:r>
                        </w:sdtContent>
                      </w:sdt>
                    </w:p>
                    <w:sdt>
                      <w:sdtPr>
                        <w:alias w:val="Unijeti seriju"/>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CESTOVNI PROMET</w:t>
                          </w:r>
                        </w:p>
                      </w:sdtContent>
                    </w:sdt>
                    <w:p w14:paraId="55142639" w14:textId="77777777" w:rsidR="00FC02EB" w:rsidRPr="007C403E" w:rsidRDefault="00B8223A" w:rsidP="007C403E">
                      <w:pPr>
                        <w:pStyle w:val="Underserie"/>
                        <w:rPr>
                          <w:bCs/>
                        </w:rPr>
                      </w:pPr>
                      <w:sdt>
                        <w:sdtPr>
                          <w:alias w:val="Unijeti podseriju"/>
                          <w:tag w:val="Userie"/>
                          <w:id w:val="1607690029"/>
                          <w:showingPlcHdr/>
                          <w:dataBinding w:prefixMappings="xmlns:ns0='consensis-fs'" w:xpath="/ns0:root[1]/ns0:fs-fields[1]/ns0:fs-subseries[1]" w:storeItemID="{F222B965-9C48-4AC7-962E-E2AF3EEF1550}"/>
                          <w:text/>
                        </w:sdtPr>
                        <w:sdtEndPr/>
                        <w:sdtContent>
                          <w:r w:rsidR="00DA20BB">
                            <w:rPr>
                              <w:rStyle w:val="PlaceholderText"/>
                            </w:rPr>
                            <w:t>[Unijeti podseriju]</w:t>
                          </w:r>
                        </w:sdtContent>
                      </w:sdt>
                    </w:p>
                  </w:txbxContent>
                </v:textbox>
                <w10:wrap anchorx="page" anchory="page"/>
                <w10:anchorlock/>
              </v:shape>
            </w:pict>
          </mc:Fallback>
        </mc:AlternateContent>
      </w:r>
      <w:r>
        <w:t xml:space="preserve">doneseno dana </w:t>
      </w:r>
      <w:sdt>
        <w:sdtPr>
          <w:rPr>
            <w:szCs w:val="22"/>
          </w:rPr>
          <w:alias w:val="Odaberite datum"/>
          <w:tag w:val="Välj ett datum"/>
          <w:id w:val="1438946608"/>
          <w:placeholder>
            <w:docPart w:val="E534B498335E4FF69B2409C76F31088A"/>
          </w:placeholder>
          <w:showingPlcHdr/>
          <w:date>
            <w:dateFormat w:val="d MMMM yyyy"/>
            <w:lid w:val="hr-HR"/>
            <w:storeMappedDataAs w:val="dateTime"/>
            <w:calendar w:val="gregorian"/>
          </w:date>
        </w:sdtPr>
        <w:sdtEndPr/>
        <w:sdtContent>
          <w:r>
            <w:rPr>
              <w:rStyle w:val="PlaceholderText"/>
            </w:rPr>
            <w:t>[Odaberite datum]</w:t>
          </w:r>
        </w:sdtContent>
      </w:sdt>
      <w:r>
        <w:t>.</w:t>
      </w:r>
    </w:p>
    <w:p w14:paraId="010B2956" w14:textId="21A435C8" w:rsidR="00E43EE1" w:rsidRDefault="008F31FC" w:rsidP="00B72887">
      <w:pPr>
        <w:pStyle w:val="Styckemedindrag"/>
      </w:pPr>
      <w:r>
        <w:t>U skladu s poglavljem 8. člankom 16. Pravilnika o vozilima (2009:211) Švedska prometna agencija utvrđuje</w:t>
      </w:r>
      <w:r w:rsidR="00A21E13">
        <w:rPr>
          <w:rStyle w:val="FootnoteReference"/>
        </w:rPr>
        <w:footnoteReference w:id="2"/>
      </w:r>
      <w:r>
        <w:t xml:space="preserve"> da Prilog 1. Propisima i općim savjetima Agencije (TSFS 2016:22) o motornim vozilima i vučenim prikolicama puštenima u uporabu 1. srpnja 2010. ili nakon tog datuma glasi kako slijedi.</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Ovi Propisi stupaju na snagu 1. listopada 2023.</w:t>
      </w:r>
    </w:p>
    <w:p w14:paraId="05C0A8CC" w14:textId="0E015735" w:rsidR="00602C6F" w:rsidRDefault="00E4255A" w:rsidP="00E4255A">
      <w:pPr>
        <w:pStyle w:val="Beslutandeochfredragande"/>
      </w:pPr>
      <w:r>
        <w:t>U ime Švedske prometne agencije</w:t>
      </w:r>
      <w:r>
        <w:br/>
      </w:r>
      <w:r>
        <w:br/>
        <w:t>JONAS BJELFVENSTAM</w:t>
      </w:r>
      <w:r>
        <w:br/>
      </w:r>
      <w:r>
        <w:tab/>
        <w:t>Elena Belkow</w:t>
      </w:r>
      <w:r>
        <w:br/>
      </w:r>
      <w:r>
        <w:tab/>
        <w:t>(Cestovni i željeznički promet)</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Prilog 1. Zahtjevi za osobne automobile, autobuse, kamione i njihove prikolice</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Uređaji za osvjetljivanje i svjetlosnu signalizaciju i njihova ugradnja </w:t>
      </w:r>
    </w:p>
    <w:p w14:paraId="110EEE08" w14:textId="77777777" w:rsidR="00F808A7" w:rsidRPr="00802803" w:rsidRDefault="00F808A7" w:rsidP="00F808A7">
      <w:pPr>
        <w:pStyle w:val="Stycke"/>
      </w:pPr>
      <w:r>
        <w:t>Motorno vozilo i prikolica moraju imati uređaje za osvjetljivanje i svjetlosnu signalizaciju kako je navedeno u retku K1 ili K2 u tablici u nastavku. Ti uređaji moraju biti ugrađeni na način da ispunjavaju zahtjeve navedene u retcima K1 ili K2 i retcima od K3 do K7.</w:t>
      </w:r>
    </w:p>
    <w:p w14:paraId="04CE732A" w14:textId="77777777" w:rsidR="00F808A7" w:rsidRPr="00802803" w:rsidRDefault="00F808A7" w:rsidP="00F808A7">
      <w:pPr>
        <w:pStyle w:val="Styckemedindrag"/>
      </w:pPr>
      <w:r>
        <w:t>Motorno vozilo kategorije M</w:t>
      </w:r>
      <w:r>
        <w:rPr>
          <w:vertAlign w:val="subscript"/>
        </w:rPr>
        <w:t>1</w:t>
      </w:r>
      <w:r>
        <w:t>, N</w:t>
      </w:r>
      <w:r>
        <w:rPr>
          <w:vertAlign w:val="subscript"/>
        </w:rPr>
        <w:t>1</w:t>
      </w:r>
      <w:r>
        <w:t xml:space="preserve"> i N</w:t>
      </w:r>
      <w:r>
        <w:rPr>
          <w:vertAlign w:val="subscript"/>
        </w:rPr>
        <w:t>2</w:t>
      </w:r>
      <w:r>
        <w:t xml:space="preserve"> s masom opterećenog vozila do 4 536 kg proizvedeno kao dio velike serije u trećoj zemlji ili za treće zemlje smije ispunjavati zahtjeve retka T1.</w:t>
      </w:r>
    </w:p>
    <w:p w14:paraId="7F24C5F4" w14:textId="77777777" w:rsidR="00F808A7" w:rsidRPr="00802803" w:rsidRDefault="00F808A7" w:rsidP="00F808A7">
      <w:pPr>
        <w:pStyle w:val="Styckemedindrag"/>
      </w:pPr>
      <w:r>
        <w:t>Priključna kolica kategorije O</w:t>
      </w:r>
      <w:r>
        <w:rPr>
          <w:vertAlign w:val="subscript"/>
        </w:rPr>
        <w:t>3</w:t>
      </w:r>
      <w:r>
        <w:t xml:space="preserve"> i O</w:t>
      </w:r>
      <w:r>
        <w:rPr>
          <w:vertAlign w:val="subscript"/>
        </w:rPr>
        <w:t>4</w:t>
      </w:r>
      <w:r>
        <w:t xml:space="preserve"> ne moraju ispunjavati zahtjeve u pogledu oznake obrisa u skladu s retkom K2.</w:t>
      </w:r>
    </w:p>
    <w:p w14:paraId="40CB2E95" w14:textId="77777777" w:rsidR="00F808A7" w:rsidRPr="00802803" w:rsidRDefault="00F808A7" w:rsidP="00F808A7">
      <w:pPr>
        <w:pStyle w:val="Styckemedindrag"/>
      </w:pPr>
      <w:r>
        <w:t>U slučajevima utvrđenima u retku S1 motorno vozilo za stanovanje, vozilo hitne pomoći, pogrebno vozilo, oklopno vozilo i EZ-pokretna dizalica ne moraju ispunjavati sve zahtjeve iz retka K1 ili K2.</w:t>
      </w:r>
    </w:p>
    <w:p w14:paraId="4DC6D73B" w14:textId="77777777" w:rsidR="00F808A7" w:rsidRPr="00802803" w:rsidRDefault="00F808A7" w:rsidP="00F808A7">
      <w:pPr>
        <w:pStyle w:val="Styckemedindrag"/>
      </w:pPr>
      <w:r>
        <w:t>Umjesto toga, u slučajevima utvrđenima u retku S2 motorno vozilo za stanovanje, vozilo hitne pomoći i pogrebno vozilo mogu ispunjavati zahtjeve utvrđene u tom retku.</w:t>
      </w:r>
    </w:p>
    <w:p w14:paraId="603BC8C0" w14:textId="363F9792" w:rsidR="00F808A7" w:rsidRDefault="00F808A7" w:rsidP="007E0EC5">
      <w:pPr>
        <w:pStyle w:val="Styckemedindrag"/>
      </w:pPr>
      <w:r>
        <w:t>Ne dovodeći u pitanje zahtjeve iz redaka K1, K2 i T1, motorno vozilo i prikolica mogu biti opremljeni u skladu sa zahtjevima iz redaka U1 do U11.</w:t>
      </w:r>
    </w:p>
    <w:p w14:paraId="5E247C37" w14:textId="27AB0253" w:rsidR="00012970" w:rsidRDefault="00012970" w:rsidP="007E0EC5">
      <w:pPr>
        <w:pStyle w:val="StyckemedindragNDRAD"/>
      </w:pPr>
      <w:r>
        <w:t>Ne dovodeći u pitanje zahtjeve iz redaka K1, K2 i T1, policijska vozila mogu biti opremljena u skladu sa zahtjevima iz retka U12.</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1600"/>
        <w:gridCol w:w="1465"/>
        <w:gridCol w:w="1813"/>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Redak</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Odredbe</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Primjenjuje se na vozila puštena u uporabu</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Sukladno zahtjevima Direktive</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76/756/EEZ</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izmijenjeno Direktivom</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97/28/EZ</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1.7.2010.–</w:t>
            </w:r>
          </w:p>
          <w:p w14:paraId="3B45EE3C" w14:textId="77777777" w:rsidR="00F808A7" w:rsidRPr="00802803" w:rsidRDefault="00F808A7" w:rsidP="00FC02EB">
            <w:pPr>
              <w:ind w:right="72"/>
              <w:rPr>
                <w:bCs/>
                <w:sz w:val="19"/>
                <w:szCs w:val="19"/>
              </w:rPr>
            </w:pPr>
            <w:r>
              <w:rPr>
                <w:sz w:val="19"/>
              </w:rPr>
              <w:t>9.7.2011.</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2007/35/EZ</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1.7.2010.–</w:t>
            </w:r>
          </w:p>
          <w:p w14:paraId="3F14FBB5" w14:textId="77777777" w:rsidR="00F808A7" w:rsidRPr="00802803" w:rsidRDefault="00F808A7" w:rsidP="00FC02EB">
            <w:pPr>
              <w:ind w:right="72"/>
              <w:rPr>
                <w:bCs/>
                <w:sz w:val="19"/>
                <w:szCs w:val="19"/>
              </w:rPr>
            </w:pPr>
            <w:r>
              <w:rPr>
                <w:sz w:val="19"/>
              </w:rPr>
              <w:t>31.12.2017.</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2008/89/EZ</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1.7.2010.–</w:t>
            </w:r>
          </w:p>
          <w:p w14:paraId="28458C32" w14:textId="77777777" w:rsidR="00F808A7" w:rsidRPr="00802803" w:rsidRDefault="00F808A7" w:rsidP="00FC02EB">
            <w:pPr>
              <w:ind w:right="72"/>
              <w:rPr>
                <w:bCs/>
                <w:sz w:val="19"/>
                <w:szCs w:val="19"/>
              </w:rPr>
            </w:pPr>
            <w:r>
              <w:rPr>
                <w:sz w:val="19"/>
              </w:rPr>
              <w:t>31.12.2017.</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lastRenderedPageBreak/>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Sukladno zahtjevima</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Pravilnik br. 48</w:t>
            </w:r>
            <w:r>
              <w:rPr>
                <w:b/>
                <w:sz w:val="19"/>
              </w:rPr>
              <w:br/>
              <w:t>Gospodarske komisije Ujedinjenih naroda za Europu (UN/ECE)</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serija izmjena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1.7.2010.–</w:t>
            </w:r>
          </w:p>
          <w:p w14:paraId="18750CC3" w14:textId="77777777" w:rsidR="00F808A7" w:rsidRPr="00802803" w:rsidRDefault="00F808A7" w:rsidP="00FC02EB">
            <w:pPr>
              <w:ind w:right="72"/>
              <w:rPr>
                <w:bCs/>
                <w:sz w:val="19"/>
                <w:szCs w:val="19"/>
              </w:rPr>
            </w:pPr>
            <w:r>
              <w:rPr>
                <w:sz w:val="19"/>
              </w:rPr>
              <w:t>9.7.2011.</w:t>
            </w:r>
          </w:p>
          <w:p w14:paraId="5D774637" w14:textId="77777777" w:rsidR="00F808A7" w:rsidRPr="00802803" w:rsidRDefault="00F808A7" w:rsidP="00FC02EB">
            <w:pPr>
              <w:ind w:right="72"/>
              <w:rPr>
                <w:bCs/>
                <w:sz w:val="19"/>
                <w:szCs w:val="19"/>
              </w:rPr>
            </w:pPr>
            <w:r>
              <w:rPr>
                <w:sz w:val="19"/>
              </w:rPr>
              <w:t>Ograničeno na kategoriju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i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serija izmjena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 xml:space="preserve">1.7.2010. </w:t>
            </w:r>
            <w:r>
              <w:rPr>
                <w:sz w:val="19"/>
              </w:rPr>
              <w:br/>
              <w:t>ili nakon tog datuma</w:t>
            </w:r>
          </w:p>
          <w:p w14:paraId="5F0AE3FB" w14:textId="77777777" w:rsidR="00F808A7" w:rsidRPr="00802803" w:rsidRDefault="00F808A7" w:rsidP="00FC02EB">
            <w:pPr>
              <w:ind w:right="72"/>
              <w:rPr>
                <w:bCs/>
                <w:sz w:val="19"/>
                <w:szCs w:val="19"/>
                <w:vertAlign w:val="subscript"/>
              </w:rPr>
            </w:pPr>
            <w:r>
              <w:rPr>
                <w:sz w:val="19"/>
              </w:rPr>
              <w:t>Ograničeno na kategoriju M, N</w:t>
            </w:r>
            <w:r>
              <w:rPr>
                <w:sz w:val="19"/>
                <w:vertAlign w:val="subscript"/>
              </w:rPr>
              <w:t>1</w:t>
            </w:r>
            <w:r>
              <w:rPr>
                <w:sz w:val="19"/>
              </w:rPr>
              <w:t>, N</w:t>
            </w:r>
            <w:r>
              <w:rPr>
                <w:sz w:val="19"/>
                <w:vertAlign w:val="subscript"/>
              </w:rPr>
              <w:t xml:space="preserve">2 </w:t>
            </w:r>
            <w:r>
              <w:rPr>
                <w:sz w:val="19"/>
              </w:rPr>
              <w:t>≤ 7 500 kg, O</w:t>
            </w:r>
            <w:r>
              <w:rPr>
                <w:sz w:val="19"/>
                <w:vertAlign w:val="subscript"/>
              </w:rPr>
              <w:t>1</w:t>
            </w:r>
            <w:r>
              <w:rPr>
                <w:sz w:val="19"/>
              </w:rPr>
              <w:t xml:space="preserve"> i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serija izmjena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 xml:space="preserve">1.7.2010. </w:t>
            </w:r>
            <w:r>
              <w:rPr>
                <w:sz w:val="19"/>
              </w:rPr>
              <w:br/>
              <w:t>ili nakon tog datuma</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serija izmjena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 xml:space="preserve">1.7.2010. </w:t>
            </w:r>
            <w:r>
              <w:rPr>
                <w:sz w:val="19"/>
              </w:rPr>
              <w:br/>
              <w:t>ili nakon tog datuma</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serija izmjena 05</w:t>
            </w:r>
          </w:p>
          <w:p w14:paraId="1FB931CF" w14:textId="77777777" w:rsidR="00F808A7" w:rsidRPr="00802803" w:rsidRDefault="00F808A7" w:rsidP="00FC02EB">
            <w:pPr>
              <w:spacing w:line="232" w:lineRule="exact"/>
              <w:jc w:val="right"/>
              <w:rPr>
                <w:sz w:val="19"/>
              </w:rPr>
            </w:pPr>
            <w:r>
              <w:rPr>
                <w:sz w:val="19"/>
              </w:rPr>
              <w:t>ili naknadne izmjene</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30.1.2011. </w:t>
            </w:r>
            <w:r>
              <w:rPr>
                <w:sz w:val="19"/>
              </w:rPr>
              <w:br/>
              <w:t>ili nakon tog datuma</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Glavna svjetla, svjetla, reflektori i žarulje sa žarnom niti ne smiju biti obojana, neovisno o boji.</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Vozila ne smiju imati glavna svjetla ili svjetla bilo koje vrste osim kako je utvrđeno u ovim ili drugim propisima koje je izdala Švedska prometna agencija.</w:t>
            </w:r>
          </w:p>
          <w:p w14:paraId="0BDE9AB0" w14:textId="77777777" w:rsidR="00F808A7" w:rsidRPr="00802803" w:rsidRDefault="00F808A7" w:rsidP="00FC02EB">
            <w:pPr>
              <w:pStyle w:val="Styckemedindrag"/>
              <w:rPr>
                <w:i/>
              </w:rPr>
            </w:pPr>
            <w:r>
              <w:t>Međutim, vozila mogu biti opremljena uređajima za osvjetljivanje koji čine neobavezna svjetla u skladu s Pravilnikom br. 48 Gospodarske komisije Ujedinjenih naroda za Europu, pod uvjetom da su uređaji ugrađeni u skladu sa zahtjevima Propisa.</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Glavna svjetla i svjetla postavljaju se na vozilo na način da svjetlost ne ometa vozača vozila.</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Ako ta zaštita značajno smanjuje svjetlost svjetla ili glavnog svjetla, na vozilu se ne smije nalaziti zaštita od kamenja za obavezna svjetla ili obavezna glavna svjetla. To se također odnosi na zaštitu od kamenja izrađenu od materijala koji se može lako oštetiti i na taj način smanjiti svjetlost svjetla ili glavnog svjetla.</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lastRenderedPageBreak/>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Vozila ne smiju biti opremljena uređajem koji može uzrokovati uznemirujuće refleksije ili koji bi mogao zaslijepiti drugog vozača.</w:t>
            </w:r>
          </w:p>
          <w:p w14:paraId="6A0836F4" w14:textId="77777777" w:rsidR="00F808A7" w:rsidRPr="00802803" w:rsidRDefault="00F808A7" w:rsidP="00FC02EB">
            <w:pPr>
              <w:pStyle w:val="Styckemedindrag"/>
              <w:rPr>
                <w:bCs/>
                <w:szCs w:val="19"/>
              </w:rPr>
            </w:pPr>
            <w:r>
              <w:t>Osim toga, vozila ne smiju biti opremljena uređajem koji tijekom vožnje može prikazivati slike koje se mijenjaju ili pokretne slike, tekstove ili slično koji su vidljivi sudionicima u prometu izvan vozila. Međutim, autobusi u redovnom prometu mogu, u vezi s autobusnim postajama, imati znakove odredišta na kojima se prikazuju prometne informacije koje se mijenjaju.</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Motorno vozilo mora imati uređaje za osvjetljivanje i svjetlosnu signalizaciju koji ispunjavaju alternativne tehničke zahtjeve utvrđene u točki 20. dijelova I. i II. Dodatka 2. Prilogu IV. Direktivi 2007/46/EZ u tekstu u skladu s Uredbom (EU) br. 183/2011. Za motorno vozilo kategorije N</w:t>
            </w:r>
            <w:r>
              <w:rPr>
                <w:vertAlign w:val="subscript"/>
              </w:rPr>
              <w:t>2</w:t>
            </w:r>
            <w:r>
              <w:t>, primjenjuju se isti zahtjevi kao i za motorno vozilo kategorije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Ako zbog posebne uporabe vozila nije moguće ispuniti sve zahtjeve iz retka K1 ili K2, može se odobriti izuzeće od zahtjeva pod uvjetom da su ugrađeni svi obvezni uređaji za osvjetljavanje. U slučaju vozila za stanovanje, vozila hitne pomoći, pogrebnog vozila i oklopnog vozila ne smije biti ugrožena geometrijska vidljivost.</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Osobno vozilo ukupne mase veće od 2 500 kg koje čine kamion ili autobus može biti u skladu sa zahtjevima koji se primjenjuju na osnovno vozilo. Isto vrijedi za autobus koji čine kamion ili osobno vozilo.</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Vozila ne moraju ispunjavati sljedeće zahtjeve Pravilnika br. 48 i Priloga UN/ECE-a i Priloga 2. Direktivi 76/756/EEZ:</w:t>
            </w:r>
          </w:p>
          <w:p w14:paraId="0B6FFA58" w14:textId="77777777" w:rsidR="00F808A7" w:rsidRPr="00DC4B0A" w:rsidRDefault="00F808A7" w:rsidP="00FC02EB">
            <w:pPr>
              <w:pStyle w:val="Styckemedindrag"/>
            </w:pPr>
            <w:r>
              <w:t>1. 6.1.2. u pogledu ograničenja na najviše četiri duga glavna svjetla.</w:t>
            </w:r>
          </w:p>
          <w:p w14:paraId="61E3C0AF" w14:textId="77777777" w:rsidR="00F808A7" w:rsidRPr="00DC4B0A" w:rsidRDefault="00F808A7" w:rsidP="00FC02EB">
            <w:pPr>
              <w:pStyle w:val="Styckemedindrag"/>
            </w:pPr>
            <w:r>
              <w:t>2. 6.1.9. (najveća ukupna jakost svjetlosnih snopova).</w:t>
            </w:r>
          </w:p>
          <w:p w14:paraId="7963D4AF" w14:textId="77777777" w:rsidR="00F808A7" w:rsidRPr="00DC4B0A" w:rsidRDefault="00F808A7" w:rsidP="00FC02EB">
            <w:pPr>
              <w:pStyle w:val="Styckemedindrag"/>
            </w:pPr>
            <w:r>
              <w:t>3. 6.10.2. u pogledu ograničenja na najviše dva stražnja pozicijska svjetla. Međutim, broj svjetala trebao bi biti paran.</w:t>
            </w:r>
          </w:p>
          <w:p w14:paraId="05E338FC" w14:textId="77777777" w:rsidR="00F808A7" w:rsidRPr="00DC4B0A" w:rsidRDefault="00F808A7" w:rsidP="00FC02EB">
            <w:pPr>
              <w:pStyle w:val="Styckemedindrag"/>
            </w:pPr>
            <w:r>
              <w:t>4. 6.4.2. u pogledu ograničenja na najviše dva svjetla za vožnju unatrag. Broj svjetala za osvjetljivanje ne smije biti veći od četiri.</w:t>
            </w:r>
          </w:p>
          <w:p w14:paraId="790DD550" w14:textId="77777777" w:rsidR="00F808A7" w:rsidRPr="00DC4B0A" w:rsidRDefault="00F808A7" w:rsidP="00FC02EB">
            <w:pPr>
              <w:pStyle w:val="Styckemedindrag"/>
            </w:pPr>
            <w:r>
              <w:t>5. 6.5.3. s obzirom na ograničenje na najviše dva stražnja pokazivača smjera kategorije 2a ili 2b. Broj svjetala ne smije biti veći od četiri.</w:t>
            </w:r>
          </w:p>
          <w:p w14:paraId="22BD5FFE" w14:textId="77777777" w:rsidR="00F808A7" w:rsidRPr="00DC4B0A" w:rsidRDefault="00F808A7" w:rsidP="00FC02EB">
            <w:pPr>
              <w:pStyle w:val="Styckemedindrag"/>
            </w:pPr>
            <w:r>
              <w:t>6. 6.6.7.2. u pogledu ograničenja na najviše dva kočna svjetla kategorije S1 ili S2. Broj svjetala ne smije biti veći od četiri.</w:t>
            </w:r>
          </w:p>
          <w:p w14:paraId="5618458D" w14:textId="77777777" w:rsidR="00F808A7" w:rsidRPr="00802803" w:rsidRDefault="00F808A7" w:rsidP="00FC02EB">
            <w:pPr>
              <w:pStyle w:val="Styckemedindrag"/>
              <w:rPr>
                <w:szCs w:val="19"/>
              </w:rPr>
            </w:pPr>
            <w:r>
              <w:t>7. 6.9.2. u pogledu ograničenja na najviše dva prednja pozicijska svjetla. Broj svjetala ne smije biti veći od četiri.</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Vozilo može imati svjetla namijenjena za dodatno osvjetljivanje kada se radi uz vozilo, koja su poznata kao radna svjetla i koja emitiraju bijelu svjetlost. Svjetla za pretraživanje također se smatraju radnim svjetlima.</w:t>
            </w:r>
          </w:p>
          <w:p w14:paraId="7C92BB7C" w14:textId="77777777" w:rsidR="00F808A7" w:rsidRPr="00121825" w:rsidRDefault="00F808A7" w:rsidP="00FC02EB">
            <w:pPr>
              <w:pStyle w:val="Styckemedindrag"/>
              <w:rPr>
                <w:szCs w:val="19"/>
              </w:rPr>
            </w:pPr>
            <w:r>
              <w:t>Mora postojati indikatorsko svjetlo koje emitira svjetlost jantarne ili crvene boje kad su spojena radna svjetla, a svjetlo mora biti vidljivo s vozačkog sjedala.</w:t>
            </w:r>
          </w:p>
          <w:p w14:paraId="242F9004" w14:textId="77777777" w:rsidR="00F808A7" w:rsidRPr="00254CD4" w:rsidRDefault="00F808A7" w:rsidP="00FC02EB">
            <w:pPr>
              <w:pStyle w:val="Styckemedindrag"/>
              <w:rPr>
                <w:szCs w:val="19"/>
              </w:rPr>
            </w:pPr>
            <w:r>
              <w:t>Osvjetljenje mora biti ugrađeno na način da ne vibrira ili ne mijenja položaj tijekom uobičajene vožnje.</w:t>
            </w:r>
          </w:p>
          <w:p w14:paraId="4FB4A89E" w14:textId="77777777" w:rsidR="00F808A7" w:rsidRPr="00121825" w:rsidRDefault="00F808A7" w:rsidP="00FC02EB">
            <w:pPr>
              <w:pStyle w:val="Styckemedindrag"/>
              <w:rPr>
                <w:szCs w:val="19"/>
              </w:rPr>
            </w:pPr>
            <w:r>
              <w:t>Radna svjetla ne smiju:</w:t>
            </w:r>
          </w:p>
          <w:p w14:paraId="60B593F5" w14:textId="77777777" w:rsidR="00F808A7" w:rsidRPr="00254CD4" w:rsidRDefault="00F808A7" w:rsidP="00FC02EB">
            <w:pPr>
              <w:pStyle w:val="Styckemedindrag"/>
              <w:rPr>
                <w:szCs w:val="19"/>
              </w:rPr>
            </w:pPr>
            <w:r>
              <w:t>1. biti grupirana s drugim reflektorima ili svjetlima;</w:t>
            </w:r>
          </w:p>
          <w:p w14:paraId="30FA00B0" w14:textId="77777777" w:rsidR="00F808A7" w:rsidRPr="00254CD4" w:rsidRDefault="00F808A7" w:rsidP="00FC02EB">
            <w:pPr>
              <w:pStyle w:val="Styckemedindrag"/>
              <w:rPr>
                <w:szCs w:val="19"/>
              </w:rPr>
            </w:pPr>
            <w:r>
              <w:t>2. biti kombinirana s drugim reflektorima ili svjetlima; i</w:t>
            </w:r>
          </w:p>
          <w:p w14:paraId="01F91BE2" w14:textId="77777777" w:rsidR="00F808A7" w:rsidRPr="00802803" w:rsidRDefault="00F808A7" w:rsidP="00FC02EB">
            <w:pPr>
              <w:pStyle w:val="Styckemedindrag"/>
              <w:rPr>
                <w:szCs w:val="19"/>
              </w:rPr>
            </w:pPr>
            <w:r>
              <w:t>3. tvoriti uzajamno povezane reflektore ili svjetla.</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Autobusi mogu imati svjetla za osvjetljivanje površina izvan vrata za putnike, koja su poznata kao svjetla za iskrcaj i koja se nalaze uz vrata za putnike.</w:t>
            </w:r>
          </w:p>
          <w:p w14:paraId="762E573B" w14:textId="77777777" w:rsidR="00F808A7" w:rsidRPr="00802803" w:rsidRDefault="00F808A7" w:rsidP="00FC02EB">
            <w:pPr>
              <w:pStyle w:val="Styckemedindrag"/>
            </w:pPr>
            <w:r>
              <w:t>Visina svjetla za iskrcaj mora biti najmanje 2 000 mm.</w:t>
            </w:r>
          </w:p>
          <w:p w14:paraId="6AD55676" w14:textId="77777777" w:rsidR="00F808A7" w:rsidRPr="00802803" w:rsidRDefault="00F808A7" w:rsidP="00FC02EB">
            <w:pPr>
              <w:pStyle w:val="Styckemedindrag"/>
              <w:rPr>
                <w:szCs w:val="19"/>
              </w:rPr>
            </w:pPr>
            <w:r>
              <w:t>Svjetla za iskrcaj ne smiju stršiti više od 50 mm iznad najveće širine nadogradnje.</w:t>
            </w:r>
          </w:p>
          <w:p w14:paraId="1562D997" w14:textId="77777777" w:rsidR="00F808A7" w:rsidRPr="00802803" w:rsidRDefault="00F808A7" w:rsidP="00FC02EB">
            <w:pPr>
              <w:pStyle w:val="Styckemedindrag"/>
              <w:rPr>
                <w:szCs w:val="19"/>
              </w:rPr>
            </w:pPr>
            <w:r>
              <w:t>Svjetla za iskrcaj moraju biti postavljena i zasjenjena na način da ne emitiraju svjetlost koja može zaslijepiti druge sudionike u prometu u području izvan radijusa od 10 metara od svjetla.</w:t>
            </w:r>
          </w:p>
          <w:p w14:paraId="0C423EEA" w14:textId="77777777" w:rsidR="00F808A7" w:rsidRPr="00802803" w:rsidRDefault="00F808A7" w:rsidP="00FC02EB">
            <w:pPr>
              <w:pStyle w:val="Styckemedindrag"/>
              <w:rPr>
                <w:szCs w:val="19"/>
              </w:rPr>
            </w:pPr>
            <w:r>
              <w:t>Osvjetljenje mora biti ugrađeno na način da ne vibrira ili ne mijenja položaj tijekom uobičajene vožnje.</w:t>
            </w:r>
          </w:p>
          <w:p w14:paraId="64744E4E" w14:textId="77777777" w:rsidR="00F808A7" w:rsidRDefault="00F808A7" w:rsidP="00FC02EB">
            <w:pPr>
              <w:pStyle w:val="Styckemedindrag"/>
            </w:pPr>
            <w:r>
              <w:t>Svjetla za iskrcaj ne smiju:</w:t>
            </w:r>
          </w:p>
          <w:p w14:paraId="5CECE21F" w14:textId="77777777" w:rsidR="00F808A7" w:rsidRPr="00DC4B0A" w:rsidRDefault="00F808A7" w:rsidP="00FC02EB">
            <w:pPr>
              <w:pStyle w:val="Styckemedindrag"/>
              <w:rPr>
                <w:szCs w:val="19"/>
              </w:rPr>
            </w:pPr>
            <w:r>
              <w:t>1. biti grupirana s drugim reflektorima ili svjetlima;</w:t>
            </w:r>
          </w:p>
          <w:p w14:paraId="06ABACA9" w14:textId="77777777" w:rsidR="00F808A7" w:rsidRPr="00DC4B0A" w:rsidRDefault="00F808A7" w:rsidP="00FC02EB">
            <w:pPr>
              <w:pStyle w:val="Styckemedindrag"/>
              <w:rPr>
                <w:szCs w:val="19"/>
              </w:rPr>
            </w:pPr>
            <w:r>
              <w:t>2. biti kombinirana s drugim reflektorima ili svjetlima; i</w:t>
            </w:r>
          </w:p>
          <w:p w14:paraId="030B8A5E" w14:textId="77777777" w:rsidR="00F808A7" w:rsidRPr="00121825" w:rsidRDefault="00F808A7" w:rsidP="00FC02EB">
            <w:pPr>
              <w:pStyle w:val="Styckemedindrag"/>
              <w:rPr>
                <w:szCs w:val="19"/>
              </w:rPr>
            </w:pPr>
            <w:r>
              <w:t>3. tvoriti uzajamno povezane reflektore ili svjetla.</w:t>
            </w:r>
          </w:p>
          <w:p w14:paraId="6CC7E9C0" w14:textId="77777777" w:rsidR="00F808A7" w:rsidRPr="00802803" w:rsidRDefault="00F808A7" w:rsidP="00FC02EB">
            <w:pPr>
              <w:pStyle w:val="Styckemedindrag"/>
            </w:pPr>
            <w:r>
              <w:t>Svjetla za iskrcaj moraju biti spojena na električni sustav vozila tako da se mogu svijetliti samo u vezi s otvaranjem vrata za putnike i ne mogu svijetliti kad vozilo dosegne brzinu od 5 km/h ili višu.</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Vozila koja su zbog svoje uporabe opremljena opremom koja skriva glavna kratka svjetla mogu biti opremljena četirima glavnim kratkim svjetlima, pod uvjetom da su glavna svjetla spojena na način da ne mogu biti upaljena oba para istovremeno.</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Osobna vozila koja se upotrebljavaju kao taksiji mogu biti opremljeni svjetlom koje prikazuje zelenu svjetlost prema naprijed (što ukazuje da je taksi slobodan).</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lastRenderedPageBreak/>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Policijska vozila mogu biti opremljena svjetlima za policijski signal P11 – isključenje iz prometa zaustavljanje ispred policijskog vozila – u skladu s poglavljem 7. člankom 2. Pravilnika o prometnim znakovima (2007:90) koja emitiraju plavu i crvenu svjetlost.</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Dodatni reflektori na vozilu hitne pomoći mogu prikazivati bijelu svjetlost straga.</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Kamion kategorije N</w:t>
            </w:r>
            <w:r>
              <w:rPr>
                <w:vertAlign w:val="subscript"/>
              </w:rPr>
              <w:t xml:space="preserve">2 </w:t>
            </w:r>
            <w:r>
              <w:t>i N</w:t>
            </w:r>
            <w:r>
              <w:rPr>
                <w:vertAlign w:val="subscript"/>
              </w:rPr>
              <w:t>3</w:t>
            </w:r>
            <w:r>
              <w:t xml:space="preserve"> i prikolica kategorije O</w:t>
            </w:r>
            <w:r>
              <w:rPr>
                <w:vertAlign w:val="subscript"/>
              </w:rPr>
              <w:t>3</w:t>
            </w:r>
            <w:r>
              <w:t xml:space="preserve"> i O</w:t>
            </w:r>
            <w:r>
              <w:rPr>
                <w:vertAlign w:val="subscript"/>
              </w:rPr>
              <w:t>4</w:t>
            </w:r>
            <w:r>
              <w:t xml:space="preserve"> mogu biti opremljeni znakovima za teška ili duga vozila. Znakovi moraju biti homologirani i ugrađeni u skladu s Pravilnikom br. 70 UNECE-a.</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Odredbe o izuzećima za znakove za polaznike na vozilima koja upotrebljavaju autoškole nalaze se u članku 6. Propisa Švedske prometne agencije (TSFS 2010:81) o znakovima koji ukazuju na polaznike autoškole i znakovima za osposobljavanje vozača te za nadzor vježbanja vožnje u autoškoli.</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Vučno vozilo može biti opremljeno dodatnim pozicijskim svjetlom, kočnim svjetlom i pokazivačem smjera na svakoj strani, na stražnjoj strani, uz stražnju stijenku kabine vozila. Postavljanje svjetala može se razlikovati ovisno o udaljenosti koja je potrebna kako bi vozilo imalo jasno vidljivo osvjetljenje na stražnjoj strani tijekom vuče.</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Prikolica visine do 1,4 metra ne mora biti opremljena gabaritnim svjetlima. To vrijedi i za motorno vozilo visine do 1,4 metra, izračunano od stražnje strane do stražnje stijenke kabine vozila.</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Policijska vozila za hitne slučajeve mogu biti opremljena svjetlima koja emitiraju postojanu slabu plavu svjetlost. Svjetlost mora biti dovoljno slaba da se svjetlost ne može zamijeniti s plavim svjetlom iz alarmnog uređaja vozila. Svjetlost ne smije biti zasljepljujuća i ne smije se moći prigušiti.</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Reflektirajući uređaji</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72B4C7C7" w:rsidR="00FC02EB" w:rsidRDefault="00FC02EB" w:rsidP="00D104F7">
                          <w:pPr>
                            <w:pStyle w:val="FSnr-sidhuvud"/>
                            <w:ind w:left="0" w:right="0"/>
                          </w:pPr>
                          <w:r>
                            <w:fldChar w:fldCharType="begin"/>
                          </w:r>
                          <w:r>
                            <w:instrText xml:space="preserve"> STYLEREF  FS-nr  \* MERGEFORMAT </w:instrText>
                          </w:r>
                          <w:r>
                            <w:fldChar w:fldCharType="separate"/>
                          </w:r>
                          <w:r w:rsidR="00B8223A">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72B4C7C7" w:rsidR="00FC02EB" w:rsidRDefault="00FC02EB" w:rsidP="00D104F7">
                    <w:pPr>
                      <w:pStyle w:val="FSnr-sidhuvud"/>
                      <w:ind w:left="0" w:right="0"/>
                    </w:pPr>
                    <w:r>
                      <w:fldChar w:fldCharType="begin"/>
                    </w:r>
                    <w:r>
                      <w:instrText xml:space="preserve"> STYLEREF  FS-nr  \* MERGEFORMAT </w:instrText>
                    </w:r>
                    <w:r>
                      <w:fldChar w:fldCharType="separate"/>
                    </w:r>
                    <w:r w:rsidR="00B8223A">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Vidjeti Direktivu (EU) 2015/1535 Europskog parlamenta</w:t>
      </w:r>
      <w:r>
        <w:rPr>
          <w:i/>
        </w:rPr>
        <w:t xml:space="preserve"> </w:t>
      </w:r>
      <w:r>
        <w:t>i Vijeća od 9. rujna 2015. o utvrđivanju postupka pružanja informacija u području tehničkih propisa i pravila o uslugama informacijskog društva.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B8223A" w:rsidP="00641EF3">
    <w:pPr>
      <w:pStyle w:val="FSnr-sidhuvud"/>
      <w:ind w:left="3345" w:firstLine="1871"/>
    </w:pPr>
    <w:sdt>
      <w:sdtPr>
        <w:alias w:val="Zbornik propisa"/>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Prilog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B8223A" w:rsidP="00A41C32">
    <w:pPr>
      <w:pStyle w:val="FSnr-sidhuvud"/>
      <w:jc w:val="right"/>
    </w:pPr>
    <w:sdt>
      <w:sdtPr>
        <w:alias w:val="Zbornik propisa"/>
        <w:id w:val="1150257239"/>
        <w:text/>
      </w:sdtPr>
      <w:sdtEndPr/>
      <w:sdtContent>
        <w:r w:rsidR="00DA20BB">
          <w:t>TSFS 20</w:t>
        </w:r>
      </w:sdtContent>
    </w:sdt>
    <w:sdt>
      <w:sdtPr>
        <w:alias w:val="Godina"/>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Br."/>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223A"/>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hr-HR"/>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hr-HR"/>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hr-HR"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[Odaberite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3.xml><?xml version="1.0" encoding="utf-8"?>
<root xmlns="consensis-fs">
  <fs-fields>
    <fs-no-prefix/>
    <fs-year>23</fs-year>
    <fs-no>XX</fs-no>
    <fs-date/>
    <fs-series>CESTOVNI PROMET</fs-series>
    <fs-subseries/>
    <fs-heading/>
  </fs-fields>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2.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3.xml><?xml version="1.0" encoding="utf-8"?>
<ds:datastoreItem xmlns:ds="http://schemas.openxmlformats.org/officeDocument/2006/customXml" ds:itemID="{F222B965-9C48-4AC7-962E-E2AF3EEF1550}">
  <ds:schemaRefs>
    <ds:schemaRef ds:uri="consensis-fs"/>
  </ds:schemaRefs>
</ds:datastoreItem>
</file>

<file path=customXml/itemProps4.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5.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Föreskrift.dotm</Template>
  <TotalTime>6</TotalTime>
  <Pages>7</Pages>
  <Words>1514</Words>
  <Characters>8491</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5</cp:revision>
  <cp:lastPrinted>2008-12-18T15:33:00Z</cp:lastPrinted>
  <dcterms:created xsi:type="dcterms:W3CDTF">2023-04-19T05:52:00Z</dcterms:created>
  <dcterms:modified xsi:type="dcterms:W3CDTF">2023-04-26T15:00:00Z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