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42AB2014" w:rsidR="00DF230E" w:rsidRDefault="00F85DA0" w:rsidP="003358AD">
      <w:pPr>
        <w:pStyle w:val="Titel"/>
        <w:tabs>
          <w:tab w:val="clear" w:pos="6804"/>
          <w:tab w:val="right" w:pos="7655"/>
        </w:tabs>
      </w:pPr>
      <w:r w:rsidRPr="003358AD">
        <w:rPr>
          <w:noProof/>
          <w:szCs w:val="36"/>
        </w:rPr>
        <mc:AlternateContent>
          <mc:Choice Requires="wps">
            <w:drawing>
              <wp:anchor distT="0" distB="0" distL="114300" distR="114300" simplePos="0" relativeHeight="251659265" behindDoc="0" locked="0" layoutInCell="1" allowOverlap="1" wp14:anchorId="438AC7CC" wp14:editId="45E7402A">
                <wp:simplePos x="0" y="0"/>
                <wp:positionH relativeFrom="column">
                  <wp:posOffset>4042410</wp:posOffset>
                </wp:positionH>
                <wp:positionV relativeFrom="paragraph">
                  <wp:posOffset>194945</wp:posOffset>
                </wp:positionV>
                <wp:extent cx="1143000" cy="495300"/>
                <wp:effectExtent l="0" t="0" r="0" b="0"/>
                <wp:wrapNone/>
                <wp:docPr id="799183960" name="Text Box 1"/>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ŠVEDIJOS TRANSPORTO AGENTŪRA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8.3pt;margin-top:15.35pt;width:90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" fillcolor="white [3201]" stroked="f" strokeweight=".5pt">
                <v:textbox inset="0,0,0,0">
                  <w:txbxContent>
                    <w:p w14:paraId="374CE7CB" w14:textId="164B17EE" w:rsidR="00F85DA0" w:rsidRPr="00F85DA0" w:rsidRDefault="00F85DA0">
                      <w:pPr>
                        <w:rPr>
                          <w:b/>
                          <w:bCs/>
                          <w:sz w:val="22"/>
                          <w:szCs w:val="22"/>
                        </w:rPr>
                      </w:pPr>
                      <w:r>
                        <w:rPr>
                          <w:b/>
                          <w:sz w:val="22"/>
                        </w:rPr>
                        <w:t>ŠVEDIJOS TRANSPORTO AGENTŪRA</w:t>
                      </w:r>
                    </w:p>
                  </w:txbxContent>
                </v:textbox>
              </v:shape>
            </w:pict>
          </mc:Fallback>
        </mc:AlternateContent>
      </w:r>
      <w:r w:rsidRPr="003358AD">
        <w:rPr>
          <w:szCs w:val="36"/>
        </w:rPr>
        <w:t xml:space="preserve">Švedijos transporto </w:t>
      </w:r>
      <w:r w:rsidR="003358AD">
        <w:rPr>
          <w:szCs w:val="36"/>
        </w:rPr>
        <w:br/>
      </w:r>
      <w:r w:rsidRPr="003358AD">
        <w:rPr>
          <w:szCs w:val="36"/>
        </w:rPr>
        <w:t>agentūros teisės aktų rinkinys</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Taisyklės,</w:t>
      </w:r>
      <w:r>
        <w:br/>
        <w:t>kuriomis iš dalies keičiamos Švedijos transporto agentūros taisyklės ir bendrosios rekomendacijos (TSFS 2016:22) dėl automobilių ir automobilių velkamų priekabų, pradėtų eksploatuoti 2010 m. liepos 1 d. ar vėliau;</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3055F4C5">
                <wp:simplePos x="0" y="0"/>
                <wp:positionH relativeFrom="page">
                  <wp:posOffset>4442460</wp:posOffset>
                </wp:positionH>
                <wp:positionV relativeFrom="page">
                  <wp:posOffset>2275205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3358AD"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Metai"/>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Paskelbta</w:t>
                            </w:r>
                            <w:r>
                              <w:br/>
                            </w:r>
                            <w:sdt>
                              <w:sdtPr>
                                <w:alias w:val="Pasirinkti datą"/>
                                <w:tag w:val="Utkom datum"/>
                                <w:id w:val="1764647152"/>
                                <w:showingPlcHdr/>
                                <w:dataBinding w:prefixMappings="xmlns:ns0='consensis-fs'" w:xpath="/ns0:root[1]/ns0:fs-fields[1]/ns0:fs-date[1]" w:storeItemID="{F222B965-9C48-4AC7-962E-E2AF3EEF1550}"/>
                                <w:date>
                                  <w:dateFormat w:val="d MMMM yyyy"/>
                                  <w:lid w:val="lt-LT"/>
                                  <w:storeMappedDataAs w:val="dateTime"/>
                                  <w:calendar w:val="gregorian"/>
                                </w:date>
                              </w:sdtPr>
                              <w:sdtEndPr/>
                              <w:sdtContent>
                                <w:r>
                                  <w:rPr>
                                    <w:rStyle w:val="PlaceholderText"/>
                                  </w:rPr>
                                  <w:t>[Pasirinkti datą]</w:t>
                                </w:r>
                              </w:sdtContent>
                            </w:sdt>
                          </w:p>
                          <w:sdt>
                            <w:sdtPr>
                              <w:alias w:val="Įvesti seriją"/>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KELIŲ EISMAS</w:t>
                                </w:r>
                              </w:p>
                            </w:sdtContent>
                          </w:sdt>
                          <w:p w14:paraId="55142639" w14:textId="77777777" w:rsidR="00FC02EB" w:rsidRPr="007C403E" w:rsidRDefault="003358AD" w:rsidP="007C403E">
                            <w:pPr>
                              <w:pStyle w:val="Underserie"/>
                              <w:rPr>
                                <w:bCs/>
                              </w:rPr>
                            </w:pPr>
                            <w:sdt>
                              <w:sdtPr>
                                <w:alias w:val="Įvesti serijos dalis"/>
                                <w:tag w:val="Userie"/>
                                <w:id w:val="1607690029"/>
                                <w:showingPlcHdr/>
                                <w:dataBinding w:prefixMappings="xmlns:ns0='consensis-fs'" w:xpath="/ns0:root[1]/ns0:fs-fields[1]/ns0:fs-subseries[1]" w:storeItemID="{F222B965-9C48-4AC7-962E-E2AF3EEF1550}"/>
                                <w:text/>
                              </w:sdtPr>
                              <w:sdtEndPr/>
                              <w:sdtContent>
                                <w:r w:rsidR="00DA20BB">
                                  <w:rPr>
                                    <w:rStyle w:val="PlaceholderText"/>
                                  </w:rPr>
                                  <w:t>[Įvesti serijos dalis]</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49.8pt;margin-top:179.1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" filled="f" stroked="f">
                <v:textbox>
                  <w:txbxContent>
                    <w:p w14:paraId="570F4F7F" w14:textId="77777777" w:rsidR="00FC02EB" w:rsidRPr="0024789E" w:rsidRDefault="003358AD"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Metai"/>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Paskelbta</w:t>
                      </w:r>
                      <w:r>
                        <w:br/>
                      </w:r>
                      <w:sdt>
                        <w:sdtPr>
                          <w:alias w:val="Pasirinkti datą"/>
                          <w:tag w:val="Utkom datum"/>
                          <w:id w:val="1764647152"/>
                          <w:showingPlcHdr/>
                          <w:dataBinding w:prefixMappings="xmlns:ns0='consensis-fs'" w:xpath="/ns0:root[1]/ns0:fs-fields[1]/ns0:fs-date[1]" w:storeItemID="{F222B965-9C48-4AC7-962E-E2AF3EEF1550}"/>
                          <w:date>
                            <w:dateFormat w:val="d MMMM yyyy"/>
                            <w:lid w:val="lt-LT"/>
                            <w:storeMappedDataAs w:val="dateTime"/>
                            <w:calendar w:val="gregorian"/>
                          </w:date>
                        </w:sdtPr>
                        <w:sdtEndPr/>
                        <w:sdtContent>
                          <w:r>
                            <w:rPr>
                              <w:rStyle w:val="PlaceholderText"/>
                            </w:rPr>
                            <w:t>[Pasirinkti datą]</w:t>
                          </w:r>
                        </w:sdtContent>
                      </w:sdt>
                    </w:p>
                    <w:sdt>
                      <w:sdtPr>
                        <w:alias w:val="Įvesti seriją"/>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KELIŲ EISMAS</w:t>
                          </w:r>
                        </w:p>
                      </w:sdtContent>
                    </w:sdt>
                    <w:p w14:paraId="55142639" w14:textId="77777777" w:rsidR="00FC02EB" w:rsidRPr="007C403E" w:rsidRDefault="003358AD" w:rsidP="007C403E">
                      <w:pPr>
                        <w:pStyle w:val="Underserie"/>
                        <w:rPr>
                          <w:bCs/>
                        </w:rPr>
                      </w:pPr>
                      <w:sdt>
                        <w:sdtPr>
                          <w:alias w:val="Įvesti serijos dalis"/>
                          <w:tag w:val="Userie"/>
                          <w:id w:val="1607690029"/>
                          <w:showingPlcHdr/>
                          <w:dataBinding w:prefixMappings="xmlns:ns0='consensis-fs'" w:xpath="/ns0:root[1]/ns0:fs-fields[1]/ns0:fs-subseries[1]" w:storeItemID="{F222B965-9C48-4AC7-962E-E2AF3EEF1550}"/>
                          <w:text/>
                        </w:sdtPr>
                        <w:sdtEndPr/>
                        <w:sdtContent>
                          <w:r w:rsidR="00DA20BB">
                            <w:rPr>
                              <w:rStyle w:val="PlaceholderText"/>
                            </w:rPr>
                            <w:t>[Įvesti serijos dalis]</w:t>
                          </w:r>
                        </w:sdtContent>
                      </w:sdt>
                    </w:p>
                  </w:txbxContent>
                </v:textbox>
                <w10:wrap anchorx="page" anchory="page"/>
                <w10:anchorlock/>
              </v:shape>
            </w:pict>
          </mc:Fallback>
        </mc:AlternateContent>
      </w:r>
      <w:r>
        <w:t xml:space="preserve">priimta </w:t>
      </w:r>
      <w:sdt>
        <w:sdtPr>
          <w:rPr>
            <w:szCs w:val="22"/>
          </w:rPr>
          <w:alias w:val="Pasirinkti datą"/>
          <w:tag w:val="Välj ett datum"/>
          <w:id w:val="1438946608"/>
          <w:placeholder>
            <w:docPart w:val="E534B498335E4FF69B2409C76F31088A"/>
          </w:placeholder>
          <w:showingPlcHdr/>
          <w:date>
            <w:dateFormat w:val="d MMMM yyyy"/>
            <w:lid w:val="lt-LT"/>
            <w:storeMappedDataAs w:val="dateTime"/>
            <w:calendar w:val="gregorian"/>
          </w:date>
        </w:sdtPr>
        <w:sdtEndPr/>
        <w:sdtContent>
          <w:r>
            <w:rPr>
              <w:rStyle w:val="PlaceholderText"/>
            </w:rPr>
            <w:t>[Pasirinkti datą]</w:t>
          </w:r>
        </w:sdtContent>
      </w:sdt>
      <w:r>
        <w:t>.</w:t>
      </w:r>
    </w:p>
    <w:p w14:paraId="010B2956" w14:textId="21A435C8" w:rsidR="00E43EE1" w:rsidRDefault="008F31FC" w:rsidP="00B72887">
      <w:pPr>
        <w:pStyle w:val="Styckemedindrag"/>
      </w:pPr>
      <w:r>
        <w:t>Švedijos transporto agentūra, vadovaudamasi Potvarkio dėl transporto priemonių (2009:211) 8 skyriaus 16 skirsniu, nustato</w:t>
      </w:r>
      <w:r w:rsidR="00A21E13">
        <w:rPr>
          <w:rStyle w:val="FootnoteReference"/>
        </w:rPr>
        <w:footnoteReference w:id="2"/>
      </w:r>
      <w:r>
        <w:t>, kad Agentūros taisyklių 1 priedas ir bendrosios rekomendacijos (TSFS 2016:22) dėl automobilių ir automobilių velkamų priekabų, pradėtų eksploatuoti 2010 m. liepos 1 d. ar vėliau, išdėstomi taip:</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Šis teisės aktas įsigalioja 2023 m. spalio 1 d.</w:t>
      </w:r>
    </w:p>
    <w:p w14:paraId="05C0A8CC" w14:textId="0E015735" w:rsidR="00602C6F" w:rsidRDefault="00E4255A" w:rsidP="00E4255A">
      <w:pPr>
        <w:pStyle w:val="Beslutandeochfredragande"/>
      </w:pPr>
      <w:r>
        <w:t>Švedijos transporto agentūros vardu</w:t>
      </w:r>
      <w:r>
        <w:br/>
      </w:r>
      <w:r>
        <w:br/>
        <w:t>JONAS BJELFVENSTAM</w:t>
      </w:r>
      <w:r>
        <w:br/>
      </w:r>
      <w:r>
        <w:tab/>
        <w:t>Elena Belkow</w:t>
      </w:r>
      <w:r>
        <w:br/>
      </w:r>
      <w:r>
        <w:tab/>
        <w:t>(Keliai ir geležinkeliai)</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1 priedas. Lengviesiems automobiliams, autobusams, sunkvežimiams ir jų priekaboms taikomi reikalavimai</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Apšvietimo ir šviesos signaliniai įtaisai ir jų įrengimas </w:t>
      </w:r>
    </w:p>
    <w:p w14:paraId="110EEE08" w14:textId="77777777" w:rsidR="00F808A7" w:rsidRPr="00802803" w:rsidRDefault="00F808A7" w:rsidP="00F808A7">
      <w:pPr>
        <w:pStyle w:val="Stycke"/>
      </w:pPr>
      <w:r>
        <w:t>Automobilyje ir priekaboje turi būti apšvietimo ir šviesos signaliniai įtaisai, nurodyti toliau pateiktos lentelės K1 arba K2 eilutėje. Jie įrengiami taip, kad atitiktų K1 arba K2 ir K3–K7 eilutėse nustatytus reikalavimus.</w:t>
      </w:r>
    </w:p>
    <w:p w14:paraId="04CE732A" w14:textId="77777777" w:rsidR="00F808A7" w:rsidRPr="00802803" w:rsidRDefault="00F808A7" w:rsidP="00F808A7">
      <w:pPr>
        <w:pStyle w:val="Styckemedindrag"/>
      </w:pPr>
      <w:r>
        <w:t>M</w:t>
      </w:r>
      <w:r>
        <w:rPr>
          <w:vertAlign w:val="subscript"/>
        </w:rPr>
        <w:t>1</w:t>
      </w:r>
      <w:r>
        <w:t>, N</w:t>
      </w:r>
      <w:r>
        <w:rPr>
          <w:vertAlign w:val="subscript"/>
        </w:rPr>
        <w:t>1</w:t>
      </w:r>
      <w:r>
        <w:t xml:space="preserve"> ir N</w:t>
      </w:r>
      <w:r>
        <w:rPr>
          <w:vertAlign w:val="subscript"/>
        </w:rPr>
        <w:t>2</w:t>
      </w:r>
      <w:r>
        <w:t xml:space="preserve"> kategorijos automobilis vietoj to gali atitikti T1 eilutės reikalavimus, jei pakrautos transporto priemonės masė neviršija 4 536 kg ir jis pagamintas didelėmis serijomis trečiosiose šalyse arba trečiosioms šalims.</w:t>
      </w:r>
    </w:p>
    <w:p w14:paraId="7F24C5F4" w14:textId="77777777" w:rsidR="00F808A7" w:rsidRPr="00802803" w:rsidRDefault="00F808A7" w:rsidP="00F808A7">
      <w:pPr>
        <w:pStyle w:val="Styckemedindrag"/>
      </w:pPr>
      <w:r>
        <w:t>O</w:t>
      </w:r>
      <w:r>
        <w:rPr>
          <w:vertAlign w:val="subscript"/>
        </w:rPr>
        <w:t>3</w:t>
      </w:r>
      <w:r>
        <w:t xml:space="preserve"> ir O</w:t>
      </w:r>
      <w:r>
        <w:rPr>
          <w:vertAlign w:val="subscript"/>
        </w:rPr>
        <w:t>4</w:t>
      </w:r>
      <w:r>
        <w:t xml:space="preserve"> kategorijos atraminė puspriekabės važiuoklė neturi atitikti kontūrų ženklinimo reikalavimų pagal K2 eilutę.</w:t>
      </w:r>
    </w:p>
    <w:p w14:paraId="40CB2E95" w14:textId="77777777" w:rsidR="00F808A7" w:rsidRPr="00802803" w:rsidRDefault="00F808A7" w:rsidP="00F808A7">
      <w:pPr>
        <w:pStyle w:val="Styckemedindrag"/>
      </w:pPr>
      <w:r>
        <w:t>Automobilinis namelis, greitosios pagalbos automobilis, katafalkas, šarvuota transporto priemonė ir EB savaeigis kranas S1 eilutėje nurodytais atvejais neprivalo atitikti visų K1 arba K2 eilutės reikalavimų.</w:t>
      </w:r>
    </w:p>
    <w:p w14:paraId="4DC6D73B" w14:textId="77777777" w:rsidR="00F808A7" w:rsidRPr="00802803" w:rsidRDefault="00F808A7" w:rsidP="00F808A7">
      <w:pPr>
        <w:pStyle w:val="Styckemedindrag"/>
      </w:pPr>
      <w:r>
        <w:t>Automobilinis namelis, greitosios pagalbos automobilis ir katafalkas S2 eilutėje nurodytais atvejais gali atitikti ten išvardytus reikalavimus.</w:t>
      </w:r>
    </w:p>
    <w:p w14:paraId="603BC8C0" w14:textId="363F9792" w:rsidR="00F808A7" w:rsidRDefault="00F808A7" w:rsidP="007E0EC5">
      <w:pPr>
        <w:pStyle w:val="Styckemedindrag"/>
      </w:pPr>
      <w:r>
        <w:t>Automobilis ir priekaba gali būti įrengti pagal U1–U11 eilučių reikalavimus, nepaisant K1, K2 ir T1 eilučių reikalavimų.</w:t>
      </w:r>
    </w:p>
    <w:p w14:paraId="5E247C37" w14:textId="27AB0253" w:rsidR="00012970" w:rsidRDefault="00012970" w:rsidP="007E0EC5">
      <w:pPr>
        <w:pStyle w:val="StyckemedindragNDRAD"/>
      </w:pPr>
      <w:r>
        <w:t>Policijos tarnybos avarinėse transporto priemonėse gali būti įrengta pagal U12 eilutės reikalavimus, nepaisant K1, K2 ir T1 eilučių reikalavimų.</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6"/>
        <w:gridCol w:w="1614"/>
        <w:gridCol w:w="1479"/>
        <w:gridCol w:w="1827"/>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Eilutė</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Nuostatos</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Taikoma eksploatuojamoms transporto priemonėms</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Atitinka reikalavimus, nustatytus Direktyva</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76/756/EEB</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su pakeitimais, padarytais Direktyva</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97/28/EB</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2010-07-01–</w:t>
            </w:r>
          </w:p>
          <w:p w14:paraId="3B45EE3C" w14:textId="77777777" w:rsidR="00F808A7" w:rsidRPr="00802803" w:rsidRDefault="00F808A7" w:rsidP="00FC02EB">
            <w:pPr>
              <w:ind w:right="72"/>
              <w:rPr>
                <w:bCs/>
                <w:sz w:val="19"/>
                <w:szCs w:val="19"/>
              </w:rPr>
            </w:pPr>
            <w:r>
              <w:rPr>
                <w:sz w:val="19"/>
              </w:rPr>
              <w:t>2011-07-09</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2007/35/EB</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2010-07-01–</w:t>
            </w:r>
          </w:p>
          <w:p w14:paraId="3F14FBB5" w14:textId="77777777" w:rsidR="00F808A7" w:rsidRPr="00802803" w:rsidRDefault="00F808A7" w:rsidP="00FC02EB">
            <w:pPr>
              <w:ind w:right="72"/>
              <w:rPr>
                <w:bCs/>
                <w:sz w:val="19"/>
                <w:szCs w:val="19"/>
              </w:rPr>
            </w:pPr>
            <w:r>
              <w:rPr>
                <w:sz w:val="19"/>
              </w:rPr>
              <w:t>2017-12-31</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2008/89/EB</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2010-07-01–</w:t>
            </w:r>
          </w:p>
          <w:p w14:paraId="28458C32" w14:textId="77777777" w:rsidR="00F808A7" w:rsidRPr="00802803" w:rsidRDefault="00F808A7" w:rsidP="00FC02EB">
            <w:pPr>
              <w:ind w:right="72"/>
              <w:rPr>
                <w:bCs/>
                <w:sz w:val="19"/>
                <w:szCs w:val="19"/>
              </w:rPr>
            </w:pPr>
            <w:r>
              <w:rPr>
                <w:sz w:val="19"/>
              </w:rPr>
              <w:t>2017-12-31</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Atitinka reikalavimus, nustatytus</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JT EEK taisykle</w:t>
            </w:r>
            <w:r>
              <w:rPr>
                <w:b/>
                <w:sz w:val="19"/>
              </w:rPr>
              <w:br/>
              <w:t>Nr. 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pakeitimo serija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2010-07-01–</w:t>
            </w:r>
          </w:p>
          <w:p w14:paraId="18750CC3" w14:textId="77777777" w:rsidR="00F808A7" w:rsidRPr="00802803" w:rsidRDefault="00F808A7" w:rsidP="00FC02EB">
            <w:pPr>
              <w:ind w:right="72"/>
              <w:rPr>
                <w:bCs/>
                <w:sz w:val="19"/>
                <w:szCs w:val="19"/>
              </w:rPr>
            </w:pPr>
            <w:r>
              <w:rPr>
                <w:sz w:val="19"/>
              </w:rPr>
              <w:t>2011-07-09</w:t>
            </w:r>
          </w:p>
          <w:p w14:paraId="5D774637" w14:textId="77777777" w:rsidR="00F808A7" w:rsidRPr="00802803" w:rsidRDefault="00F808A7" w:rsidP="00FC02EB">
            <w:pPr>
              <w:ind w:right="72"/>
              <w:rPr>
                <w:bCs/>
                <w:sz w:val="19"/>
                <w:szCs w:val="19"/>
              </w:rPr>
            </w:pPr>
            <w:r>
              <w:rPr>
                <w:sz w:val="19"/>
              </w:rPr>
              <w:t>Taikoma tik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ir O</w:t>
            </w:r>
            <w:r>
              <w:rPr>
                <w:sz w:val="19"/>
                <w:vertAlign w:val="subscript"/>
              </w:rPr>
              <w:t>4</w:t>
            </w:r>
            <w:r>
              <w:rPr>
                <w:sz w:val="19"/>
              </w:rPr>
              <w:t xml:space="preserve"> kategorijoms</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pakeitimo serija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2010-07-01</w:t>
            </w:r>
            <w:r>
              <w:rPr>
                <w:sz w:val="19"/>
              </w:rPr>
              <w:br/>
              <w:t>ar vėliau</w:t>
            </w:r>
          </w:p>
          <w:p w14:paraId="5F0AE3FB" w14:textId="77777777" w:rsidR="00F808A7" w:rsidRPr="00802803" w:rsidRDefault="00F808A7" w:rsidP="00FC02EB">
            <w:pPr>
              <w:ind w:right="72"/>
              <w:rPr>
                <w:bCs/>
                <w:sz w:val="19"/>
                <w:szCs w:val="19"/>
                <w:vertAlign w:val="subscript"/>
              </w:rPr>
            </w:pPr>
            <w:r>
              <w:rPr>
                <w:sz w:val="19"/>
              </w:rPr>
              <w:t>Taikoma tik M, N</w:t>
            </w:r>
            <w:r>
              <w:rPr>
                <w:sz w:val="19"/>
                <w:vertAlign w:val="subscript"/>
              </w:rPr>
              <w:t>1</w:t>
            </w:r>
            <w:r>
              <w:rPr>
                <w:sz w:val="19"/>
              </w:rPr>
              <w:t>, N</w:t>
            </w:r>
            <w:r>
              <w:rPr>
                <w:sz w:val="19"/>
                <w:vertAlign w:val="subscript"/>
              </w:rPr>
              <w:t xml:space="preserve">2 </w:t>
            </w:r>
            <w:r>
              <w:rPr>
                <w:sz w:val="19"/>
              </w:rPr>
              <w:t>≤ 7 500 kg, O</w:t>
            </w:r>
            <w:r>
              <w:rPr>
                <w:sz w:val="19"/>
                <w:vertAlign w:val="subscript"/>
              </w:rPr>
              <w:t>1</w:t>
            </w:r>
            <w:r>
              <w:rPr>
                <w:sz w:val="19"/>
              </w:rPr>
              <w:t xml:space="preserve"> ir O</w:t>
            </w:r>
            <w:r>
              <w:rPr>
                <w:sz w:val="19"/>
                <w:vertAlign w:val="subscript"/>
              </w:rPr>
              <w:t>2</w:t>
            </w:r>
            <w:r>
              <w:rPr>
                <w:sz w:val="19"/>
              </w:rPr>
              <w:t xml:space="preserve"> kategorijoms</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pakeitimo serija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2010-07-01</w:t>
            </w:r>
            <w:r>
              <w:rPr>
                <w:sz w:val="19"/>
              </w:rPr>
              <w:br/>
              <w:t>ar vėliau</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pakeitimo serija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2010-07-01</w:t>
            </w:r>
            <w:r>
              <w:rPr>
                <w:sz w:val="19"/>
              </w:rPr>
              <w:br/>
              <w:t>ar vėliau</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pakeitimo serija 05</w:t>
            </w:r>
          </w:p>
          <w:p w14:paraId="1FB931CF" w14:textId="77777777" w:rsidR="00F808A7" w:rsidRPr="00802803" w:rsidRDefault="00F808A7" w:rsidP="00FC02EB">
            <w:pPr>
              <w:spacing w:line="232" w:lineRule="exact"/>
              <w:jc w:val="right"/>
              <w:rPr>
                <w:sz w:val="19"/>
              </w:rPr>
            </w:pPr>
            <w:r>
              <w:rPr>
                <w:sz w:val="19"/>
              </w:rPr>
              <w:t>arba vėlesni pakeitimai</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2011-01-30</w:t>
            </w:r>
            <w:r>
              <w:rPr>
                <w:sz w:val="19"/>
              </w:rPr>
              <w:br/>
              <w:t>ar vėliau</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Žibintai, lempos, atšvaitai ir kaitinamosios lempos negali būti padengti dažais, neatsižvelgiant į spalvą.</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Transporto priemonėse negali būti jokių priekinių žibintų ar lempų, išskyrus nurodytus šiose arba kitose Švedijos transporto agentūros priimtose taisyklėse.</w:t>
            </w:r>
          </w:p>
          <w:p w14:paraId="0BDE9AB0" w14:textId="77777777" w:rsidR="00F808A7" w:rsidRPr="00802803" w:rsidRDefault="00F808A7" w:rsidP="00FC02EB">
            <w:pPr>
              <w:pStyle w:val="Styckemedindrag"/>
              <w:rPr>
                <w:i/>
              </w:rPr>
            </w:pPr>
            <w:r>
              <w:t>Tačiau transporto priemonėse gali būti įrengti apšvietimo įtaisai, kurie yra neprivaloma apšvietimo įranga pagal EEK taisyklę Nr. 48, su sąlyga, kad tie įtaisai įrengti pagal šios taisyklės reikalavimus.</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Priekiniai žibintai ir lempos ant transporto priemonės dedami taip, kad šviesa netrikdytų transporto priemonės vairuotojo.</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Transporto priemonėje neleidžiama įrengti privalomųjų lempų arba privalomųjų priekinių žibintų apsaugos nuo akmenų nuolaužų, jei dėl apsaugos labai susilpnėja lempos arba priekinio žibinto šviesa. Tai taip pat taikoma apsaugai nuo akmenų nuolaužų, pagamintai iš medžiagos, kuri yra lengvai pažeista ir taip sumažina lempos ar priekinio žibinto šviesą.</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Transporto priemonėse negali būti jokio įtaiso, kuris gali kelti trikdančių atspindžių arba kelti pavojų apakinti kitą vairuotoją.</w:t>
            </w:r>
          </w:p>
          <w:p w14:paraId="6A0836F4" w14:textId="77777777" w:rsidR="00F808A7" w:rsidRPr="00802803" w:rsidRDefault="00F808A7" w:rsidP="00FC02EB">
            <w:pPr>
              <w:pStyle w:val="Styckemedindrag"/>
              <w:rPr>
                <w:bCs/>
                <w:szCs w:val="19"/>
              </w:rPr>
            </w:pPr>
            <w:r>
              <w:t>Be to, transporto priemonėse neturi būti įrenginio, kuris važiuojant gali rodyti besikeičiančius ar judančius vaizdus, tekstus ar jų atitikmenis, matomus už transporto priemonės ribų esantiems eismo dalyviams. Tačiau reguliaraus eismo autobusų stotelėse gali būti įrengti paskirties ženklai, rodantys besikeičiančią eismo informaciją.</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lastRenderedPageBreak/>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Automobilyje turi būti apšvietimo ir šviesos signaliniai įtaisai, atitinkantys alternatyvius techninius reikalavimus, nustatytus Direktyvos 2007/46/EB IV priedo 2 priedėlio I ir II dalių 20 punkte pagal Reglamento (ES) Nr. 183/2011 formuluotę. N</w:t>
            </w:r>
            <w:r>
              <w:rPr>
                <w:vertAlign w:val="subscript"/>
              </w:rPr>
              <w:t>2</w:t>
            </w:r>
            <w:r>
              <w:t xml:space="preserve"> kategorijos automobiliui taikomi tokie pat reikalavimai kaip ir N</w:t>
            </w:r>
            <w:r>
              <w:rPr>
                <w:vertAlign w:val="subscript"/>
              </w:rPr>
              <w:t>1</w:t>
            </w:r>
            <w:r>
              <w:t xml:space="preserve"> kategorijos automobiliui.</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Jeigu dėl specialaus transporto priemonės naudojimo neįmanoma laikytis visų K1 arba K2 eilutės reikalavimų, reikalavimų galima netaikyti, jeigu sumontuoti visi privalomi apšvietimo įtaisai. Jeigu tai yra automobilinis namelis, greitosios pagalbos automobilis, katafalkas ir šarvuota transporto priemonė, geometrinis matomumas neturi būti paveiktas.</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Iš sunkvežimio arba autobuso pagamintas lengvasis automobilis, kurio bendras svoris didesnis kaip 2 500 kg, gali atitikti pagrindinei transporto priemonei taikomus reikalavimus. Tas pats pasakytina ir apie autobusą, pagamintą iš sunkvežimio ar lengvojo automobilio.</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Transporto priemonės neturi atitikti šių EEK taisyklės Nr. 48 ir Direktyvos 76/756/EEB 2 priedo reikalavimų:</w:t>
            </w:r>
          </w:p>
          <w:p w14:paraId="0B6FFA58" w14:textId="77777777" w:rsidR="00F808A7" w:rsidRPr="00DC4B0A" w:rsidRDefault="00F808A7" w:rsidP="00FC02EB">
            <w:pPr>
              <w:pStyle w:val="Styckemedindrag"/>
            </w:pPr>
            <w:r>
              <w:t>1. 6.1.2. dėl apribojimo iki ne daugiau kaip keturių tolimosios šviesos žibintų.</w:t>
            </w:r>
          </w:p>
          <w:p w14:paraId="61E3C0AF" w14:textId="77777777" w:rsidR="00F808A7" w:rsidRPr="00DC4B0A" w:rsidRDefault="00F808A7" w:rsidP="00FC02EB">
            <w:pPr>
              <w:pStyle w:val="Styckemedindrag"/>
            </w:pPr>
            <w:r>
              <w:t>2. 6.1.9. (bendras didžiausias spindulių intensyvumas).</w:t>
            </w:r>
          </w:p>
          <w:p w14:paraId="7963D4AF" w14:textId="77777777" w:rsidR="00F808A7" w:rsidRPr="00DC4B0A" w:rsidRDefault="00F808A7" w:rsidP="00FC02EB">
            <w:pPr>
              <w:pStyle w:val="Styckemedindrag"/>
            </w:pPr>
            <w:r>
              <w:t>3. 6.10.2. dėl apribojimo iki ne daugiau kaip dviejų galinių gabaritinių žibintų. Tačiau žibintų skaičius turėtų būti lyginis.</w:t>
            </w:r>
          </w:p>
          <w:p w14:paraId="05E338FC" w14:textId="77777777" w:rsidR="00F808A7" w:rsidRPr="00DC4B0A" w:rsidRDefault="00F808A7" w:rsidP="00FC02EB">
            <w:pPr>
              <w:pStyle w:val="Styckemedindrag"/>
            </w:pPr>
            <w:r>
              <w:t>4. 6.4.2. dėl apribojimo iki ne daugiau kaip dviejų atbulinės eigos žibintų. Apšvietimo žibintų skaičius negali viršyti keturių.</w:t>
            </w:r>
          </w:p>
          <w:p w14:paraId="790DD550" w14:textId="77777777" w:rsidR="00F808A7" w:rsidRPr="00DC4B0A" w:rsidRDefault="00F808A7" w:rsidP="00FC02EB">
            <w:pPr>
              <w:pStyle w:val="Styckemedindrag"/>
            </w:pPr>
            <w:r>
              <w:t>5. 6.5.3. dėl apribojimo iki ne daugiau kaip dviejų galinių 2a arba 2b kategorijos posūkio rodymo žibintų. Žibintų skaičius negali viršyti keturių.</w:t>
            </w:r>
          </w:p>
          <w:p w14:paraId="22BD5FFE" w14:textId="77777777" w:rsidR="00F808A7" w:rsidRPr="00DC4B0A" w:rsidRDefault="00F808A7" w:rsidP="00FC02EB">
            <w:pPr>
              <w:pStyle w:val="Styckemedindrag"/>
            </w:pPr>
            <w:r>
              <w:t>6. 6.6.7.2. dėl apribojimo iki ne daugiau kaip dviejų S1 arba S2 kategorijos stabdymo žibintų. Žibintų skaičius negali viršyti keturių.</w:t>
            </w:r>
          </w:p>
          <w:p w14:paraId="5618458D" w14:textId="77777777" w:rsidR="00F808A7" w:rsidRPr="00802803" w:rsidRDefault="00F808A7" w:rsidP="00FC02EB">
            <w:pPr>
              <w:pStyle w:val="Styckemedindrag"/>
              <w:rPr>
                <w:szCs w:val="19"/>
              </w:rPr>
            </w:pPr>
            <w:r>
              <w:t>7. 6.9.2. dėl apribojimo iki ne daugiau kaip dviejų priekinių gabaritinių žibintų. Žibintų skaičius negali viršyti keturių.</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lastRenderedPageBreak/>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Transporto priemonėje gali būti įrengti žibintai, skirti papildomam apšvietimui dirbant šalia transporto priemonės, vadinamasis darbinis apšvietimas, skleidžiantis baltą šviesą. Paieškos žibintai taip pat laikomi darbiniu apšvietimu.</w:t>
            </w:r>
          </w:p>
          <w:p w14:paraId="7C92BB7C" w14:textId="77777777" w:rsidR="00F808A7" w:rsidRPr="00121825" w:rsidRDefault="00F808A7" w:rsidP="00FC02EB">
            <w:pPr>
              <w:pStyle w:val="Styckemedindrag"/>
              <w:rPr>
                <w:szCs w:val="19"/>
              </w:rPr>
            </w:pPr>
            <w:r>
              <w:t>Turi būti indikatorinis žibintas, kuris skleistų gintarinę arba raudoną šviesą, kai darbinis apšvietimas yra prijungtas, o žibintas turi būti matomas nuo vairuotojo sėdynės.</w:t>
            </w:r>
          </w:p>
          <w:p w14:paraId="242F9004" w14:textId="77777777" w:rsidR="00F808A7" w:rsidRPr="00254CD4" w:rsidRDefault="00F808A7" w:rsidP="00FC02EB">
            <w:pPr>
              <w:pStyle w:val="Styckemedindrag"/>
              <w:rPr>
                <w:szCs w:val="19"/>
              </w:rPr>
            </w:pPr>
            <w:r>
              <w:t>Apšvietimas turi būti sumontuotas taip, kad įprastomis važiavimo sąlygomis nevibruotų ir nekeistų padėties.</w:t>
            </w:r>
          </w:p>
          <w:p w14:paraId="4FB4A89E" w14:textId="77777777" w:rsidR="00F808A7" w:rsidRPr="00121825" w:rsidRDefault="00F808A7" w:rsidP="00FC02EB">
            <w:pPr>
              <w:pStyle w:val="Styckemedindrag"/>
              <w:rPr>
                <w:szCs w:val="19"/>
              </w:rPr>
            </w:pPr>
            <w:r>
              <w:t>Darbinis apšvietimas neturi:</w:t>
            </w:r>
          </w:p>
          <w:p w14:paraId="60B593F5" w14:textId="77777777" w:rsidR="00F808A7" w:rsidRPr="00254CD4" w:rsidRDefault="00F808A7" w:rsidP="00FC02EB">
            <w:pPr>
              <w:pStyle w:val="Styckemedindrag"/>
              <w:rPr>
                <w:szCs w:val="19"/>
              </w:rPr>
            </w:pPr>
            <w:r>
              <w:t>1. būti sugrupuotas su kitomis apšvietimo lempomis arba žibintais;</w:t>
            </w:r>
          </w:p>
          <w:p w14:paraId="30FA00B0" w14:textId="77777777" w:rsidR="00F808A7" w:rsidRPr="00254CD4" w:rsidRDefault="00F808A7" w:rsidP="00FC02EB">
            <w:pPr>
              <w:pStyle w:val="Styckemedindrag"/>
              <w:rPr>
                <w:szCs w:val="19"/>
              </w:rPr>
            </w:pPr>
            <w:r>
              <w:t>2. būti derinamas su kitomis apšvietimo lempomis arba žibintais ir</w:t>
            </w:r>
          </w:p>
          <w:p w14:paraId="01F91BE2" w14:textId="77777777" w:rsidR="00F808A7" w:rsidRPr="00802803" w:rsidRDefault="00F808A7" w:rsidP="00FC02EB">
            <w:pPr>
              <w:pStyle w:val="Styckemedindrag"/>
              <w:rPr>
                <w:szCs w:val="19"/>
              </w:rPr>
            </w:pPr>
            <w:r>
              <w:t>3. suformuoti tarpusavyje sujungtas apšvietimo lempas arba žibintus.</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Autobusai gali turėti žibintus, skirtus apšviesti zonai prie įlipimo ir išlipimo durų, vadinamąjį išlaipinimo apšvietimą, greta keleiviams skirtų įlipimo ir išlipimo durų.</w:t>
            </w:r>
          </w:p>
          <w:p w14:paraId="762E573B" w14:textId="77777777" w:rsidR="00F808A7" w:rsidRPr="00802803" w:rsidRDefault="00F808A7" w:rsidP="00FC02EB">
            <w:pPr>
              <w:pStyle w:val="Styckemedindrag"/>
            </w:pPr>
            <w:r>
              <w:t>Išlaipinimo apšvietimo aukštis turi būti bent 2 000 mm.</w:t>
            </w:r>
          </w:p>
          <w:p w14:paraId="6AD55676" w14:textId="77777777" w:rsidR="00F808A7" w:rsidRPr="00802803" w:rsidRDefault="00F808A7" w:rsidP="00FC02EB">
            <w:pPr>
              <w:pStyle w:val="Styckemedindrag"/>
              <w:rPr>
                <w:szCs w:val="19"/>
              </w:rPr>
            </w:pPr>
            <w:r>
              <w:t>Išlaipinimo apšvietimas neturi sklisti daugiau kaip 50 mm už plačiausio kėbulo pločio.</w:t>
            </w:r>
          </w:p>
          <w:p w14:paraId="1562D997" w14:textId="77777777" w:rsidR="00F808A7" w:rsidRPr="00802803" w:rsidRDefault="00F808A7" w:rsidP="00FC02EB">
            <w:pPr>
              <w:pStyle w:val="Styckemedindrag"/>
              <w:rPr>
                <w:szCs w:val="19"/>
              </w:rPr>
            </w:pPr>
            <w:r>
              <w:t>Išlaipinimo apšvietimas nustatomas ir tikrinamas taip, kad neskleistų šviesos, galinčios akinti kitus eismo dalyvius už 10 metrų spindulio nuo žibinto.</w:t>
            </w:r>
          </w:p>
          <w:p w14:paraId="0C423EEA" w14:textId="77777777" w:rsidR="00F808A7" w:rsidRPr="00802803" w:rsidRDefault="00F808A7" w:rsidP="00FC02EB">
            <w:pPr>
              <w:pStyle w:val="Styckemedindrag"/>
              <w:rPr>
                <w:szCs w:val="19"/>
              </w:rPr>
            </w:pPr>
            <w:r>
              <w:t>Apšvietimas turi būti sumontuotas taip, kad įprastomis važiavimo sąlygomis nevibruotų ir nekeistų padėties.</w:t>
            </w:r>
          </w:p>
          <w:p w14:paraId="64744E4E" w14:textId="77777777" w:rsidR="00F808A7" w:rsidRDefault="00F808A7" w:rsidP="00FC02EB">
            <w:pPr>
              <w:pStyle w:val="Styckemedindrag"/>
            </w:pPr>
            <w:r>
              <w:t>Išlaipinimo apšvietimas neturi:</w:t>
            </w:r>
          </w:p>
          <w:p w14:paraId="5CECE21F" w14:textId="77777777" w:rsidR="00F808A7" w:rsidRPr="00DC4B0A" w:rsidRDefault="00F808A7" w:rsidP="00FC02EB">
            <w:pPr>
              <w:pStyle w:val="Styckemedindrag"/>
              <w:rPr>
                <w:szCs w:val="19"/>
              </w:rPr>
            </w:pPr>
            <w:r>
              <w:t>1. būti sugrupuotas su kitomis apšvietimo lempomis arba žibintais;</w:t>
            </w:r>
          </w:p>
          <w:p w14:paraId="06ABACA9" w14:textId="77777777" w:rsidR="00F808A7" w:rsidRPr="00DC4B0A" w:rsidRDefault="00F808A7" w:rsidP="00FC02EB">
            <w:pPr>
              <w:pStyle w:val="Styckemedindrag"/>
              <w:rPr>
                <w:szCs w:val="19"/>
              </w:rPr>
            </w:pPr>
            <w:r>
              <w:t>2. būti derinamas su kitomis apšvietimo lempomis arba žibintais ir</w:t>
            </w:r>
          </w:p>
          <w:p w14:paraId="030B8A5E" w14:textId="77777777" w:rsidR="00F808A7" w:rsidRPr="00121825" w:rsidRDefault="00F808A7" w:rsidP="00FC02EB">
            <w:pPr>
              <w:pStyle w:val="Styckemedindrag"/>
              <w:rPr>
                <w:szCs w:val="19"/>
              </w:rPr>
            </w:pPr>
            <w:r>
              <w:t>3. suformuoti tarpusavyje sujungtas apšvietimo lempas arba žibintus.</w:t>
            </w:r>
          </w:p>
          <w:p w14:paraId="6CC7E9C0" w14:textId="77777777" w:rsidR="00F808A7" w:rsidRPr="00802803" w:rsidRDefault="00F808A7" w:rsidP="00FC02EB">
            <w:pPr>
              <w:pStyle w:val="Styckemedindrag"/>
            </w:pPr>
            <w:r>
              <w:t>Išlaipinimo apšvietimas turi būti prijungtas prie transporto priemonės elektros sistemos taip, kad jį būtų galima įjungti tik atidarius įlipimo ir išlipimo duris keleiviams ir nešviesti transporto priemonei pasiekus 5 km/h ar didesnį greitį.</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Transporto priemonėse, kuriose dėl jų naudojimo yra įranga, slepianti artimosios šviesos žibintus, gali būti įrengti keturi artimosios šviesos žibintai. Jie įrengiami su sąlyga, kad priekiniai žibintai sujungti taip, kad abiejų porų nebūtų galima apšviesti vienu metu.</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lastRenderedPageBreak/>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Automobiliuose, naudojamuose kaip taksi, gali būti įrengta lemputė, rodanti žalią šviesą į priekį (skirta signalizuoti, kad taksi yra prieinamas).</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Policijos transporto priemonėse gali būti sumontuoti žibintai, naudojami policijos signalui P11 – sustabdyti ir sustoti priešais policijos transporto priemonę – pagal Kelių ženklų potvarkio (2007:90) 7 skyriaus 2 skirsnį, skleidžiantys mėlyną ir raudoną šviesas.</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Papildomi avarinės transporto priemonės atšvaitai gali rodyti atgalinę baltą šviesą.</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N</w:t>
            </w:r>
            <w:r>
              <w:rPr>
                <w:vertAlign w:val="subscript"/>
              </w:rPr>
              <w:t xml:space="preserve">2 </w:t>
            </w:r>
            <w:r>
              <w:t>ir N</w:t>
            </w:r>
            <w:r>
              <w:rPr>
                <w:vertAlign w:val="subscript"/>
              </w:rPr>
              <w:t>3</w:t>
            </w:r>
            <w:r>
              <w:t xml:space="preserve"> kategorijų sunkvežimis bei O</w:t>
            </w:r>
            <w:r>
              <w:rPr>
                <w:vertAlign w:val="subscript"/>
              </w:rPr>
              <w:t>3</w:t>
            </w:r>
            <w:r>
              <w:t xml:space="preserve"> ir O</w:t>
            </w:r>
            <w:r>
              <w:rPr>
                <w:vertAlign w:val="subscript"/>
              </w:rPr>
              <w:t>4</w:t>
            </w:r>
            <w:r>
              <w:t xml:space="preserve"> kategorijų priekaba gali būti pažymėti ženklais, nurodančiais sunkiasvores arba ilgas transporto priemones. Ženklai turi būti patvirtinto tipo ir įrengti vadovaujantis EEK taisykle Nr.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Nuostatos dėl išimčių, taikomų besimokančio vairuotojo ženklams vairavimo mokyklų naudojamose transporto priemonėse, pateiktos Švedijos transporto agentūros taisyklių (TSFS 2010:81) dėl besimokančio vairuotojo ir vairuotojų mokymo ženklų bei vairavimo praktikos priežiūros vairavimo mokyklose 6 skirsnyje.</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Techninės pagalbos transporto priemonėje gali būti papildomas gabaritinis žibintas, stabdymo žibintas ir posūkio rodymo žibintas kiekvienoje galinėje transporto priemonės pusėje, kuri yra šalia galinės transporto priemonės kabinos sienos. Žibintų išdėstymas gali skirtis nuo atstumo, kurio reikia, kad transporto priemonėje būtų aiškiai matomas apšvietimas gale, teikiant techninę pagalbą.</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Priekaboje, kurios aukštis ne didesnis kaip 1,4 m, nebūtina įrengti kraštinio kontūro gabaritinių žibintų. Tai taip pat taikoma automobiliui, kurio aukštis iki 1,4 m, skaičiuojant nuo užpakalinės kabinos sienos iki galinės kabinos sienos.</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Policijos tarnybos avarinėse transporto priemonėse gali būti įrengtos lempos, skleidžiančios nepertraukiamą silpną mėlyną šviesą. Stipris turi būti toks žemas, kad nebūtų galima supainioti šios šviesos su mėlyna šviesa iš transporto priemonės signalinio įtaiso. Šviesa neturi būti akinanti ar pritemdyta.</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Atšvaitai</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4900F8AA" w:rsidR="00FC02EB" w:rsidRDefault="00FC02EB" w:rsidP="00D104F7">
                          <w:pPr>
                            <w:pStyle w:val="FSnr-sidhuvud"/>
                            <w:ind w:left="0" w:right="0"/>
                          </w:pPr>
                          <w:r>
                            <w:fldChar w:fldCharType="begin"/>
                          </w:r>
                          <w:r>
                            <w:instrText xml:space="preserve"> STYLEREF  FS-nr  \* MERGEFORMAT </w:instrText>
                          </w:r>
                          <w:r>
                            <w:fldChar w:fldCharType="separate"/>
                          </w:r>
                          <w:r w:rsidR="003358AD">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4900F8AA" w:rsidR="00FC02EB" w:rsidRDefault="00FC02EB" w:rsidP="00D104F7">
                    <w:pPr>
                      <w:pStyle w:val="FSnr-sidhuvud"/>
                      <w:ind w:left="0" w:right="0"/>
                    </w:pPr>
                    <w:r>
                      <w:fldChar w:fldCharType="begin"/>
                    </w:r>
                    <w:r>
                      <w:instrText xml:space="preserve"> STYLEREF  FS-nr  \* MERGEFORMAT </w:instrText>
                    </w:r>
                    <w:r>
                      <w:fldChar w:fldCharType="separate"/>
                    </w:r>
                    <w:r w:rsidR="003358AD">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Žr. 2015 m. rugsėjo 9 d. Europos Parlamento</w:t>
      </w:r>
      <w:r>
        <w:rPr>
          <w:i/>
        </w:rPr>
        <w:t xml:space="preserve"> </w:t>
      </w:r>
      <w:r>
        <w:t>ir Tarybos direktyvą (ES) 2015/1535, kuria nustatoma informacijos apie techninius reglamentus ir informacinės visuomenės paslaugų taisykles teikimo tvarka.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3358AD" w:rsidP="00641EF3">
    <w:pPr>
      <w:pStyle w:val="FSnr-sidhuvud"/>
      <w:ind w:left="3345" w:firstLine="1871"/>
    </w:pPr>
    <w:sdt>
      <w:sdtPr>
        <w:alias w:val="Teisės aktų rinkinys"/>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1 priedėlis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3358AD" w:rsidP="00A41C32">
    <w:pPr>
      <w:pStyle w:val="FSnr-sidhuvud"/>
      <w:jc w:val="right"/>
    </w:pPr>
    <w:sdt>
      <w:sdtPr>
        <w:alias w:val="Teisės aktų rinkinys"/>
        <w:id w:val="1150257239"/>
        <w:text/>
      </w:sdtPr>
      <w:sdtEndPr/>
      <w:sdtContent>
        <w:r w:rsidR="00DA20BB">
          <w:t>TSFS 20</w:t>
        </w:r>
      </w:sdtContent>
    </w:sdt>
    <w:sdt>
      <w:sdtPr>
        <w:alias w:val="Metai"/>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Nr."/>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58AD"/>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lt-LT"/>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lt-LT"/>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lt-LT"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[Pasirinkti datą]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6.xml><?xml version="1.0" encoding="utf-8"?>
<root xmlns="consensis-fs">
  <fs-fields>
    <fs-no-prefix/>
    <fs-year>23</fs-year>
    <fs-no>XX</fs-no>
    <fs-date/>
    <fs-series>KELIŲ EISMAS</fs-series>
    <fs-subseries/>
    <fs-heading/>
  </fs-fields>
</root>
</file>

<file path=customXml/itemProps1.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2.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4.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6.xml><?xml version="1.0" encoding="utf-8"?>
<ds:datastoreItem xmlns:ds="http://schemas.openxmlformats.org/officeDocument/2006/customXml" ds:itemID="{F222B965-9C48-4AC7-962E-E2AF3EEF1550}">
  <ds:schemaRefs>
    <ds:schemaRef ds:uri="consensis-fs"/>
  </ds:schemaRefs>
</ds:datastoreItem>
</file>

<file path=docProps/app.xml><?xml version="1.0" encoding="utf-8"?>
<Properties xmlns="http://schemas.openxmlformats.org/officeDocument/2006/extended-properties" xmlns:vt="http://schemas.openxmlformats.org/officeDocument/2006/docPropsVTypes">
  <Template>Föreskrift.dotm</Template>
  <TotalTime>7</TotalTime>
  <Pages>7</Pages>
  <Words>1333</Words>
  <Characters>9068</Characters>
  <Application>Microsoft Office Word</Application>
  <DocSecurity>0</DocSecurity>
  <Lines>75</Lines>
  <Paragraphs>20</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5</cp:revision>
  <cp:lastPrinted>2008-12-18T15:33:00Z</cp:lastPrinted>
  <dcterms:created xsi:type="dcterms:W3CDTF">2023-04-19T05:52:00Z</dcterms:created>
  <dcterms:modified xsi:type="dcterms:W3CDTF">2023-04-27T07:40:00Z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