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292D" w14:textId="77777777" w:rsidR="00A2416E" w:rsidRDefault="00534832" w:rsidP="00581354">
      <w:pPr>
        <w:spacing w:before="92" w:line="220" w:lineRule="auto"/>
        <w:ind w:left="400" w:right="3390"/>
        <w:rPr>
          <w:b/>
          <w:sz w:val="36"/>
        </w:rPr>
      </w:pPr>
      <w:bookmarkStart w:id="0" w:name="Inledande_bestämmelser_och_definitioner"/>
      <w:bookmarkEnd w:id="0"/>
      <w:r>
        <w:rPr>
          <w:b/>
          <w:sz w:val="36"/>
        </w:rPr>
        <w:t>Sbírka předpisů Švédské energetické agentury</w:t>
      </w:r>
    </w:p>
    <w:p w14:paraId="347D5EC4" w14:textId="77777777" w:rsidR="00A2416E" w:rsidRDefault="000A16FC" w:rsidP="000A16FC">
      <w:pPr>
        <w:spacing w:before="148" w:line="262" w:lineRule="auto"/>
        <w:ind w:left="403" w:right="4479"/>
        <w:rPr>
          <w:sz w:val="16"/>
        </w:rPr>
      </w:pPr>
      <w:r>
        <w:pict w14:anchorId="18D320B1">
          <v:shape id="_x0000_s1028" style="position:absolute;left:0;text-align:left;margin-left:51pt;margin-top:29.9pt;width:380.35pt;height:.1pt;z-index:-251658240;mso-wrap-distance-left:0;mso-wrap-distance-right:0;mso-position-horizontal-relative:page" coordorigin="1020,598" coordsize="7607,0" path="m1020,598r7607,e" filled="f" strokeweight=".34994mm">
            <v:path arrowok="t"/>
            <w10:wrap type="topAndBottom" anchorx="page"/>
          </v:shape>
        </w:pict>
      </w:r>
      <w:r w:rsidR="00581354">
        <w:rPr>
          <w:sz w:val="16"/>
        </w:rPr>
        <w:t>Zveřejnil: Rikard Janson (hlavní právní ředitel) ISSN 1650-7703</w:t>
      </w:r>
    </w:p>
    <w:p w14:paraId="48A9609E" w14:textId="77777777" w:rsidR="00A2416E" w:rsidRDefault="00A2416E">
      <w:pPr>
        <w:pStyle w:val="Brdtext"/>
        <w:spacing w:before="1"/>
        <w:rPr>
          <w:sz w:val="13"/>
        </w:rPr>
      </w:pPr>
    </w:p>
    <w:p w14:paraId="24EC6EF5" w14:textId="77777777" w:rsidR="00A2416E" w:rsidRDefault="00A2416E">
      <w:pPr>
        <w:rPr>
          <w:sz w:val="13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D697384" w14:textId="77777777" w:rsidR="00A2416E" w:rsidRDefault="00534832">
      <w:pPr>
        <w:pStyle w:val="Rubrik1"/>
        <w:spacing w:before="103" w:line="225" w:lineRule="auto"/>
        <w:ind w:left="400"/>
      </w:pPr>
      <w:r>
        <w:t>Nařízení, kterými se mění nařízení Švédské energetické agentury (STEMFS 2017:3) o podávání zpráv a výpočtech v souladu se zákonem o pohonných hmotách;</w:t>
      </w:r>
    </w:p>
    <w:p w14:paraId="71813F81" w14:textId="77777777" w:rsidR="00A2416E" w:rsidRDefault="00534832">
      <w:pPr>
        <w:pStyle w:val="Brdtext"/>
        <w:spacing w:before="188"/>
        <w:ind w:left="400"/>
        <w:jc w:val="both"/>
      </w:pPr>
      <w:r>
        <w:t>přijato dne 20. ledna 2021.</w:t>
      </w:r>
    </w:p>
    <w:p w14:paraId="066E2CAE" w14:textId="77777777" w:rsidR="00A2416E" w:rsidRDefault="00A2416E">
      <w:pPr>
        <w:pStyle w:val="Brdtext"/>
        <w:spacing w:before="6"/>
        <w:rPr>
          <w:sz w:val="17"/>
        </w:rPr>
      </w:pPr>
    </w:p>
    <w:p w14:paraId="4BB4C994" w14:textId="77777777" w:rsidR="00A2416E" w:rsidRDefault="00534832">
      <w:pPr>
        <w:pStyle w:val="Brdtext"/>
        <w:spacing w:line="273" w:lineRule="auto"/>
        <w:ind w:left="400"/>
        <w:jc w:val="both"/>
      </w:pPr>
      <w:r>
        <w:t>Podle § 13 vyhlášky o pohonných hmotách (2011:346) Švédská energetická agentura stanoví</w:t>
      </w:r>
      <w:r>
        <w:rPr>
          <w:sz w:val="11"/>
        </w:rPr>
        <w:t xml:space="preserve">1 </w:t>
      </w:r>
      <w:r>
        <w:t>, že nařízení Švédské energetické agentury o podávání zpráv a výpočtech se mění a mají toto znění:</w:t>
      </w:r>
    </w:p>
    <w:p w14:paraId="71A61FB5" w14:textId="77777777" w:rsidR="00A2416E" w:rsidRDefault="00534832">
      <w:pPr>
        <w:pStyle w:val="Brdtext"/>
        <w:spacing w:before="173" w:line="398" w:lineRule="auto"/>
        <w:ind w:left="400" w:right="1681"/>
        <w:jc w:val="both"/>
      </w:pPr>
      <w:r>
        <w:t>bude zaveden nový oddíl – § 12a – a šest oddílů – § 2, § 4-7, § 12, § 13 a § 16 – bude změněno a bude mít nově toto znění.</w:t>
      </w:r>
    </w:p>
    <w:p w14:paraId="0D1B6701" w14:textId="77777777" w:rsidR="00A2416E" w:rsidRDefault="00A2416E">
      <w:pPr>
        <w:pStyle w:val="Brdtext"/>
        <w:spacing w:before="6"/>
        <w:rPr>
          <w:sz w:val="16"/>
        </w:rPr>
      </w:pPr>
    </w:p>
    <w:p w14:paraId="6F4B5BC4" w14:textId="77777777" w:rsidR="00A2416E" w:rsidRDefault="00534832">
      <w:pPr>
        <w:pStyle w:val="Rubrik2"/>
        <w:spacing w:before="0"/>
        <w:ind w:left="400"/>
        <w:jc w:val="both"/>
      </w:pPr>
      <w:r>
        <w:t>Předběžná ustanovení a definice</w:t>
      </w:r>
    </w:p>
    <w:p w14:paraId="390C5634" w14:textId="77777777" w:rsidR="00A2416E" w:rsidRDefault="00534832">
      <w:pPr>
        <w:pStyle w:val="Brdtext"/>
        <w:spacing w:before="140" w:line="273" w:lineRule="auto"/>
        <w:ind w:left="400"/>
        <w:jc w:val="both"/>
      </w:pPr>
      <w:r>
        <w:rPr>
          <w:b/>
        </w:rPr>
        <w:t xml:space="preserve">§ 2 </w:t>
      </w:r>
      <w:r>
        <w:t>Pojmy a výrazy v těchto předpisech se používají stejným způsobem, jakým jsou používány v zákonu o pohonných hmotách (2011:319) a vyhlášce o pohonných hmotách (2011:346). Níže uvedenými pojmy se zde rozumí následující:</w:t>
      </w:r>
    </w:p>
    <w:p w14:paraId="2953E73A" w14:textId="77777777" w:rsidR="00A2416E" w:rsidRDefault="00534832">
      <w:pPr>
        <w:spacing w:before="3" w:line="364" w:lineRule="exact"/>
        <w:ind w:left="400" w:right="-11"/>
        <w:rPr>
          <w:sz w:val="19"/>
        </w:rPr>
      </w:pPr>
      <w:r>
        <w:rPr>
          <w:i/>
          <w:sz w:val="19"/>
        </w:rPr>
        <w:t>biosložka</w:t>
      </w:r>
      <w:r>
        <w:rPr>
          <w:sz w:val="19"/>
        </w:rPr>
        <w:t xml:space="preserve">: složka pohonné hmoty vyrobená z biomasy; </w:t>
      </w:r>
      <w:r>
        <w:rPr>
          <w:i/>
          <w:sz w:val="19"/>
        </w:rPr>
        <w:t>fosilní složka</w:t>
      </w:r>
      <w:r>
        <w:rPr>
          <w:sz w:val="19"/>
        </w:rPr>
        <w:t xml:space="preserve">: složka pohonné hmoty minerálního původu; </w:t>
      </w:r>
      <w:r>
        <w:rPr>
          <w:i/>
          <w:sz w:val="19"/>
        </w:rPr>
        <w:t xml:space="preserve">typ pohonné hmoty: </w:t>
      </w:r>
      <w:r>
        <w:rPr>
          <w:sz w:val="19"/>
        </w:rPr>
        <w:t>pohonná hmota, která splňuje určitou klasifikaci v souladu s</w:t>
      </w:r>
    </w:p>
    <w:p w14:paraId="12DA69D9" w14:textId="77777777" w:rsidR="00A2416E" w:rsidRDefault="00534832">
      <w:pPr>
        <w:pStyle w:val="Brdtext"/>
        <w:spacing w:line="273" w:lineRule="auto"/>
        <w:ind w:left="400"/>
        <w:jc w:val="both"/>
      </w:pPr>
      <w:r>
        <w:t>§ 3 – § 15 zákona o pohonných hmotách (2011:319) nebo která splňuje určité vnitrostátní nebo mezinárodní normy pro pohonné hmoty, jakékoli jiné pohonné hmoty, které nesplňují klasifikace nebo normy, a elektřina, která se používá jako pohonná hmota;</w:t>
      </w:r>
    </w:p>
    <w:p w14:paraId="601B7223" w14:textId="77777777" w:rsidR="00A2416E" w:rsidRDefault="00534832">
      <w:pPr>
        <w:pStyle w:val="Brdtext"/>
        <w:spacing w:before="114" w:line="273" w:lineRule="auto"/>
        <w:ind w:left="400"/>
        <w:jc w:val="both"/>
      </w:pPr>
      <w:r>
        <w:rPr>
          <w:i/>
        </w:rPr>
        <w:t>výrobek</w:t>
      </w:r>
      <w:r>
        <w:t>: výrobek příslušného typu pohonné hmoty, který se uvádí na trh. V případě, že dodavatel uvádí na trh několik různých vyráběných pohonných hmot, které splňují stejnou specifikaci nebo normu, vykazují se jednotlivé produkty samostatně pod příslušnými názvy produktů;</w:t>
      </w:r>
    </w:p>
    <w:p w14:paraId="17F68D6C" w14:textId="77777777" w:rsidR="00A2416E" w:rsidRDefault="00534832">
      <w:pPr>
        <w:pStyle w:val="Brdtext"/>
        <w:spacing w:before="118" w:line="273" w:lineRule="auto"/>
        <w:ind w:left="400"/>
        <w:jc w:val="both"/>
      </w:pPr>
      <w:r>
        <w:rPr>
          <w:i/>
        </w:rPr>
        <w:t xml:space="preserve">snižování výrobních emisí: </w:t>
      </w:r>
      <w:r>
        <w:t>opatření ke snížení emisí skleníkových plynů, která se provádějí před zpracováním suroviny v rafinérii nebo jiném zařízení na výrobu fosilní složky pohonných hmot.</w:t>
      </w:r>
    </w:p>
    <w:p w14:paraId="689C2081" w14:textId="77777777" w:rsidR="00A2416E" w:rsidRDefault="00534832">
      <w:pPr>
        <w:spacing w:before="107" w:line="225" w:lineRule="auto"/>
        <w:ind w:left="252" w:right="476"/>
        <w:rPr>
          <w:b/>
          <w:sz w:val="24"/>
        </w:rPr>
      </w:pPr>
      <w:r>
        <w:br w:type="column"/>
      </w:r>
      <w:r>
        <w:rPr>
          <w:b/>
          <w:sz w:val="24"/>
        </w:rPr>
        <w:t>STEMFS 2021:2</w:t>
      </w:r>
    </w:p>
    <w:p w14:paraId="4897DE83" w14:textId="77777777" w:rsidR="00A2416E" w:rsidRDefault="00534832">
      <w:pPr>
        <w:spacing w:before="60" w:line="256" w:lineRule="auto"/>
        <w:ind w:left="252" w:right="101"/>
        <w:rPr>
          <w:sz w:val="17"/>
        </w:rPr>
      </w:pPr>
      <w:r>
        <w:rPr>
          <w:sz w:val="17"/>
        </w:rPr>
        <w:t>Zveřejněno dne 2. února 2021</w:t>
      </w:r>
    </w:p>
    <w:p w14:paraId="054025C7" w14:textId="77777777" w:rsidR="00A2416E" w:rsidRDefault="00A2416E">
      <w:pPr>
        <w:spacing w:line="256" w:lineRule="auto"/>
        <w:rPr>
          <w:sz w:val="17"/>
        </w:rPr>
        <w:sectPr w:rsidR="00A2416E">
          <w:type w:val="continuous"/>
          <w:pgSz w:w="9360" w:h="13720"/>
          <w:pgMar w:top="900" w:right="580" w:bottom="280" w:left="620" w:header="720" w:footer="720" w:gutter="0"/>
          <w:cols w:num="2" w:space="720" w:equalWidth="0">
            <w:col w:w="6411" w:space="40"/>
            <w:col w:w="1709"/>
          </w:cols>
        </w:sectPr>
      </w:pPr>
    </w:p>
    <w:p w14:paraId="7F7FFE81" w14:textId="77777777" w:rsidR="00A2416E" w:rsidRDefault="00A2416E">
      <w:pPr>
        <w:pStyle w:val="Brdtext"/>
        <w:rPr>
          <w:sz w:val="20"/>
        </w:rPr>
      </w:pPr>
    </w:p>
    <w:p w14:paraId="6C53A6E7" w14:textId="77777777" w:rsidR="00A2416E" w:rsidRDefault="00A2416E">
      <w:pPr>
        <w:pStyle w:val="Brdtext"/>
        <w:spacing w:before="11"/>
        <w:rPr>
          <w:sz w:val="23"/>
        </w:rPr>
      </w:pPr>
    </w:p>
    <w:p w14:paraId="6036D87D" w14:textId="77777777" w:rsidR="00A2416E" w:rsidRDefault="000A16FC">
      <w:pPr>
        <w:pStyle w:val="Brdtext"/>
        <w:spacing w:line="20" w:lineRule="exact"/>
        <w:ind w:left="390"/>
        <w:rPr>
          <w:sz w:val="2"/>
        </w:rPr>
      </w:pPr>
      <w:r>
        <w:rPr>
          <w:sz w:val="2"/>
        </w:rPr>
      </w:r>
      <w:r>
        <w:rPr>
          <w:sz w:val="2"/>
        </w:rPr>
        <w:pict w14:anchorId="079D94F6">
          <v:group id="_x0000_s1026" style="width:1in;height:1pt;mso-position-horizontal-relative:char;mso-position-vertical-relative:line" coordsize="1440,20">
            <v:line id="_x0000_s1027" style="position:absolute" from="0,10" to="1440,10" strokeweight="1pt"/>
            <w10:anchorlock/>
          </v:group>
        </w:pict>
      </w:r>
    </w:p>
    <w:p w14:paraId="3C32B7E2" w14:textId="77777777" w:rsidR="000A16FC" w:rsidRDefault="00534832" w:rsidP="000A16FC">
      <w:pPr>
        <w:spacing w:before="31"/>
        <w:ind w:left="403" w:right="964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Viz směrnice Evropského parlamentu a Rady (EU) 2015/1535 ze dne 9. září 2015 o postupu při poskytování informací v oblasti technických předpisů a předpisů pro služby informační společnosti.</w:t>
      </w:r>
      <w:r>
        <w:rPr>
          <w:sz w:val="17"/>
        </w:rPr>
        <w:tab/>
      </w:r>
      <w:r w:rsidR="00524C5F">
        <w:rPr>
          <w:sz w:val="17"/>
        </w:rPr>
        <w:t xml:space="preserve">                            </w:t>
      </w:r>
    </w:p>
    <w:p w14:paraId="3F7164F9" w14:textId="5463C35C" w:rsidR="00A2416E" w:rsidRDefault="000A16FC" w:rsidP="00581354">
      <w:pPr>
        <w:spacing w:before="31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  </w:t>
      </w:r>
      <w:r w:rsidR="00534832">
        <w:rPr>
          <w:rFonts w:ascii="HelveticaNeueLT Std Cn" w:hAnsi="HelveticaNeueLT Std Cn"/>
          <w:sz w:val="20"/>
        </w:rPr>
        <w:t>1</w:t>
      </w:r>
    </w:p>
    <w:p w14:paraId="7C3B7287" w14:textId="77777777" w:rsidR="00A2416E" w:rsidRDefault="00A2416E">
      <w:pPr>
        <w:spacing w:line="222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FA5AF97" w14:textId="77777777" w:rsidR="00A2416E" w:rsidRDefault="00534832">
      <w:pPr>
        <w:pStyle w:val="Rubrik2"/>
        <w:spacing w:line="228" w:lineRule="auto"/>
        <w:ind w:right="19"/>
      </w:pPr>
      <w:bookmarkStart w:id="1" w:name="Rapportering"/>
      <w:bookmarkEnd w:id="1"/>
      <w:r>
        <w:lastRenderedPageBreak/>
        <w:t>STEMFS 2021:2</w:t>
      </w:r>
    </w:p>
    <w:p w14:paraId="624DE1C9" w14:textId="77777777" w:rsidR="00A2416E" w:rsidRDefault="00534832">
      <w:pPr>
        <w:spacing w:before="63"/>
        <w:ind w:left="117"/>
        <w:rPr>
          <w:b/>
          <w:sz w:val="21"/>
        </w:rPr>
      </w:pPr>
      <w:r>
        <w:br w:type="column"/>
      </w:r>
      <w:r>
        <w:rPr>
          <w:b/>
          <w:sz w:val="21"/>
        </w:rPr>
        <w:t>Podávání zpráv</w:t>
      </w:r>
    </w:p>
    <w:p w14:paraId="60DBC31F" w14:textId="77777777" w:rsidR="00A2416E" w:rsidRDefault="00534832">
      <w:pPr>
        <w:pStyle w:val="Liststycke"/>
        <w:numPr>
          <w:ilvl w:val="0"/>
          <w:numId w:val="5"/>
        </w:numPr>
        <w:tabs>
          <w:tab w:val="left" w:pos="308"/>
        </w:tabs>
        <w:spacing w:before="141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§ </w:t>
      </w:r>
      <w:r>
        <w:rPr>
          <w:sz w:val="19"/>
        </w:rPr>
        <w:t>Součástí zpráv o emisích budou všechny vyráběné pohonné hmoty, které dodavatel pohonných hmot dodal a za které vznikla povinnost k dani podle kapitoly 5 zákona o dani z energie (1994:1776) během roku, na který se zpráva vztahuje, s uvedením:</w:t>
      </w:r>
    </w:p>
    <w:p w14:paraId="69D953B3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množství;</w:t>
      </w:r>
    </w:p>
    <w:p w14:paraId="516CF941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čisté výhřevnosti;</w:t>
      </w:r>
    </w:p>
    <w:p w14:paraId="5CA31CC9" w14:textId="77777777" w:rsidR="00A2416E" w:rsidRDefault="00534832">
      <w:pPr>
        <w:pStyle w:val="Liststycke"/>
        <w:numPr>
          <w:ilvl w:val="0"/>
          <w:numId w:val="4"/>
        </w:numPr>
        <w:tabs>
          <w:tab w:val="left" w:pos="316"/>
        </w:tabs>
        <w:rPr>
          <w:sz w:val="19"/>
        </w:rPr>
      </w:pPr>
      <w:r>
        <w:rPr>
          <w:sz w:val="19"/>
        </w:rPr>
        <w:t>zdroje energie dodané elektřiny v případech, kdy má elektřina označení původu.</w:t>
      </w:r>
    </w:p>
    <w:p w14:paraId="7894339E" w14:textId="77777777" w:rsidR="00A2416E" w:rsidRDefault="00A2416E">
      <w:pPr>
        <w:pStyle w:val="Brdtext"/>
        <w:spacing w:before="5"/>
        <w:rPr>
          <w:sz w:val="22"/>
        </w:rPr>
      </w:pPr>
    </w:p>
    <w:p w14:paraId="688D241D" w14:textId="77777777" w:rsidR="00A2416E" w:rsidRDefault="00534832">
      <w:pPr>
        <w:pStyle w:val="Liststycke"/>
        <w:numPr>
          <w:ilvl w:val="0"/>
          <w:numId w:val="5"/>
        </w:numPr>
        <w:tabs>
          <w:tab w:val="left" w:pos="277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§ </w:t>
      </w:r>
      <w:r>
        <w:rPr>
          <w:sz w:val="19"/>
        </w:rPr>
        <w:t>Zpráva o emisích musí obsahovat všechny fosilní složky, které jsou součástí dodávaných výrobků pohonných hmot v souladu s § 4, a musí uvádět:</w:t>
      </w:r>
    </w:p>
    <w:p w14:paraId="09AF6626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96"/>
        <w:rPr>
          <w:sz w:val="19"/>
        </w:rPr>
      </w:pPr>
      <w:r>
        <w:rPr>
          <w:sz w:val="19"/>
        </w:rPr>
        <w:t>výrobky, ve kterých jsou složky obsaženy;</w:t>
      </w:r>
    </w:p>
    <w:p w14:paraId="28EE6BB7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druhy fosilních složek v členění podle zdroje surovin a procesu v souladu s přílohou 1;</w:t>
      </w:r>
    </w:p>
    <w:p w14:paraId="5DA70FE3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množství;</w:t>
      </w:r>
    </w:p>
    <w:p w14:paraId="6D197172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rPr>
          <w:sz w:val="19"/>
        </w:rPr>
      </w:pPr>
      <w:r>
        <w:rPr>
          <w:sz w:val="19"/>
        </w:rPr>
        <w:t>čistou výhřevnost; a</w:t>
      </w:r>
    </w:p>
    <w:p w14:paraId="04221788" w14:textId="77777777" w:rsidR="00A2416E" w:rsidRDefault="00534832">
      <w:pPr>
        <w:pStyle w:val="Liststycke"/>
        <w:numPr>
          <w:ilvl w:val="0"/>
          <w:numId w:val="3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zemi původu suroviny.</w:t>
      </w:r>
    </w:p>
    <w:p w14:paraId="2AED6C49" w14:textId="77777777" w:rsidR="00A2416E" w:rsidRDefault="00A2416E">
      <w:pPr>
        <w:pStyle w:val="Brdtext"/>
        <w:spacing w:before="5"/>
        <w:rPr>
          <w:sz w:val="22"/>
        </w:rPr>
      </w:pPr>
    </w:p>
    <w:p w14:paraId="716008FA" w14:textId="77777777" w:rsidR="00A2416E" w:rsidRDefault="00534832">
      <w:pPr>
        <w:pStyle w:val="Liststycke"/>
        <w:numPr>
          <w:ilvl w:val="0"/>
          <w:numId w:val="5"/>
        </w:numPr>
        <w:tabs>
          <w:tab w:val="left" w:pos="265"/>
        </w:tabs>
        <w:spacing w:before="0" w:line="273" w:lineRule="auto"/>
        <w:ind w:right="438" w:firstLine="0"/>
        <w:rPr>
          <w:sz w:val="19"/>
        </w:rPr>
      </w:pPr>
      <w:r>
        <w:rPr>
          <w:b/>
          <w:sz w:val="19"/>
        </w:rPr>
        <w:t>§ </w:t>
      </w:r>
      <w:r>
        <w:rPr>
          <w:sz w:val="19"/>
        </w:rPr>
        <w:t>Zpráva o emisích musí obsahovat všechny biosložky, které jsou součástí dodávaných výrobků pohonných hmot v souladu s § 4, a uvádět:</w:t>
      </w:r>
    </w:p>
    <w:p w14:paraId="0C456492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7"/>
        <w:rPr>
          <w:sz w:val="19"/>
        </w:rPr>
      </w:pPr>
      <w:r>
        <w:rPr>
          <w:sz w:val="19"/>
        </w:rPr>
        <w:t>výrobky, ve kterých jsou biosložky obsaženy;</w:t>
      </w:r>
    </w:p>
    <w:p w14:paraId="5D2FF15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druh biosložky;</w:t>
      </w:r>
    </w:p>
    <w:p w14:paraId="134B125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množství;</w:t>
      </w:r>
    </w:p>
    <w:p w14:paraId="420C5F9D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čisté výhřevnosti;</w:t>
      </w:r>
    </w:p>
    <w:p w14:paraId="6FBCDE1A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69"/>
        <w:rPr>
          <w:sz w:val="19"/>
        </w:rPr>
      </w:pPr>
      <w:r>
        <w:rPr>
          <w:sz w:val="19"/>
        </w:rPr>
        <w:t>suroviny;</w:t>
      </w:r>
    </w:p>
    <w:p w14:paraId="3BA18401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rPr>
          <w:sz w:val="19"/>
        </w:rPr>
      </w:pPr>
      <w:r>
        <w:rPr>
          <w:sz w:val="19"/>
        </w:rPr>
        <w:t>zemi původu suroviny;</w:t>
      </w:r>
    </w:p>
    <w:p w14:paraId="3E51FE3E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line="252" w:lineRule="auto"/>
        <w:ind w:right="438"/>
        <w:jc w:val="both"/>
        <w:rPr>
          <w:sz w:val="19"/>
        </w:rPr>
      </w:pPr>
      <w:r>
        <w:rPr>
          <w:sz w:val="19"/>
        </w:rPr>
        <w:t>zda biosložky splňují kritéria udržitelnosti stanovená v zákoně (2010: 598) o kritériích udržitelnosti v případě biopaliv a biokapalin; a</w:t>
      </w:r>
    </w:p>
    <w:p w14:paraId="6A936F3B" w14:textId="77777777" w:rsidR="00A2416E" w:rsidRDefault="00534832">
      <w:pPr>
        <w:pStyle w:val="Liststycke"/>
        <w:numPr>
          <w:ilvl w:val="0"/>
          <w:numId w:val="2"/>
        </w:numPr>
        <w:tabs>
          <w:tab w:val="left" w:pos="316"/>
        </w:tabs>
        <w:spacing w:before="58"/>
        <w:jc w:val="both"/>
        <w:rPr>
          <w:sz w:val="19"/>
        </w:rPr>
      </w:pPr>
      <w:r>
        <w:rPr>
          <w:sz w:val="19"/>
        </w:rPr>
        <w:t>zda byly biosložky použity v leteckém palivu.</w:t>
      </w:r>
    </w:p>
    <w:p w14:paraId="351F1B0D" w14:textId="77777777" w:rsidR="00A2416E" w:rsidRDefault="00A2416E">
      <w:pPr>
        <w:pStyle w:val="Brdtext"/>
        <w:spacing w:before="6"/>
        <w:rPr>
          <w:sz w:val="22"/>
        </w:rPr>
      </w:pPr>
    </w:p>
    <w:p w14:paraId="055D9BCA" w14:textId="77777777" w:rsidR="00A2416E" w:rsidRDefault="00534832">
      <w:pPr>
        <w:pStyle w:val="Liststycke"/>
        <w:numPr>
          <w:ilvl w:val="0"/>
          <w:numId w:val="5"/>
        </w:numPr>
        <w:tabs>
          <w:tab w:val="left" w:pos="269"/>
        </w:tabs>
        <w:spacing w:before="0" w:line="273" w:lineRule="auto"/>
        <w:ind w:right="438" w:firstLine="0"/>
        <w:jc w:val="both"/>
        <w:rPr>
          <w:sz w:val="19"/>
        </w:rPr>
      </w:pPr>
      <w:r>
        <w:rPr>
          <w:b/>
          <w:sz w:val="19"/>
        </w:rPr>
        <w:t>§ </w:t>
      </w:r>
      <w:r>
        <w:rPr>
          <w:sz w:val="19"/>
        </w:rPr>
        <w:t>Pokud se země původu nachází mimo Evropskou unii nebo EHP, ale nejsou k dispozici informace o tom, která země je zemí původu, musí zpráva o emisích uvádět, že nejsou k dispozici informace o zemi původu.</w:t>
      </w:r>
    </w:p>
    <w:p w14:paraId="732E5498" w14:textId="77777777" w:rsidR="00A2416E" w:rsidRDefault="00A2416E">
      <w:pPr>
        <w:spacing w:line="273" w:lineRule="auto"/>
        <w:jc w:val="both"/>
        <w:rPr>
          <w:sz w:val="19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53703E9C" w14:textId="77777777" w:rsidR="00A2416E" w:rsidRDefault="00A2416E">
      <w:pPr>
        <w:pStyle w:val="Brdtext"/>
        <w:rPr>
          <w:sz w:val="20"/>
        </w:rPr>
      </w:pPr>
    </w:p>
    <w:p w14:paraId="141EB606" w14:textId="77777777" w:rsidR="00A2416E" w:rsidRDefault="00A2416E">
      <w:pPr>
        <w:pStyle w:val="Brdtext"/>
        <w:rPr>
          <w:sz w:val="20"/>
        </w:rPr>
      </w:pPr>
    </w:p>
    <w:p w14:paraId="7939C55D" w14:textId="77777777" w:rsidR="00A2416E" w:rsidRDefault="00A2416E">
      <w:pPr>
        <w:pStyle w:val="Brdtext"/>
        <w:rPr>
          <w:sz w:val="20"/>
        </w:rPr>
      </w:pPr>
    </w:p>
    <w:p w14:paraId="3855820A" w14:textId="77777777" w:rsidR="00A2416E" w:rsidRDefault="00A2416E">
      <w:pPr>
        <w:pStyle w:val="Brdtext"/>
        <w:rPr>
          <w:sz w:val="20"/>
        </w:rPr>
      </w:pPr>
    </w:p>
    <w:p w14:paraId="436A79D9" w14:textId="77777777" w:rsidR="00A2416E" w:rsidRDefault="00A2416E">
      <w:pPr>
        <w:pStyle w:val="Brdtext"/>
        <w:rPr>
          <w:sz w:val="20"/>
        </w:rPr>
      </w:pPr>
    </w:p>
    <w:p w14:paraId="66D146DB" w14:textId="77777777" w:rsidR="00A2416E" w:rsidRDefault="00A2416E">
      <w:pPr>
        <w:pStyle w:val="Brdtext"/>
        <w:rPr>
          <w:sz w:val="20"/>
        </w:rPr>
      </w:pPr>
    </w:p>
    <w:p w14:paraId="05983546" w14:textId="77777777" w:rsidR="00A2416E" w:rsidRDefault="00A2416E">
      <w:pPr>
        <w:pStyle w:val="Brdtext"/>
        <w:rPr>
          <w:sz w:val="20"/>
        </w:rPr>
      </w:pPr>
    </w:p>
    <w:p w14:paraId="3B407F9E" w14:textId="77777777" w:rsidR="00A2416E" w:rsidRDefault="00A2416E">
      <w:pPr>
        <w:pStyle w:val="Brdtext"/>
        <w:spacing w:before="8"/>
        <w:rPr>
          <w:sz w:val="26"/>
        </w:rPr>
      </w:pPr>
    </w:p>
    <w:p w14:paraId="346CAB4A" w14:textId="77777777" w:rsidR="00A2416E" w:rsidRDefault="00534832">
      <w:pPr>
        <w:pStyle w:val="Rubrik3"/>
        <w:spacing w:before="111"/>
      </w:pPr>
      <w:r>
        <w:t>2</w:t>
      </w:r>
    </w:p>
    <w:p w14:paraId="47F3F605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5320A3C" w14:textId="77777777" w:rsidR="00A2416E" w:rsidRDefault="00534832">
      <w:pPr>
        <w:spacing w:before="63"/>
        <w:ind w:left="400"/>
        <w:jc w:val="both"/>
        <w:rPr>
          <w:b/>
          <w:sz w:val="21"/>
        </w:rPr>
      </w:pPr>
      <w:bookmarkStart w:id="2" w:name="Beräkning_av_växthusgasintensitet"/>
      <w:bookmarkEnd w:id="2"/>
      <w:r>
        <w:rPr>
          <w:b/>
          <w:sz w:val="21"/>
        </w:rPr>
        <w:lastRenderedPageBreak/>
        <w:t>Výpočet náročnosti z hlediska skleníkových plynů</w:t>
      </w:r>
    </w:p>
    <w:p w14:paraId="1BBF99A2" w14:textId="77777777" w:rsidR="00A2416E" w:rsidRDefault="00534832">
      <w:pPr>
        <w:pStyle w:val="Brdtext"/>
        <w:spacing w:before="141" w:line="273" w:lineRule="auto"/>
        <w:ind w:left="400" w:right="238"/>
        <w:jc w:val="both"/>
      </w:pPr>
      <w:r>
        <w:rPr>
          <w:b/>
        </w:rPr>
        <w:t xml:space="preserve">§ 12 </w:t>
      </w:r>
      <w:r>
        <w:t>Při výpočtu snížení emisí skleníkových plynů dodavatelem paliva za účelem uvedeným v § 21 zákona o pohonných hmotách (2011:319) se výpočet intenzity skleníkových plynů provede podle následujícího vzorce:</w:t>
      </w:r>
    </w:p>
    <w:p w14:paraId="20759CD1" w14:textId="2F660FCD" w:rsidR="00A2416E" w:rsidRDefault="00534832" w:rsidP="00524C5F">
      <w:pPr>
        <w:pStyle w:val="Brdtext"/>
        <w:spacing w:before="86" w:line="213" w:lineRule="exact"/>
        <w:ind w:left="2364" w:right="-1134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(GHGi</w:t>
      </w:r>
      <w:r>
        <w:rPr>
          <w:color w:val="010102"/>
          <w:vertAlign w:val="subscript"/>
        </w:rPr>
        <w:t>x</w:t>
      </w:r>
      <w:r>
        <w:rPr>
          <w:color w:val="010102"/>
        </w:rPr>
        <w:t>×AF×MJ</w:t>
      </w:r>
      <w:r>
        <w:rPr>
          <w:color w:val="010102"/>
          <w:vertAlign w:val="subscript"/>
        </w:rPr>
        <w:t>x</w:t>
      </w:r>
      <w:r>
        <w:rPr>
          <w:color w:val="010102"/>
        </w:rPr>
        <w:t>) – UER</w:t>
      </w:r>
    </w:p>
    <w:p w14:paraId="5B0DC3E8" w14:textId="77777777" w:rsidR="00A2416E" w:rsidRDefault="00534832">
      <w:pPr>
        <w:pStyle w:val="Brdtext"/>
        <w:spacing w:line="191" w:lineRule="exact"/>
        <w:ind w:left="400"/>
        <w:jc w:val="both"/>
      </w:pPr>
      <w:r>
        <w:rPr>
          <w:color w:val="010102"/>
        </w:rPr>
        <w:t>Náročnost z hlediska skleníkových plynů</w:t>
      </w:r>
      <w:r>
        <w:rPr>
          <w:color w:val="010102"/>
          <w:vertAlign w:val="subscript"/>
        </w:rPr>
        <w:t>#</w:t>
      </w:r>
      <w:r>
        <w:rPr>
          <w:color w:val="010102"/>
        </w:rPr>
        <w:t xml:space="preserve">  =  ––––––––––––––––––––––––</w:t>
      </w:r>
    </w:p>
    <w:p w14:paraId="3A218E26" w14:textId="77777777" w:rsidR="00A2416E" w:rsidRDefault="00534832" w:rsidP="00524C5F">
      <w:pPr>
        <w:pStyle w:val="Brdtext"/>
        <w:spacing w:line="217" w:lineRule="exact"/>
        <w:ind w:left="2121" w:right="-907"/>
        <w:jc w:val="center"/>
      </w:pPr>
      <w:r>
        <w:rPr>
          <w:color w:val="010102"/>
        </w:rPr>
        <w:t xml:space="preserve">∑ </w:t>
      </w:r>
      <w:r>
        <w:rPr>
          <w:color w:val="010102"/>
          <w:vertAlign w:val="subscript"/>
        </w:rPr>
        <w:t>x</w:t>
      </w:r>
      <w:r>
        <w:rPr>
          <w:color w:val="010102"/>
        </w:rPr>
        <w:t xml:space="preserve"> MJ</w:t>
      </w:r>
      <w:r>
        <w:rPr>
          <w:color w:val="010102"/>
          <w:vertAlign w:val="subscript"/>
        </w:rPr>
        <w:t>x</w:t>
      </w:r>
    </w:p>
    <w:p w14:paraId="34570CBD" w14:textId="77777777" w:rsidR="00A2416E" w:rsidRDefault="00A2416E">
      <w:pPr>
        <w:pStyle w:val="Brdtext"/>
        <w:spacing w:before="4"/>
        <w:rPr>
          <w:sz w:val="15"/>
        </w:rPr>
      </w:pP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800"/>
        <w:gridCol w:w="5497"/>
      </w:tblGrid>
      <w:tr w:rsidR="00A2416E" w14:paraId="4CFD6340" w14:textId="77777777">
        <w:trPr>
          <w:trHeight w:val="251"/>
        </w:trPr>
        <w:tc>
          <w:tcPr>
            <w:tcW w:w="800" w:type="dxa"/>
          </w:tcPr>
          <w:p w14:paraId="0A908CB3" w14:textId="2EE7EDCE" w:rsidR="00A2416E" w:rsidRDefault="00534832">
            <w:pPr>
              <w:pStyle w:val="TableParagraph"/>
              <w:spacing w:before="0" w:line="210" w:lineRule="exact"/>
              <w:ind w:left="200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z w:val="19"/>
              </w:rPr>
              <w:tab/>
            </w:r>
          </w:p>
        </w:tc>
        <w:tc>
          <w:tcPr>
            <w:tcW w:w="5497" w:type="dxa"/>
          </w:tcPr>
          <w:p w14:paraId="667260ED" w14:textId="13945B9A" w:rsidR="00A2416E" w:rsidRDefault="00524C5F">
            <w:pPr>
              <w:pStyle w:val="TableParagraph"/>
              <w:spacing w:before="0" w:line="210" w:lineRule="exact"/>
              <w:ind w:left="85"/>
              <w:rPr>
                <w:sz w:val="19"/>
              </w:rPr>
            </w:pPr>
            <w:r>
              <w:rPr>
                <w:sz w:val="19"/>
              </w:rPr>
              <w:t>označení dodavatele</w:t>
            </w:r>
          </w:p>
        </w:tc>
      </w:tr>
      <w:tr w:rsidR="00A2416E" w14:paraId="66C6F643" w14:textId="77777777">
        <w:trPr>
          <w:trHeight w:val="291"/>
        </w:trPr>
        <w:tc>
          <w:tcPr>
            <w:tcW w:w="800" w:type="dxa"/>
          </w:tcPr>
          <w:p w14:paraId="2FD57175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7" w:type="dxa"/>
          </w:tcPr>
          <w:p w14:paraId="2A6E5BDD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pohonné hmoty, které byly dodány a které byly vykázány</w:t>
            </w:r>
          </w:p>
        </w:tc>
      </w:tr>
      <w:tr w:rsidR="00A2416E" w14:paraId="4EEEE19A" w14:textId="77777777">
        <w:trPr>
          <w:trHeight w:val="751"/>
        </w:trPr>
        <w:tc>
          <w:tcPr>
            <w:tcW w:w="800" w:type="dxa"/>
          </w:tcPr>
          <w:p w14:paraId="79E26564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7D58B399" w14:textId="77777777" w:rsidR="00A2416E" w:rsidRDefault="00534832">
            <w:pPr>
              <w:pStyle w:val="TableParagraph"/>
              <w:spacing w:before="38" w:line="230" w:lineRule="auto"/>
              <w:ind w:left="85" w:right="198"/>
              <w:jc w:val="both"/>
              <w:rPr>
                <w:sz w:val="19"/>
              </w:rPr>
            </w:pPr>
            <w:r>
              <w:rPr>
                <w:sz w:val="19"/>
              </w:rPr>
              <w:t>je součet emisí skleníkových plynů vyjádřený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ze všech biosložek a fosilních složek obsažených v dodaných pohonných hmotách</w:t>
            </w:r>
          </w:p>
        </w:tc>
      </w:tr>
      <w:tr w:rsidR="00A2416E" w14:paraId="5FB64182" w14:textId="77777777">
        <w:trPr>
          <w:trHeight w:val="521"/>
        </w:trPr>
        <w:tc>
          <w:tcPr>
            <w:tcW w:w="800" w:type="dxa"/>
          </w:tcPr>
          <w:p w14:paraId="3D51B5E0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7" w:type="dxa"/>
          </w:tcPr>
          <w:p w14:paraId="02BB1F8E" w14:textId="77777777" w:rsidR="00A2416E" w:rsidRDefault="00534832">
            <w:pPr>
              <w:pStyle w:val="TableParagraph"/>
              <w:spacing w:before="32" w:line="252" w:lineRule="auto"/>
              <w:ind w:left="85" w:right="170"/>
              <w:rPr>
                <w:sz w:val="19"/>
              </w:rPr>
            </w:pPr>
            <w:r>
              <w:rPr>
                <w:sz w:val="19"/>
              </w:rPr>
              <w:t>energie obsažená ve fosilních složkách a biosložkách obsažených v dodaných pohonných hmotách, vyjádřená v megajoulech</w:t>
            </w:r>
          </w:p>
        </w:tc>
      </w:tr>
      <w:tr w:rsidR="00A2416E" w14:paraId="5072D8FC" w14:textId="77777777">
        <w:trPr>
          <w:trHeight w:val="521"/>
        </w:trPr>
        <w:tc>
          <w:tcPr>
            <w:tcW w:w="800" w:type="dxa"/>
          </w:tcPr>
          <w:p w14:paraId="6DFBF789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AF</w:t>
            </w:r>
          </w:p>
        </w:tc>
        <w:tc>
          <w:tcPr>
            <w:tcW w:w="5497" w:type="dxa"/>
          </w:tcPr>
          <w:p w14:paraId="76543568" w14:textId="77777777" w:rsidR="00A2416E" w:rsidRDefault="00534832">
            <w:pPr>
              <w:pStyle w:val="TableParagraph"/>
              <w:spacing w:before="32"/>
              <w:ind w:left="85"/>
              <w:rPr>
                <w:sz w:val="19"/>
              </w:rPr>
            </w:pPr>
            <w:r>
              <w:rPr>
                <w:sz w:val="19"/>
              </w:rPr>
              <w:t>korekční faktory pro účinnost pohonného systému podle následující tabulky</w:t>
            </w:r>
          </w:p>
          <w:p w14:paraId="1791D3B1" w14:textId="77777777" w:rsidR="00A2416E" w:rsidRDefault="00534832">
            <w:pPr>
              <w:pStyle w:val="TableParagraph"/>
              <w:spacing w:before="12"/>
              <w:ind w:left="85"/>
              <w:rPr>
                <w:sz w:val="19"/>
              </w:rPr>
            </w:pPr>
            <w:r>
              <w:rPr>
                <w:sz w:val="19"/>
              </w:rPr>
              <w:t>níže</w:t>
            </w:r>
          </w:p>
        </w:tc>
      </w:tr>
      <w:tr w:rsidR="00A2416E" w14:paraId="690B8266" w14:textId="77777777">
        <w:trPr>
          <w:trHeight w:val="297"/>
        </w:trPr>
        <w:tc>
          <w:tcPr>
            <w:tcW w:w="800" w:type="dxa"/>
          </w:tcPr>
          <w:p w14:paraId="60FB116A" w14:textId="77777777" w:rsidR="00A2416E" w:rsidRDefault="00534832">
            <w:pPr>
              <w:pStyle w:val="TableParagraph"/>
              <w:spacing w:before="32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UER</w:t>
            </w:r>
          </w:p>
        </w:tc>
        <w:tc>
          <w:tcPr>
            <w:tcW w:w="5497" w:type="dxa"/>
          </w:tcPr>
          <w:p w14:paraId="1AD7EF7E" w14:textId="77777777" w:rsidR="00A2416E" w:rsidRDefault="00534832">
            <w:pPr>
              <w:pStyle w:val="TableParagraph"/>
              <w:spacing w:before="32" w:line="245" w:lineRule="exact"/>
              <w:ind w:left="85"/>
              <w:rPr>
                <w:sz w:val="19"/>
              </w:rPr>
            </w:pPr>
            <w:r>
              <w:rPr>
                <w:sz w:val="19"/>
              </w:rPr>
              <w:t>Snížení výrobních emisí měřené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</w:t>
            </w:r>
          </w:p>
        </w:tc>
      </w:tr>
    </w:tbl>
    <w:p w14:paraId="799663C9" w14:textId="77777777" w:rsidR="00A2416E" w:rsidRDefault="00534832">
      <w:pPr>
        <w:pStyle w:val="Brdtext"/>
        <w:spacing w:before="132"/>
        <w:ind w:left="400"/>
        <w:jc w:val="both"/>
      </w:pPr>
      <w:r>
        <w:t>Emise se upravují z hlediska účinnosti pohonného systému a výrobních emisí.</w:t>
      </w:r>
    </w:p>
    <w:p w14:paraId="197F02F8" w14:textId="77777777" w:rsidR="00A2416E" w:rsidRDefault="00A2416E">
      <w:pPr>
        <w:pStyle w:val="Brdtext"/>
        <w:rPr>
          <w:sz w:val="28"/>
        </w:rPr>
      </w:pPr>
    </w:p>
    <w:tbl>
      <w:tblPr>
        <w:tblStyle w:val="TableNormal1"/>
        <w:tblW w:w="0" w:type="auto"/>
        <w:tblInd w:w="407" w:type="dxa"/>
        <w:tblLayout w:type="fixed"/>
        <w:tblLook w:val="01E0" w:firstRow="1" w:lastRow="1" w:firstColumn="1" w:lastColumn="1" w:noHBand="0" w:noVBand="0"/>
      </w:tblPr>
      <w:tblGrid>
        <w:gridCol w:w="3368"/>
        <w:gridCol w:w="1656"/>
      </w:tblGrid>
      <w:tr w:rsidR="00A2416E" w14:paraId="28F08263" w14:textId="77777777">
        <w:trPr>
          <w:trHeight w:val="325"/>
        </w:trPr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</w:tcPr>
          <w:p w14:paraId="38A19BC4" w14:textId="77777777" w:rsidR="00A2416E" w:rsidRDefault="00534832"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Hlavní oblast použití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14:paraId="2AE18678" w14:textId="77777777" w:rsidR="00A2416E" w:rsidRDefault="00534832">
            <w:pPr>
              <w:pStyle w:val="TableParagraph"/>
              <w:spacing w:before="67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Faktor účinnosti</w:t>
            </w:r>
          </w:p>
        </w:tc>
      </w:tr>
      <w:tr w:rsidR="00A2416E" w14:paraId="63DF21ED" w14:textId="77777777">
        <w:trPr>
          <w:trHeight w:val="295"/>
        </w:trPr>
        <w:tc>
          <w:tcPr>
            <w:tcW w:w="3368" w:type="dxa"/>
            <w:tcBorders>
              <w:top w:val="single" w:sz="4" w:space="0" w:color="000000"/>
            </w:tcBorders>
          </w:tcPr>
          <w:p w14:paraId="2DC6CCCF" w14:textId="77777777" w:rsidR="00A2416E" w:rsidRDefault="00534832">
            <w:pPr>
              <w:pStyle w:val="TableParagraph"/>
              <w:spacing w:before="72"/>
              <w:ind w:left="0"/>
              <w:rPr>
                <w:sz w:val="17"/>
              </w:rPr>
            </w:pPr>
            <w:r>
              <w:rPr>
                <w:sz w:val="17"/>
              </w:rPr>
              <w:t>Spalovací motory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14:paraId="3EABE78F" w14:textId="77777777" w:rsidR="00A2416E" w:rsidRDefault="00534832">
            <w:pPr>
              <w:pStyle w:val="TableParagraph"/>
              <w:spacing w:before="72"/>
              <w:ind w:left="2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A2416E" w14:paraId="17A28BEE" w14:textId="77777777">
        <w:trPr>
          <w:trHeight w:val="242"/>
        </w:trPr>
        <w:tc>
          <w:tcPr>
            <w:tcW w:w="3368" w:type="dxa"/>
          </w:tcPr>
          <w:p w14:paraId="02257E28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Elektrické systémy napájené z baterie</w:t>
            </w:r>
          </w:p>
        </w:tc>
        <w:tc>
          <w:tcPr>
            <w:tcW w:w="1656" w:type="dxa"/>
          </w:tcPr>
          <w:p w14:paraId="73657E13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  <w:tr w:rsidR="00A2416E" w14:paraId="320937A7" w14:textId="77777777">
        <w:trPr>
          <w:trHeight w:val="287"/>
        </w:trPr>
        <w:tc>
          <w:tcPr>
            <w:tcW w:w="3368" w:type="dxa"/>
            <w:tcBorders>
              <w:bottom w:val="single" w:sz="4" w:space="0" w:color="000000"/>
            </w:tcBorders>
          </w:tcPr>
          <w:p w14:paraId="51DED897" w14:textId="77777777" w:rsidR="00A2416E" w:rsidRDefault="00534832">
            <w:pPr>
              <w:pStyle w:val="TableParagraph"/>
              <w:spacing w:before="20"/>
              <w:ind w:left="0"/>
              <w:rPr>
                <w:sz w:val="17"/>
              </w:rPr>
            </w:pPr>
            <w:r>
              <w:rPr>
                <w:sz w:val="17"/>
              </w:rPr>
              <w:t>Systém pohonu tvořený vodíkovými palivovými články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14:paraId="6D27FC5C" w14:textId="77777777" w:rsidR="00A2416E" w:rsidRDefault="00534832">
            <w:pPr>
              <w:pStyle w:val="TableParagraph"/>
              <w:spacing w:before="20"/>
              <w:ind w:left="237"/>
              <w:rPr>
                <w:sz w:val="17"/>
              </w:rPr>
            </w:pPr>
            <w:r>
              <w:rPr>
                <w:sz w:val="17"/>
              </w:rPr>
              <w:t>0,4</w:t>
            </w:r>
          </w:p>
        </w:tc>
      </w:tr>
    </w:tbl>
    <w:p w14:paraId="26A8E09B" w14:textId="77777777" w:rsidR="00A2416E" w:rsidRDefault="00A2416E">
      <w:pPr>
        <w:pStyle w:val="Brdtext"/>
        <w:spacing w:before="10"/>
        <w:rPr>
          <w:sz w:val="28"/>
        </w:rPr>
      </w:pPr>
    </w:p>
    <w:p w14:paraId="37BD531B" w14:textId="77777777" w:rsidR="00A2416E" w:rsidRDefault="00534832">
      <w:pPr>
        <w:pStyle w:val="Brdtext"/>
        <w:spacing w:before="1" w:line="273" w:lineRule="auto"/>
        <w:ind w:left="400" w:right="238"/>
        <w:jc w:val="both"/>
      </w:pPr>
      <w:r>
        <w:rPr>
          <w:b/>
        </w:rPr>
        <w:t xml:space="preserve">§ 12a </w:t>
      </w:r>
      <w:r>
        <w:t>Jako základ pro informace týkající se dopadu na životní prostředí vypočítá dodavatel pohonné hmoty náročnost z hlediska skleníkových plynů v případě výrobků, které uvádí na trh, podle tohoto vzorce:</w:t>
      </w:r>
    </w:p>
    <w:p w14:paraId="752A0082" w14:textId="77777777" w:rsidR="00A2416E" w:rsidRDefault="00534832">
      <w:pPr>
        <w:pStyle w:val="Brdtext"/>
        <w:spacing w:before="177" w:line="170" w:lineRule="auto"/>
        <w:ind w:left="400" w:right="3425" w:firstLine="808"/>
      </w:pPr>
      <w:r>
        <w:rPr>
          <w:color w:val="010102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(GHGi</w:t>
      </w:r>
      <w:r>
        <w:rPr>
          <w:color w:val="010102"/>
          <w:sz w:val="12"/>
        </w:rPr>
        <w:t xml:space="preserve">x </w:t>
      </w:r>
      <w:r>
        <w:rPr>
          <w:color w:val="010102"/>
        </w:rPr>
        <w:t>× MJ</w:t>
      </w:r>
      <w:r>
        <w:rPr>
          <w:color w:val="010102"/>
          <w:sz w:val="12"/>
        </w:rPr>
        <w:t>x</w:t>
      </w:r>
      <w:r>
        <w:rPr>
          <w:color w:val="010102"/>
        </w:rPr>
        <w:t>) GHGi</w:t>
      </w:r>
      <w:r>
        <w:rPr>
          <w:color w:val="010102"/>
          <w:sz w:val="11"/>
        </w:rPr>
        <w:t xml:space="preserve">a </w:t>
      </w:r>
      <w:r>
        <w:rPr>
          <w:color w:val="010102"/>
        </w:rPr>
        <w:t>= ––––––––––––––––</w:t>
      </w:r>
    </w:p>
    <w:p w14:paraId="676262ED" w14:textId="77777777" w:rsidR="00A2416E" w:rsidRDefault="00534832">
      <w:pPr>
        <w:spacing w:line="201" w:lineRule="auto"/>
        <w:ind w:left="1610"/>
        <w:rPr>
          <w:sz w:val="12"/>
        </w:rPr>
      </w:pPr>
      <w:r>
        <w:rPr>
          <w:color w:val="010102"/>
          <w:sz w:val="19"/>
        </w:rPr>
        <w:t xml:space="preserve">∑ </w:t>
      </w:r>
      <w:r>
        <w:rPr>
          <w:color w:val="010102"/>
          <w:sz w:val="12"/>
        </w:rPr>
        <w:t xml:space="preserve">x </w:t>
      </w:r>
      <w:r>
        <w:rPr>
          <w:color w:val="010102"/>
          <w:sz w:val="19"/>
        </w:rPr>
        <w:t>MJ</w:t>
      </w:r>
      <w:r>
        <w:rPr>
          <w:color w:val="010102"/>
          <w:sz w:val="12"/>
        </w:rPr>
        <w:t>x</w:t>
      </w:r>
    </w:p>
    <w:p w14:paraId="447A06EC" w14:textId="77777777" w:rsidR="00A2416E" w:rsidRDefault="00534832">
      <w:pPr>
        <w:pStyle w:val="Rubrik2"/>
        <w:spacing w:line="228" w:lineRule="auto"/>
        <w:ind w:left="200" w:right="134"/>
      </w:pPr>
      <w:r>
        <w:br w:type="column"/>
      </w:r>
      <w:r>
        <w:t>STEMFS 2021:2</w:t>
      </w:r>
    </w:p>
    <w:p w14:paraId="186869FF" w14:textId="77777777" w:rsidR="00A2416E" w:rsidRDefault="00A2416E">
      <w:pPr>
        <w:spacing w:line="228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6538" w:space="427"/>
            <w:col w:w="1195"/>
          </w:cols>
        </w:sectPr>
      </w:pPr>
    </w:p>
    <w:p w14:paraId="78B72271" w14:textId="77777777" w:rsidR="00A2416E" w:rsidRDefault="00534832">
      <w:pPr>
        <w:pStyle w:val="Brdtext"/>
        <w:spacing w:before="129" w:after="58"/>
        <w:ind w:left="400"/>
      </w:pPr>
      <w:r>
        <w:t>Kde:</w:t>
      </w:r>
    </w:p>
    <w:tbl>
      <w:tblPr>
        <w:tblStyle w:val="TableNormal1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77"/>
        <w:gridCol w:w="5495"/>
      </w:tblGrid>
      <w:tr w:rsidR="00A2416E" w14:paraId="595F037B" w14:textId="77777777">
        <w:trPr>
          <w:trHeight w:val="242"/>
        </w:trPr>
        <w:tc>
          <w:tcPr>
            <w:tcW w:w="777" w:type="dxa"/>
          </w:tcPr>
          <w:p w14:paraId="24B13BD8" w14:textId="77777777" w:rsidR="00A2416E" w:rsidRDefault="00534832">
            <w:pPr>
              <w:pStyle w:val="TableParagraph"/>
              <w:spacing w:before="0" w:line="211" w:lineRule="exact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a</w:t>
            </w:r>
          </w:p>
        </w:tc>
        <w:tc>
          <w:tcPr>
            <w:tcW w:w="5495" w:type="dxa"/>
          </w:tcPr>
          <w:p w14:paraId="3E518B6F" w14:textId="77777777" w:rsidR="00A2416E" w:rsidRDefault="00534832">
            <w:pPr>
              <w:pStyle w:val="TableParagraph"/>
              <w:spacing w:before="0" w:line="210" w:lineRule="exact"/>
              <w:ind w:left="57"/>
              <w:rPr>
                <w:sz w:val="19"/>
              </w:rPr>
            </w:pPr>
            <w:r>
              <w:rPr>
                <w:sz w:val="19"/>
              </w:rPr>
              <w:t>vyráběné pohonné hmoty, které byly dodány a které se ohlašují</w:t>
            </w:r>
          </w:p>
        </w:tc>
      </w:tr>
      <w:tr w:rsidR="00A2416E" w14:paraId="32F5B9EE" w14:textId="77777777">
        <w:trPr>
          <w:trHeight w:val="273"/>
        </w:trPr>
        <w:tc>
          <w:tcPr>
            <w:tcW w:w="777" w:type="dxa"/>
          </w:tcPr>
          <w:p w14:paraId="2D155D9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9"/>
              </w:rPr>
            </w:pPr>
            <w:r>
              <w:rPr>
                <w:i/>
                <w:sz w:val="19"/>
              </w:rPr>
              <w:t>x</w:t>
            </w:r>
          </w:p>
        </w:tc>
        <w:tc>
          <w:tcPr>
            <w:tcW w:w="5495" w:type="dxa"/>
          </w:tcPr>
          <w:p w14:paraId="27B3ACB7" w14:textId="77777777" w:rsidR="00A2416E" w:rsidRDefault="00534832">
            <w:pPr>
              <w:pStyle w:val="TableParagraph"/>
              <w:spacing w:before="23"/>
              <w:ind w:left="57"/>
              <w:rPr>
                <w:sz w:val="19"/>
              </w:rPr>
            </w:pPr>
            <w:r>
              <w:rPr>
                <w:sz w:val="19"/>
              </w:rPr>
              <w:t>složky výrobku, který má být reportován</w:t>
            </w:r>
          </w:p>
        </w:tc>
      </w:tr>
      <w:tr w:rsidR="00A2416E" w14:paraId="64FD007D" w14:textId="77777777">
        <w:trPr>
          <w:trHeight w:val="526"/>
        </w:trPr>
        <w:tc>
          <w:tcPr>
            <w:tcW w:w="777" w:type="dxa"/>
          </w:tcPr>
          <w:p w14:paraId="17EAA3F3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1FA05581" w14:textId="77777777" w:rsidR="00A2416E" w:rsidRDefault="00534832">
            <w:pPr>
              <w:pStyle w:val="TableParagraph"/>
              <w:spacing w:before="17" w:line="230" w:lineRule="exact"/>
              <w:ind w:left="57"/>
              <w:rPr>
                <w:sz w:val="19"/>
              </w:rPr>
            </w:pPr>
            <w:r>
              <w:rPr>
                <w:sz w:val="19"/>
              </w:rPr>
              <w:t>náročnost z hlediska skleníkových plynů v případě příslušných složek obsažených ve výrobku a, vyjádřená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</w:t>
            </w:r>
          </w:p>
        </w:tc>
      </w:tr>
      <w:tr w:rsidR="00A2416E" w14:paraId="473B90F4" w14:textId="77777777">
        <w:trPr>
          <w:trHeight w:val="480"/>
        </w:trPr>
        <w:tc>
          <w:tcPr>
            <w:tcW w:w="777" w:type="dxa"/>
          </w:tcPr>
          <w:p w14:paraId="5908B850" w14:textId="77777777" w:rsidR="00A2416E" w:rsidRDefault="00534832">
            <w:pPr>
              <w:pStyle w:val="TableParagraph"/>
              <w:spacing w:before="0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MJ</w:t>
            </w:r>
            <w:r>
              <w:rPr>
                <w:i/>
                <w:sz w:val="11"/>
              </w:rPr>
              <w:t>x</w:t>
            </w:r>
          </w:p>
        </w:tc>
        <w:tc>
          <w:tcPr>
            <w:tcW w:w="5495" w:type="dxa"/>
          </w:tcPr>
          <w:p w14:paraId="3E93CD66" w14:textId="77777777" w:rsidR="00A2416E" w:rsidRDefault="00534832">
            <w:pPr>
              <w:pStyle w:val="TableParagraph"/>
              <w:spacing w:before="0" w:line="252" w:lineRule="auto"/>
              <w:ind w:left="57"/>
              <w:rPr>
                <w:sz w:val="19"/>
              </w:rPr>
            </w:pPr>
            <w:r>
              <w:rPr>
                <w:sz w:val="19"/>
              </w:rPr>
              <w:t>energie obsažená ve složkách, které jsou zahrnuty ve výrobku a, vyjádřená v megajoulech</w:t>
            </w:r>
          </w:p>
        </w:tc>
      </w:tr>
      <w:tr w:rsidR="00A2416E" w14:paraId="245B7179" w14:textId="77777777">
        <w:trPr>
          <w:trHeight w:val="702"/>
        </w:trPr>
        <w:tc>
          <w:tcPr>
            <w:tcW w:w="777" w:type="dxa"/>
          </w:tcPr>
          <w:p w14:paraId="5334C4BE" w14:textId="77777777" w:rsidR="00A2416E" w:rsidRDefault="00534832">
            <w:pPr>
              <w:pStyle w:val="TableParagraph"/>
              <w:spacing w:before="23"/>
              <w:ind w:left="200"/>
              <w:rPr>
                <w:i/>
                <w:sz w:val="11"/>
              </w:rPr>
            </w:pPr>
            <w:r>
              <w:rPr>
                <w:i/>
                <w:sz w:val="19"/>
              </w:rPr>
              <w:t>GHGi</w:t>
            </w:r>
            <w:r>
              <w:rPr>
                <w:i/>
                <w:sz w:val="11"/>
              </w:rPr>
              <w:t>a</w:t>
            </w:r>
          </w:p>
        </w:tc>
        <w:tc>
          <w:tcPr>
            <w:tcW w:w="5495" w:type="dxa"/>
          </w:tcPr>
          <w:p w14:paraId="2A6CA0A4" w14:textId="77777777" w:rsidR="00A2416E" w:rsidRDefault="00534832">
            <w:pPr>
              <w:pStyle w:val="TableParagraph"/>
              <w:spacing w:before="17" w:line="230" w:lineRule="exact"/>
              <w:ind w:left="57" w:right="197"/>
              <w:jc w:val="both"/>
              <w:rPr>
                <w:sz w:val="19"/>
              </w:rPr>
            </w:pPr>
            <w:r>
              <w:rPr>
                <w:sz w:val="19"/>
              </w:rPr>
              <w:t>emise skleníkových plynů vyjádřené v g CO</w:t>
            </w:r>
            <w:r>
              <w:rPr>
                <w:sz w:val="11"/>
              </w:rPr>
              <w:t>2</w:t>
            </w:r>
            <w:r>
              <w:rPr>
                <w:sz w:val="19"/>
              </w:rPr>
              <w:t>eq/MJ ze všech biosložek a fosilních složek obsažených ve výrobku, který byl dodán.</w:t>
            </w:r>
          </w:p>
        </w:tc>
      </w:tr>
    </w:tbl>
    <w:p w14:paraId="631CE3C8" w14:textId="77777777" w:rsidR="00A2416E" w:rsidRDefault="00A2416E">
      <w:pPr>
        <w:pStyle w:val="Brdtext"/>
        <w:rPr>
          <w:sz w:val="20"/>
        </w:rPr>
      </w:pPr>
    </w:p>
    <w:p w14:paraId="665B4BAB" w14:textId="77777777" w:rsidR="00A2416E" w:rsidRDefault="00A2416E">
      <w:pPr>
        <w:pStyle w:val="Brdtext"/>
        <w:spacing w:before="10"/>
        <w:rPr>
          <w:sz w:val="21"/>
        </w:rPr>
      </w:pPr>
    </w:p>
    <w:p w14:paraId="5772BB0F" w14:textId="77777777" w:rsidR="00A2416E" w:rsidRDefault="00534832">
      <w:pPr>
        <w:pStyle w:val="Rubrik3"/>
        <w:ind w:left="0" w:right="155"/>
        <w:jc w:val="right"/>
      </w:pPr>
      <w:r>
        <w:t>3</w:t>
      </w:r>
    </w:p>
    <w:p w14:paraId="677F036A" w14:textId="77777777" w:rsidR="00A2416E" w:rsidRDefault="00A2416E">
      <w:pPr>
        <w:jc w:val="right"/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0EB2F8F7" w14:textId="77777777" w:rsidR="00A2416E" w:rsidRDefault="00534832">
      <w:pPr>
        <w:spacing w:before="73" w:line="228" w:lineRule="auto"/>
        <w:ind w:left="117" w:right="19"/>
        <w:rPr>
          <w:b/>
          <w:sz w:val="21"/>
        </w:rPr>
      </w:pPr>
      <w:bookmarkStart w:id="3" w:name="Utsläppsminskning_i_tidigare_led"/>
      <w:bookmarkStart w:id="4" w:name="Ikraftträdandebestämmelser"/>
      <w:bookmarkEnd w:id="3"/>
      <w:bookmarkEnd w:id="4"/>
      <w:r>
        <w:rPr>
          <w:b/>
          <w:sz w:val="21"/>
        </w:rPr>
        <w:lastRenderedPageBreak/>
        <w:t>STEMFS 2021:2</w:t>
      </w:r>
    </w:p>
    <w:p w14:paraId="0305CE16" w14:textId="77777777" w:rsidR="00A2416E" w:rsidRDefault="00534832">
      <w:pPr>
        <w:pStyle w:val="Brdtext"/>
        <w:spacing w:before="72" w:line="273" w:lineRule="auto"/>
        <w:ind w:left="117" w:right="381"/>
        <w:jc w:val="both"/>
      </w:pPr>
      <w:r>
        <w:rPr>
          <w:b/>
        </w:rPr>
        <w:br w:type="column"/>
      </w:r>
      <w:r>
        <w:rPr>
          <w:b/>
        </w:rPr>
        <w:t xml:space="preserve">§ 13 </w:t>
      </w:r>
      <w:r>
        <w:t>Při výpočtu podle § 12 vypočte dodavatel pohonné hmoty emise skleníkových plynů z fosilních složek v souladu s váženými běžnými hodnotami v příloze č. 1.</w:t>
      </w:r>
    </w:p>
    <w:p w14:paraId="10BFD7DE" w14:textId="77777777" w:rsidR="00A2416E" w:rsidRDefault="00534832">
      <w:pPr>
        <w:pStyle w:val="Brdtext"/>
        <w:spacing w:before="115" w:line="273" w:lineRule="auto"/>
        <w:ind w:left="117" w:right="381"/>
        <w:jc w:val="both"/>
      </w:pPr>
      <w:r>
        <w:t>Při výpočtech podle § 12a vypočte dodavatel pohonné hmoty emise skleníkových plynů z fosilních složek v souladu s běžnými hodnotami v případě konkrétního surovinového zdroje v příloze č. 1.</w:t>
      </w:r>
    </w:p>
    <w:p w14:paraId="2AC92A22" w14:textId="77777777" w:rsidR="00A2416E" w:rsidRDefault="00A2416E">
      <w:pPr>
        <w:pStyle w:val="Brdtext"/>
        <w:spacing w:before="5"/>
        <w:rPr>
          <w:sz w:val="26"/>
        </w:rPr>
      </w:pPr>
    </w:p>
    <w:p w14:paraId="0262139A" w14:textId="77777777" w:rsidR="00A2416E" w:rsidRDefault="00534832">
      <w:pPr>
        <w:pStyle w:val="Rubrik2"/>
        <w:spacing w:before="0"/>
      </w:pPr>
      <w:r>
        <w:t>Snižování výrobních emisí</w:t>
      </w:r>
    </w:p>
    <w:p w14:paraId="0796A5BC" w14:textId="77777777" w:rsidR="00A2416E" w:rsidRDefault="00534832">
      <w:pPr>
        <w:pStyle w:val="Brdtext"/>
        <w:spacing w:before="141" w:line="273" w:lineRule="auto"/>
        <w:ind w:left="117" w:right="380"/>
        <w:jc w:val="both"/>
      </w:pPr>
      <w:r>
        <w:rPr>
          <w:b/>
        </w:rPr>
        <w:t xml:space="preserve">§ 16 </w:t>
      </w:r>
      <w:r>
        <w:t>Aby mohlo být dodavateli pohonných hmot připsáno snížení výrobních emisí při výpočtu náročnosti z hlediska skleníkových plynů podle § 12, musí dodavatel pohonných hmot nahlásit Švédské energetické agentuře následující údaje:</w:t>
      </w:r>
    </w:p>
    <w:p w14:paraId="3960C5E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datum zahájení projektu, které musí spadat do období po 1. lednu 2011;</w:t>
      </w:r>
    </w:p>
    <w:p w14:paraId="5095575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roční snížení emisí v g CO</w:t>
      </w:r>
      <w:r>
        <w:rPr>
          <w:sz w:val="11"/>
        </w:rPr>
        <w:t>2</w:t>
      </w:r>
      <w:r>
        <w:rPr>
          <w:sz w:val="19"/>
        </w:rPr>
        <w:t>eq;</w:t>
      </w:r>
    </w:p>
    <w:p w14:paraId="0C44C87A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25"/>
        <w:jc w:val="both"/>
        <w:rPr>
          <w:sz w:val="19"/>
        </w:rPr>
      </w:pPr>
      <w:r>
        <w:rPr>
          <w:sz w:val="19"/>
        </w:rPr>
        <w:t>období, během kterého došlo k požadovanému snížení;</w:t>
      </w:r>
    </w:p>
    <w:p w14:paraId="45CBAD50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line="252" w:lineRule="auto"/>
        <w:ind w:right="381"/>
        <w:jc w:val="both"/>
        <w:rPr>
          <w:sz w:val="19"/>
        </w:rPr>
      </w:pPr>
      <w:r>
        <w:rPr>
          <w:sz w:val="19"/>
        </w:rPr>
        <w:t>zeměpisnou poloha projektu, která je nejbližší zdroji emisí, v souřadnicích zeměpisné šířky a délky ve stupních se zaokrouhlením na čtvrté desetinné místo;</w:t>
      </w:r>
    </w:p>
    <w:p w14:paraId="31C4AA5C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spacing w:before="65" w:line="230" w:lineRule="auto"/>
        <w:ind w:right="382"/>
        <w:jc w:val="both"/>
        <w:rPr>
          <w:sz w:val="19"/>
        </w:rPr>
      </w:pPr>
      <w:r>
        <w:rPr>
          <w:sz w:val="19"/>
        </w:rPr>
        <w:t>minimální normu ročních emisí před instalací opatření ke snižování a roční emise po zavedení opatření pro snižování v CO</w:t>
      </w:r>
      <w:r>
        <w:rPr>
          <w:sz w:val="11"/>
        </w:rPr>
        <w:t>2</w:t>
      </w:r>
      <w:r>
        <w:rPr>
          <w:sz w:val="19"/>
        </w:rPr>
        <w:t>eq/MJ v případě vyráběné suroviny;</w:t>
      </w:r>
    </w:p>
    <w:p w14:paraId="60C84C29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číslo opakovaně nepoužitelného osvědčení, které jednoznačně označuje systém a</w:t>
      </w:r>
    </w:p>
    <w:p w14:paraId="7F1E9855" w14:textId="77777777" w:rsidR="00A2416E" w:rsidRDefault="00534832">
      <w:pPr>
        <w:pStyle w:val="Brdtext"/>
        <w:spacing w:before="12"/>
        <w:ind w:left="315"/>
        <w:jc w:val="both"/>
      </w:pPr>
      <w:r>
        <w:t>tvrzená snížení emisí skleníkových plynů;</w:t>
      </w:r>
    </w:p>
    <w:p w14:paraId="53C6F41B" w14:textId="77777777" w:rsidR="00A2416E" w:rsidRDefault="00534832">
      <w:pPr>
        <w:pStyle w:val="Liststycke"/>
        <w:numPr>
          <w:ilvl w:val="0"/>
          <w:numId w:val="1"/>
        </w:numPr>
        <w:tabs>
          <w:tab w:val="left" w:pos="316"/>
        </w:tabs>
        <w:jc w:val="both"/>
        <w:rPr>
          <w:sz w:val="19"/>
        </w:rPr>
      </w:pPr>
      <w:r>
        <w:rPr>
          <w:sz w:val="19"/>
        </w:rPr>
        <w:t>opakovaně nepoužitelné číslo, které jednoznačně označuje způsob výpočtu a</w:t>
      </w:r>
    </w:p>
    <w:p w14:paraId="128F9A23" w14:textId="77777777" w:rsidR="00A2416E" w:rsidRDefault="00534832">
      <w:pPr>
        <w:pStyle w:val="Brdtext"/>
        <w:spacing w:before="11"/>
        <w:ind w:left="315"/>
        <w:jc w:val="both"/>
      </w:pPr>
      <w:r>
        <w:t>související systém.</w:t>
      </w:r>
    </w:p>
    <w:p w14:paraId="2A18DA87" w14:textId="77777777" w:rsidR="00A2416E" w:rsidRDefault="00A2416E">
      <w:pPr>
        <w:pStyle w:val="Brdtext"/>
        <w:rPr>
          <w:sz w:val="29"/>
        </w:rPr>
      </w:pPr>
    </w:p>
    <w:p w14:paraId="16842E29" w14:textId="77777777" w:rsidR="00A2416E" w:rsidRDefault="00534832">
      <w:pPr>
        <w:pStyle w:val="Rubrik2"/>
        <w:spacing w:before="0"/>
      </w:pPr>
      <w:r>
        <w:t>Ustanovení o nabytí účinnosti</w:t>
      </w:r>
    </w:p>
    <w:p w14:paraId="67EB8873" w14:textId="77777777" w:rsidR="00A2416E" w:rsidRDefault="00534832">
      <w:pPr>
        <w:pStyle w:val="Brdtext"/>
        <w:spacing w:before="140" w:line="460" w:lineRule="auto"/>
        <w:ind w:left="117" w:right="2287"/>
      </w:pPr>
      <w:r>
        <w:t>Tato nařízení nabývají účinnosti dne 24. února 2021. Jménem Švédské energetické agentury</w:t>
      </w:r>
    </w:p>
    <w:p w14:paraId="51DE8E66" w14:textId="77777777" w:rsidR="00A2416E" w:rsidRDefault="00A2416E">
      <w:pPr>
        <w:spacing w:line="460" w:lineRule="auto"/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6209CB19" w14:textId="77777777" w:rsidR="00A2416E" w:rsidRDefault="00A2416E">
      <w:pPr>
        <w:pStyle w:val="Brdtext"/>
        <w:spacing w:before="8"/>
        <w:rPr>
          <w:sz w:val="28"/>
        </w:rPr>
      </w:pPr>
    </w:p>
    <w:p w14:paraId="2CC17B70" w14:textId="77777777" w:rsidR="00A2416E" w:rsidRDefault="00534832">
      <w:pPr>
        <w:pStyle w:val="Brdtext"/>
        <w:spacing w:before="92"/>
        <w:ind w:left="1817"/>
      </w:pPr>
      <w:r>
        <w:t>Robert Andrén</w:t>
      </w:r>
    </w:p>
    <w:p w14:paraId="15A94D1C" w14:textId="77777777" w:rsidR="00A2416E" w:rsidRDefault="00A2416E">
      <w:pPr>
        <w:pStyle w:val="Brdtext"/>
        <w:spacing w:before="6"/>
        <w:rPr>
          <w:sz w:val="17"/>
        </w:rPr>
      </w:pPr>
    </w:p>
    <w:p w14:paraId="1AFFE159" w14:textId="77777777" w:rsidR="00A2416E" w:rsidRDefault="00534832">
      <w:pPr>
        <w:pStyle w:val="Brdtext"/>
        <w:ind w:left="3265" w:right="2636"/>
        <w:jc w:val="center"/>
      </w:pPr>
      <w:r>
        <w:t>Ulf Jonson</w:t>
      </w:r>
    </w:p>
    <w:p w14:paraId="6574D352" w14:textId="77777777" w:rsidR="00A2416E" w:rsidRDefault="00A2416E">
      <w:pPr>
        <w:pStyle w:val="Brdtext"/>
        <w:rPr>
          <w:sz w:val="20"/>
        </w:rPr>
      </w:pPr>
    </w:p>
    <w:p w14:paraId="4DDBCF46" w14:textId="77777777" w:rsidR="00A2416E" w:rsidRDefault="00A2416E">
      <w:pPr>
        <w:pStyle w:val="Brdtext"/>
        <w:rPr>
          <w:sz w:val="20"/>
        </w:rPr>
      </w:pPr>
    </w:p>
    <w:p w14:paraId="04AB8C25" w14:textId="77777777" w:rsidR="00A2416E" w:rsidRDefault="00A2416E">
      <w:pPr>
        <w:pStyle w:val="Brdtext"/>
        <w:rPr>
          <w:sz w:val="20"/>
        </w:rPr>
      </w:pPr>
    </w:p>
    <w:p w14:paraId="442C2781" w14:textId="77777777" w:rsidR="00A2416E" w:rsidRDefault="00A2416E">
      <w:pPr>
        <w:pStyle w:val="Brdtext"/>
        <w:rPr>
          <w:sz w:val="20"/>
        </w:rPr>
      </w:pPr>
    </w:p>
    <w:p w14:paraId="6CF46550" w14:textId="77777777" w:rsidR="00A2416E" w:rsidRDefault="00A2416E">
      <w:pPr>
        <w:pStyle w:val="Brdtext"/>
        <w:rPr>
          <w:sz w:val="20"/>
        </w:rPr>
      </w:pPr>
    </w:p>
    <w:p w14:paraId="76DFAC04" w14:textId="77777777" w:rsidR="00A2416E" w:rsidRDefault="00A2416E">
      <w:pPr>
        <w:pStyle w:val="Brdtext"/>
        <w:rPr>
          <w:sz w:val="20"/>
        </w:rPr>
      </w:pPr>
    </w:p>
    <w:p w14:paraId="7DD6FC54" w14:textId="77777777" w:rsidR="00A2416E" w:rsidRDefault="00A2416E">
      <w:pPr>
        <w:pStyle w:val="Brdtext"/>
        <w:rPr>
          <w:sz w:val="20"/>
        </w:rPr>
      </w:pPr>
    </w:p>
    <w:p w14:paraId="3B9B0B7E" w14:textId="77777777" w:rsidR="00A2416E" w:rsidRDefault="00A2416E">
      <w:pPr>
        <w:pStyle w:val="Brdtext"/>
        <w:rPr>
          <w:sz w:val="20"/>
        </w:rPr>
      </w:pPr>
    </w:p>
    <w:p w14:paraId="4614A6AE" w14:textId="77777777" w:rsidR="00A2416E" w:rsidRDefault="00A2416E">
      <w:pPr>
        <w:pStyle w:val="Brdtext"/>
        <w:rPr>
          <w:sz w:val="20"/>
        </w:rPr>
      </w:pPr>
    </w:p>
    <w:p w14:paraId="214B4D1C" w14:textId="77777777" w:rsidR="00A2416E" w:rsidRDefault="00A2416E">
      <w:pPr>
        <w:pStyle w:val="Brdtext"/>
        <w:rPr>
          <w:sz w:val="20"/>
        </w:rPr>
      </w:pPr>
    </w:p>
    <w:p w14:paraId="60D9F43A" w14:textId="77777777" w:rsidR="00A2416E" w:rsidRDefault="00A2416E">
      <w:pPr>
        <w:pStyle w:val="Brdtext"/>
        <w:spacing w:before="10"/>
        <w:rPr>
          <w:sz w:val="22"/>
        </w:rPr>
      </w:pPr>
    </w:p>
    <w:p w14:paraId="247B32BC" w14:textId="77777777" w:rsidR="00A2416E" w:rsidRDefault="00534832">
      <w:pPr>
        <w:pStyle w:val="Rubrik3"/>
        <w:spacing w:before="112"/>
      </w:pPr>
      <w:r>
        <w:t>4</w:t>
      </w:r>
    </w:p>
    <w:p w14:paraId="25560BB9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10C7F3D" w14:textId="77777777" w:rsidR="00A2416E" w:rsidRDefault="00534832">
      <w:pPr>
        <w:spacing w:before="71"/>
        <w:ind w:right="38"/>
        <w:jc w:val="right"/>
        <w:rPr>
          <w:b/>
          <w:sz w:val="26"/>
        </w:rPr>
      </w:pPr>
      <w:bookmarkStart w:id="5" w:name="Bilaga_1"/>
      <w:bookmarkStart w:id="6" w:name="Genomsnittliga_normalvärden_för_växthusg"/>
      <w:bookmarkEnd w:id="5"/>
      <w:bookmarkEnd w:id="6"/>
      <w:r>
        <w:rPr>
          <w:b/>
          <w:sz w:val="26"/>
        </w:rPr>
        <w:lastRenderedPageBreak/>
        <w:t>Příloha č. 1</w:t>
      </w:r>
    </w:p>
    <w:p w14:paraId="077A287F" w14:textId="77777777" w:rsidR="00A2416E" w:rsidRDefault="00A2416E">
      <w:pPr>
        <w:pStyle w:val="Brdtext"/>
        <w:spacing w:before="6"/>
        <w:rPr>
          <w:b/>
          <w:sz w:val="28"/>
        </w:rPr>
      </w:pPr>
    </w:p>
    <w:p w14:paraId="747041D0" w14:textId="77777777" w:rsidR="00A2416E" w:rsidRDefault="00534832">
      <w:pPr>
        <w:spacing w:line="228" w:lineRule="auto"/>
        <w:ind w:left="400"/>
        <w:rPr>
          <w:b/>
        </w:rPr>
      </w:pPr>
      <w:r>
        <w:rPr>
          <w:b/>
        </w:rPr>
        <w:t>Průměrná intenzita běžné životnosti skleníkových plynů u složek fosilních paliv</w:t>
      </w:r>
    </w:p>
    <w:p w14:paraId="1199B2D0" w14:textId="77777777" w:rsidR="00A2416E" w:rsidRDefault="00534832">
      <w:pPr>
        <w:pStyle w:val="Rubrik2"/>
        <w:spacing w:before="93" w:line="228" w:lineRule="auto"/>
        <w:ind w:left="400" w:right="134"/>
      </w:pPr>
      <w:r>
        <w:br w:type="column"/>
      </w:r>
      <w:r>
        <w:t>STEMFS 2021:2</w:t>
      </w:r>
    </w:p>
    <w:p w14:paraId="506D9EEB" w14:textId="77777777" w:rsidR="00A2416E" w:rsidRDefault="00A2416E">
      <w:pPr>
        <w:spacing w:line="228" w:lineRule="auto"/>
        <w:sectPr w:rsidR="00A2416E">
          <w:pgSz w:w="9360" w:h="13720"/>
          <w:pgMar w:top="920" w:right="580" w:bottom="280" w:left="620" w:header="720" w:footer="720" w:gutter="0"/>
          <w:cols w:num="2" w:space="720" w:equalWidth="0">
            <w:col w:w="6337" w:space="428"/>
            <w:col w:w="1395"/>
          </w:cols>
        </w:sectPr>
      </w:pPr>
    </w:p>
    <w:p w14:paraId="1876708B" w14:textId="77777777" w:rsidR="00A2416E" w:rsidRDefault="00A2416E">
      <w:pPr>
        <w:pStyle w:val="Brdtext"/>
        <w:spacing w:before="9"/>
        <w:rPr>
          <w:b/>
          <w:sz w:val="17"/>
        </w:rPr>
      </w:pPr>
    </w:p>
    <w:tbl>
      <w:tblPr>
        <w:tblStyle w:val="TableNormal1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803"/>
        <w:gridCol w:w="1361"/>
        <w:gridCol w:w="1574"/>
      </w:tblGrid>
      <w:tr w:rsidR="00A2416E" w14:paraId="13BAB754" w14:textId="77777777">
        <w:trPr>
          <w:trHeight w:val="895"/>
        </w:trPr>
        <w:tc>
          <w:tcPr>
            <w:tcW w:w="2230" w:type="dxa"/>
            <w:tcBorders>
              <w:left w:val="nil"/>
              <w:right w:val="single" w:sz="6" w:space="0" w:color="000000"/>
            </w:tcBorders>
          </w:tcPr>
          <w:p w14:paraId="12C84FCD" w14:textId="77777777" w:rsidR="00A2416E" w:rsidRDefault="00534832">
            <w:pPr>
              <w:pStyle w:val="TableParagraph"/>
              <w:spacing w:before="67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Zdroj a zpracování surovin</w:t>
            </w:r>
          </w:p>
        </w:tc>
        <w:tc>
          <w:tcPr>
            <w:tcW w:w="1803" w:type="dxa"/>
            <w:tcBorders>
              <w:left w:val="single" w:sz="6" w:space="0" w:color="000000"/>
              <w:right w:val="single" w:sz="6" w:space="0" w:color="000000"/>
            </w:tcBorders>
          </w:tcPr>
          <w:p w14:paraId="29AA3401" w14:textId="77777777" w:rsidR="00A2416E" w:rsidRDefault="00534832">
            <w:pPr>
              <w:pStyle w:val="TableParagraph"/>
              <w:spacing w:before="67" w:line="247" w:lineRule="auto"/>
              <w:ind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Palivo uvedené na trh</w:t>
            </w:r>
          </w:p>
        </w:tc>
        <w:tc>
          <w:tcPr>
            <w:tcW w:w="1361" w:type="dxa"/>
            <w:tcBorders>
              <w:left w:val="single" w:sz="6" w:space="0" w:color="000000"/>
              <w:right w:val="single" w:sz="6" w:space="0" w:color="000000"/>
            </w:tcBorders>
          </w:tcPr>
          <w:p w14:paraId="0199DD9D" w14:textId="77777777" w:rsidR="00A2416E" w:rsidRDefault="00534832">
            <w:pPr>
              <w:pStyle w:val="TableParagraph"/>
              <w:spacing w:before="67" w:line="247" w:lineRule="auto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Intenzita skleníkových plynů v životním cyklu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  <w:tc>
          <w:tcPr>
            <w:tcW w:w="1574" w:type="dxa"/>
            <w:tcBorders>
              <w:left w:val="single" w:sz="6" w:space="0" w:color="000000"/>
              <w:right w:val="nil"/>
            </w:tcBorders>
          </w:tcPr>
          <w:p w14:paraId="06D77BF2" w14:textId="77777777" w:rsidR="00A2416E" w:rsidRDefault="00534832">
            <w:pPr>
              <w:pStyle w:val="TableParagraph"/>
              <w:spacing w:before="67" w:line="247" w:lineRule="auto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Hmotnost skleníkových plynů během životního cyklu (gCO</w:t>
            </w:r>
            <w:r>
              <w:rPr>
                <w:b/>
                <w:sz w:val="9"/>
              </w:rPr>
              <w:t>2</w:t>
            </w:r>
            <w:r>
              <w:rPr>
                <w:b/>
                <w:sz w:val="16"/>
              </w:rPr>
              <w:t>eq/MJ)</w:t>
            </w:r>
          </w:p>
        </w:tc>
      </w:tr>
      <w:tr w:rsidR="00A2416E" w14:paraId="3873426A" w14:textId="77777777">
        <w:trPr>
          <w:trHeight w:val="280"/>
        </w:trPr>
        <w:tc>
          <w:tcPr>
            <w:tcW w:w="223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D17CA45" w14:textId="77777777" w:rsidR="00A2416E" w:rsidRDefault="00534832">
            <w:pPr>
              <w:pStyle w:val="TableParagraph"/>
              <w:spacing w:before="44"/>
              <w:ind w:left="7"/>
              <w:rPr>
                <w:sz w:val="10"/>
              </w:rPr>
            </w:pPr>
            <w:r>
              <w:rPr>
                <w:sz w:val="17"/>
              </w:rPr>
              <w:t>Konvenční surová ropa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BCD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Benzin</w:t>
            </w:r>
          </w:p>
        </w:tc>
        <w:tc>
          <w:tcPr>
            <w:tcW w:w="13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B5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93,2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76CEAA9" w14:textId="77777777" w:rsidR="00A2416E" w:rsidRDefault="00534832">
            <w:pPr>
              <w:pStyle w:val="TableParagraph"/>
              <w:spacing w:before="44"/>
              <w:rPr>
                <w:sz w:val="17"/>
              </w:rPr>
            </w:pPr>
            <w:r>
              <w:rPr>
                <w:sz w:val="17"/>
              </w:rPr>
              <w:t>93,3</w:t>
            </w:r>
          </w:p>
        </w:tc>
      </w:tr>
      <w:tr w:rsidR="00A2416E" w14:paraId="73B9A7AC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7C15D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Zkapalněný zemní plyn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D2FE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3BA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66125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BAF8354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626C85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Syntetický olej získaný z uhlí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E7AF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F559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629D4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12BEE64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4E1B23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Přírodní bitumen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DD9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B57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262DFB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17E91C6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95017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Olejová břidlice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29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07F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131,3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86A2F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B1F697D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AB26C8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Konvenční surová ropa</w:t>
            </w:r>
            <w:r>
              <w:rPr>
                <w:sz w:val="10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95E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Motorová nafta nebo plynový olej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AC0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C010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95,1</w:t>
            </w:r>
          </w:p>
        </w:tc>
      </w:tr>
      <w:tr w:rsidR="00A2416E" w14:paraId="45915519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1ED05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Zkapalněný zemní plyn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F4EB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CEB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88FE5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4428360F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7A7AAB" w14:textId="77777777" w:rsidR="00A2416E" w:rsidRDefault="00534832">
            <w:pPr>
              <w:pStyle w:val="TableParagraph"/>
              <w:spacing w:before="41" w:line="232" w:lineRule="auto"/>
              <w:ind w:left="7" w:right="396"/>
              <w:rPr>
                <w:sz w:val="17"/>
              </w:rPr>
            </w:pPr>
            <w:r>
              <w:rPr>
                <w:sz w:val="17"/>
              </w:rPr>
              <w:t>Syntetický olej získaný z uhlí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31D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A614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511F3C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70AAD108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AEC1A1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Přírodní bitumen</w:t>
            </w:r>
            <w:r>
              <w:rPr>
                <w:sz w:val="10"/>
              </w:rPr>
              <w:t>2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11B6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2CE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108,5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9DC07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76BFD6A" w14:textId="77777777">
        <w:trPr>
          <w:trHeight w:val="27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220D99" w14:textId="77777777" w:rsidR="00A2416E" w:rsidRDefault="00534832">
            <w:pPr>
              <w:pStyle w:val="TableParagraph"/>
              <w:ind w:left="7"/>
              <w:rPr>
                <w:sz w:val="10"/>
              </w:rPr>
            </w:pPr>
            <w:r>
              <w:rPr>
                <w:sz w:val="17"/>
              </w:rPr>
              <w:t>Olejová břidlice</w:t>
            </w:r>
            <w:r>
              <w:rPr>
                <w:sz w:val="10"/>
              </w:rPr>
              <w:t>3</w:t>
            </w: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A3CA" w14:textId="77777777" w:rsidR="00A2416E" w:rsidRDefault="00A2416E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3D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133,7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5A11" w14:textId="77777777" w:rsidR="00A2416E" w:rsidRDefault="00A2416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416E" w14:paraId="6EFD38C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5B109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Všechny fosilní zdroje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84D4" w14:textId="77777777" w:rsidR="00A2416E" w:rsidRDefault="00534832">
            <w:pPr>
              <w:pStyle w:val="TableParagraph"/>
              <w:spacing w:before="41" w:line="232" w:lineRule="auto"/>
              <w:ind w:right="263"/>
              <w:rPr>
                <w:sz w:val="17"/>
              </w:rPr>
            </w:pPr>
            <w:r>
              <w:rPr>
                <w:sz w:val="17"/>
              </w:rPr>
              <w:t>LPG v zážehovém motoru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9BB2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2DE0C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73,6</w:t>
            </w:r>
          </w:p>
        </w:tc>
      </w:tr>
      <w:tr w:rsidR="00A2416E" w14:paraId="235193A8" w14:textId="77777777" w:rsidTr="00C6178B">
        <w:trPr>
          <w:trHeight w:val="493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893B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Zemní plyn, skladba zdrojů energie v EU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64F" w14:textId="77777777" w:rsidR="00A2416E" w:rsidRDefault="00534832">
            <w:pPr>
              <w:pStyle w:val="TableParagraph"/>
              <w:spacing w:before="41" w:line="232" w:lineRule="auto"/>
              <w:ind w:right="84"/>
              <w:rPr>
                <w:sz w:val="17"/>
              </w:rPr>
            </w:pPr>
            <w:r>
              <w:rPr>
                <w:sz w:val="17"/>
              </w:rPr>
              <w:t>Stlačený zemní plyn v zážehovém motoru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BF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48EA8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69,3</w:t>
            </w:r>
          </w:p>
        </w:tc>
      </w:tr>
      <w:tr w:rsidR="00A2416E" w14:paraId="748DCDF5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9A5898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Zemní plyn, skladba zdrojů energie v EU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7A6A" w14:textId="77777777" w:rsidR="00A2416E" w:rsidRDefault="00534832" w:rsidP="00C6178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Zkapalněný zemní plyn (LNG) v zážehovém motoru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FB03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B9F6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74,5</w:t>
            </w:r>
          </w:p>
        </w:tc>
      </w:tr>
      <w:tr w:rsidR="00A2416E" w14:paraId="6E44497F" w14:textId="77777777">
        <w:trPr>
          <w:trHeight w:val="65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233705" w14:textId="77777777" w:rsidR="00A2416E" w:rsidRDefault="00534832">
            <w:pPr>
              <w:pStyle w:val="TableParagraph"/>
              <w:spacing w:before="41" w:line="232" w:lineRule="auto"/>
              <w:ind w:left="7" w:right="496"/>
              <w:rPr>
                <w:sz w:val="17"/>
              </w:rPr>
            </w:pPr>
            <w:r>
              <w:rPr>
                <w:sz w:val="17"/>
              </w:rPr>
              <w:t>Sabatierova reakce vodíku elektrolýzou s</w:t>
            </w:r>
          </w:p>
          <w:p w14:paraId="0502C750" w14:textId="77777777" w:rsidR="00A2416E" w:rsidRDefault="00534832">
            <w:pPr>
              <w:pStyle w:val="TableParagraph"/>
              <w:spacing w:before="0" w:line="191" w:lineRule="exact"/>
              <w:ind w:left="7"/>
              <w:rPr>
                <w:sz w:val="17"/>
              </w:rPr>
            </w:pPr>
            <w:r>
              <w:rPr>
                <w:sz w:val="17"/>
              </w:rPr>
              <w:t>nebiologická energie z obnovitelných zdrojů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5A" w14:textId="77777777" w:rsidR="00A2416E" w:rsidRDefault="00534832">
            <w:pPr>
              <w:pStyle w:val="TableParagraph"/>
              <w:spacing w:before="41" w:line="232" w:lineRule="auto"/>
              <w:ind w:right="164"/>
              <w:rPr>
                <w:sz w:val="17"/>
              </w:rPr>
            </w:pPr>
            <w:r>
              <w:rPr>
                <w:sz w:val="17"/>
              </w:rPr>
              <w:t>Stlačený syntetický metan v zážehovém motoru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BE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F95D7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3,3</w:t>
            </w:r>
          </w:p>
        </w:tc>
      </w:tr>
      <w:tr w:rsidR="00A2416E" w14:paraId="3DEDD229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C478A9" w14:textId="77777777" w:rsidR="00A2416E" w:rsidRDefault="00534832">
            <w:pPr>
              <w:pStyle w:val="TableParagraph"/>
              <w:spacing w:before="41" w:line="232" w:lineRule="auto"/>
              <w:ind w:left="7" w:right="1076"/>
              <w:rPr>
                <w:sz w:val="17"/>
              </w:rPr>
            </w:pPr>
            <w:r>
              <w:rPr>
                <w:sz w:val="17"/>
              </w:rPr>
              <w:t>Zemní plyn prostřednictvím parní reformy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B80C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Stlačený vodík v palivovém článku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7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24E83A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104,3</w:t>
            </w:r>
          </w:p>
        </w:tc>
      </w:tr>
      <w:tr w:rsidR="00A2416E" w14:paraId="08CAB5BA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4479C" w14:textId="77777777" w:rsidR="00A2416E" w:rsidRDefault="00534832">
            <w:pPr>
              <w:pStyle w:val="TableParagraph"/>
              <w:spacing w:before="41" w:line="232" w:lineRule="auto"/>
              <w:ind w:left="7" w:right="127"/>
              <w:rPr>
                <w:sz w:val="17"/>
              </w:rPr>
            </w:pPr>
            <w:r>
              <w:rPr>
                <w:sz w:val="17"/>
              </w:rPr>
              <w:t>Elektrolýza plně napájená obnovitelnou nebiologickou energií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07E9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Stlačený vodík v palivovém článku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401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0D43B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9,1</w:t>
            </w:r>
          </w:p>
        </w:tc>
      </w:tr>
      <w:tr w:rsidR="00A2416E" w14:paraId="0C1EC040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AA4F53" w14:textId="77777777" w:rsidR="00A2416E" w:rsidRDefault="00534832">
            <w:pPr>
              <w:pStyle w:val="TableParagraph"/>
              <w:ind w:left="7"/>
              <w:rPr>
                <w:sz w:val="17"/>
              </w:rPr>
            </w:pPr>
            <w:r>
              <w:rPr>
                <w:sz w:val="17"/>
              </w:rPr>
              <w:t>Uhlí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A2E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Stlačený vodík v palivovém článku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5730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6830F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234,4</w:t>
            </w:r>
          </w:p>
        </w:tc>
      </w:tr>
      <w:tr w:rsidR="00A2416E" w14:paraId="789D2C95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21D03" w14:textId="77777777" w:rsidR="00A2416E" w:rsidRDefault="00534832">
            <w:pPr>
              <w:pStyle w:val="TableParagraph"/>
              <w:spacing w:before="41" w:line="232" w:lineRule="auto"/>
              <w:ind w:left="7" w:right="174"/>
              <w:rPr>
                <w:sz w:val="17"/>
              </w:rPr>
            </w:pPr>
            <w:r>
              <w:rPr>
                <w:sz w:val="17"/>
              </w:rPr>
              <w:t>Uhlí se zachycováním a ukládáním emisí z procesů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B3B0" w14:textId="77777777" w:rsidR="00A2416E" w:rsidRDefault="00534832">
            <w:pPr>
              <w:pStyle w:val="TableParagraph"/>
              <w:spacing w:before="41" w:line="232" w:lineRule="auto"/>
              <w:ind w:right="135"/>
              <w:rPr>
                <w:sz w:val="17"/>
              </w:rPr>
            </w:pPr>
            <w:r>
              <w:rPr>
                <w:sz w:val="17"/>
              </w:rPr>
              <w:t>Stlačený vodík v palivovém článku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83D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332B6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52,7</w:t>
            </w:r>
          </w:p>
        </w:tc>
      </w:tr>
      <w:tr w:rsidR="00A2416E" w14:paraId="1F750C81" w14:textId="77777777">
        <w:trPr>
          <w:trHeight w:val="462"/>
        </w:trPr>
        <w:tc>
          <w:tcPr>
            <w:tcW w:w="2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C44060" w14:textId="77777777" w:rsidR="00A2416E" w:rsidRDefault="00534832">
            <w:pPr>
              <w:pStyle w:val="TableParagraph"/>
              <w:spacing w:before="41" w:line="232" w:lineRule="auto"/>
              <w:ind w:left="7" w:right="405"/>
              <w:rPr>
                <w:sz w:val="17"/>
              </w:rPr>
            </w:pPr>
            <w:r>
              <w:rPr>
                <w:sz w:val="17"/>
              </w:rPr>
              <w:t>Plastový odpad extrahovaný z fosilních surovin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687C" w14:textId="77777777" w:rsidR="00A2416E" w:rsidRDefault="00534832" w:rsidP="00C6178B">
            <w:pPr>
              <w:pStyle w:val="TableParagraph"/>
              <w:spacing w:before="41" w:line="233" w:lineRule="auto"/>
              <w:ind w:left="113"/>
              <w:rPr>
                <w:sz w:val="17"/>
              </w:rPr>
            </w:pPr>
            <w:r>
              <w:rPr>
                <w:sz w:val="17"/>
              </w:rPr>
              <w:t>Benzin, motorová nafta nebo plynový olej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D11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4E515" w14:textId="77777777" w:rsidR="00A2416E" w:rsidRDefault="00534832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</w:tr>
    </w:tbl>
    <w:p w14:paraId="686D7B57" w14:textId="77777777" w:rsidR="00A2416E" w:rsidRDefault="00534832">
      <w:pPr>
        <w:spacing w:before="126" w:line="232" w:lineRule="auto"/>
        <w:ind w:left="400" w:right="1902"/>
        <w:rPr>
          <w:sz w:val="17"/>
        </w:rPr>
      </w:pPr>
      <w:r>
        <w:rPr>
          <w:sz w:val="10"/>
        </w:rPr>
        <w:t xml:space="preserve">1 </w:t>
      </w:r>
      <w:r>
        <w:rPr>
          <w:sz w:val="17"/>
        </w:rPr>
        <w:t>Konvenční surová ropa znamená jakoukoli rafinérskou surovinu vykazující gravitaci API (American Petroleum Institute), která je vyšší než 10 stupňů, nachází-li se v rezervoáru v místě jejího původu, měřeno podle zkušební metody ASTM D287 a nespadá pod definici kódu KN 2714</w:t>
      </w:r>
    </w:p>
    <w:p w14:paraId="4B21A793" w14:textId="77777777" w:rsidR="00A2416E" w:rsidRDefault="00534832">
      <w:pPr>
        <w:tabs>
          <w:tab w:val="right" w:pos="7997"/>
        </w:tabs>
        <w:spacing w:line="238" w:lineRule="exact"/>
        <w:ind w:left="400"/>
        <w:rPr>
          <w:rFonts w:ascii="HelveticaNeueLT Std Cn" w:hAnsi="HelveticaNeueLT Std Cn"/>
          <w:sz w:val="20"/>
        </w:rPr>
      </w:pPr>
      <w:r>
        <w:rPr>
          <w:sz w:val="17"/>
        </w:rPr>
        <w:t>jak je stanoveno v nařízení (EHS) č. 2658/87.</w:t>
      </w:r>
      <w:r>
        <w:rPr>
          <w:sz w:val="17"/>
        </w:rPr>
        <w:tab/>
      </w:r>
      <w:r>
        <w:rPr>
          <w:rFonts w:ascii="HelveticaNeueLT Std Cn" w:hAnsi="HelveticaNeueLT Std Cn"/>
          <w:sz w:val="20"/>
        </w:rPr>
        <w:t>5</w:t>
      </w:r>
    </w:p>
    <w:p w14:paraId="65268C9D" w14:textId="77777777" w:rsidR="00A2416E" w:rsidRDefault="00A2416E">
      <w:pPr>
        <w:spacing w:line="238" w:lineRule="exact"/>
        <w:rPr>
          <w:rFonts w:ascii="HelveticaNeueLT Std Cn" w:hAnsi="HelveticaNeueLT Std Cn"/>
          <w:sz w:val="20"/>
        </w:r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12ED578D" w14:textId="77777777" w:rsidR="00A2416E" w:rsidRDefault="00534832">
      <w:pPr>
        <w:pStyle w:val="Rubrik2"/>
        <w:spacing w:line="228" w:lineRule="auto"/>
        <w:ind w:right="19"/>
      </w:pPr>
      <w:r>
        <w:lastRenderedPageBreak/>
        <w:t>STEMFS 2021:2</w:t>
      </w:r>
    </w:p>
    <w:p w14:paraId="36448102" w14:textId="77777777" w:rsidR="00A2416E" w:rsidRDefault="00534832">
      <w:pPr>
        <w:spacing w:before="81" w:line="232" w:lineRule="auto"/>
        <w:ind w:left="117" w:right="437"/>
        <w:rPr>
          <w:sz w:val="17"/>
        </w:rPr>
      </w:pPr>
      <w:r>
        <w:br w:type="column"/>
      </w:r>
      <w:r>
        <w:rPr>
          <w:sz w:val="10"/>
        </w:rPr>
        <w:t xml:space="preserve">2 </w:t>
      </w:r>
      <w:r>
        <w:rPr>
          <w:sz w:val="17"/>
        </w:rPr>
        <w:t>Přírodní bitumen znamená jakýkoli rafinérský materiál, který a) má Americký ropný institut (API) gravitaci 10 stupňů nebo méně, pokud se nachází v rezervoáru v místě těžby, jak je definováno zkušební metodou Americké společnosti pro zkoušení a materiály (ASTM) D287; b) má průměrnou roční viskozitu při teplotě zásobníku vyšší než teplota vypočtená z rovnice viskozita (Centipoise) = 518,98e-0,038T, kde T je teplota v Celsia; c) spadá do definice dehtových písků kódu 2714 kombinované nomenklatury (KN), jak je uvedeno v nařízení Rady (EHS) č. 2658/87; a d) je-li mobilizace zdroje suroviny dosažena těžbou nebo tepelně zvýšeným gravitačním odvodňováním, je-li tepelná energie získána převážně z jiných zdrojů, než je samotný zdroj vstupní suroviny.</w:t>
      </w:r>
    </w:p>
    <w:p w14:paraId="7D15F9D2" w14:textId="77777777" w:rsidR="00A2416E" w:rsidRDefault="00534832">
      <w:pPr>
        <w:spacing w:before="89" w:line="232" w:lineRule="auto"/>
        <w:ind w:left="117" w:right="473"/>
        <w:rPr>
          <w:sz w:val="17"/>
        </w:rPr>
      </w:pPr>
      <w:r>
        <w:rPr>
          <w:sz w:val="10"/>
        </w:rPr>
        <w:t xml:space="preserve">3 </w:t>
      </w:r>
      <w:r>
        <w:rPr>
          <w:sz w:val="17"/>
        </w:rPr>
        <w:t>Olejová břidlice znamená jakýkoli zdroj rafinérské suroviny, který se nachází v horninové formaci obsahující pevný kerogen a spadá pod definici ropné břidlice kódu KN 2714, jak je uvedeno v nařízení (EHS) č. 2658/87. Mobilizace zdroje suroviny se dosáhne těžebním vrtem nebo tepelně podporovanou gravitační drenáží.</w:t>
      </w:r>
    </w:p>
    <w:p w14:paraId="4F1DF429" w14:textId="77777777" w:rsidR="00A2416E" w:rsidRDefault="00A2416E">
      <w:pPr>
        <w:spacing w:line="232" w:lineRule="auto"/>
        <w:rPr>
          <w:sz w:val="17"/>
        </w:rPr>
        <w:sectPr w:rsidR="00A2416E">
          <w:pgSz w:w="9360" w:h="13720"/>
          <w:pgMar w:top="940" w:right="580" w:bottom="280" w:left="620" w:header="720" w:footer="720" w:gutter="0"/>
          <w:cols w:num="2" w:space="720" w:equalWidth="0">
            <w:col w:w="997" w:space="703"/>
            <w:col w:w="6460"/>
          </w:cols>
        </w:sectPr>
      </w:pPr>
    </w:p>
    <w:p w14:paraId="4B2CA0EF" w14:textId="77777777" w:rsidR="00A2416E" w:rsidRDefault="00A2416E">
      <w:pPr>
        <w:pStyle w:val="Brdtext"/>
        <w:rPr>
          <w:sz w:val="26"/>
        </w:rPr>
      </w:pPr>
    </w:p>
    <w:p w14:paraId="0A26DB13" w14:textId="77777777" w:rsidR="00A2416E" w:rsidRDefault="00A2416E">
      <w:pPr>
        <w:pStyle w:val="Brdtext"/>
        <w:rPr>
          <w:sz w:val="26"/>
        </w:rPr>
      </w:pPr>
    </w:p>
    <w:p w14:paraId="0FAF311C" w14:textId="77777777" w:rsidR="00A2416E" w:rsidRDefault="00A2416E">
      <w:pPr>
        <w:pStyle w:val="Brdtext"/>
        <w:rPr>
          <w:sz w:val="26"/>
        </w:rPr>
      </w:pPr>
    </w:p>
    <w:p w14:paraId="4EFBC468" w14:textId="77777777" w:rsidR="00A2416E" w:rsidRDefault="00A2416E">
      <w:pPr>
        <w:pStyle w:val="Brdtext"/>
        <w:rPr>
          <w:sz w:val="26"/>
        </w:rPr>
      </w:pPr>
    </w:p>
    <w:p w14:paraId="2BAA9D54" w14:textId="77777777" w:rsidR="00A2416E" w:rsidRDefault="00A2416E">
      <w:pPr>
        <w:pStyle w:val="Brdtext"/>
        <w:rPr>
          <w:sz w:val="26"/>
        </w:rPr>
      </w:pPr>
    </w:p>
    <w:p w14:paraId="4B62674C" w14:textId="77777777" w:rsidR="00A2416E" w:rsidRDefault="00A2416E">
      <w:pPr>
        <w:pStyle w:val="Brdtext"/>
        <w:rPr>
          <w:sz w:val="26"/>
        </w:rPr>
      </w:pPr>
    </w:p>
    <w:p w14:paraId="1921A8E7" w14:textId="77777777" w:rsidR="00A2416E" w:rsidRDefault="00A2416E">
      <w:pPr>
        <w:pStyle w:val="Brdtext"/>
        <w:rPr>
          <w:sz w:val="26"/>
        </w:rPr>
      </w:pPr>
    </w:p>
    <w:p w14:paraId="3B5954AD" w14:textId="77777777" w:rsidR="00A2416E" w:rsidRDefault="00A2416E">
      <w:pPr>
        <w:pStyle w:val="Brdtext"/>
        <w:rPr>
          <w:sz w:val="26"/>
        </w:rPr>
      </w:pPr>
    </w:p>
    <w:p w14:paraId="6D123182" w14:textId="77777777" w:rsidR="00A2416E" w:rsidRDefault="00A2416E">
      <w:pPr>
        <w:pStyle w:val="Brdtext"/>
        <w:rPr>
          <w:sz w:val="26"/>
        </w:rPr>
      </w:pPr>
    </w:p>
    <w:p w14:paraId="6E023F0F" w14:textId="77777777" w:rsidR="00A2416E" w:rsidRDefault="00A2416E">
      <w:pPr>
        <w:pStyle w:val="Brdtext"/>
        <w:rPr>
          <w:sz w:val="26"/>
        </w:rPr>
      </w:pPr>
    </w:p>
    <w:p w14:paraId="673A25F2" w14:textId="77777777" w:rsidR="00A2416E" w:rsidRDefault="00A2416E">
      <w:pPr>
        <w:pStyle w:val="Brdtext"/>
        <w:rPr>
          <w:sz w:val="26"/>
        </w:rPr>
      </w:pPr>
    </w:p>
    <w:p w14:paraId="3CCEACBA" w14:textId="77777777" w:rsidR="00A2416E" w:rsidRDefault="00A2416E">
      <w:pPr>
        <w:pStyle w:val="Brdtext"/>
        <w:rPr>
          <w:sz w:val="26"/>
        </w:rPr>
      </w:pPr>
    </w:p>
    <w:p w14:paraId="5FC5200E" w14:textId="77777777" w:rsidR="00A2416E" w:rsidRDefault="00A2416E">
      <w:pPr>
        <w:pStyle w:val="Brdtext"/>
        <w:rPr>
          <w:sz w:val="26"/>
        </w:rPr>
      </w:pPr>
    </w:p>
    <w:p w14:paraId="286B93AD" w14:textId="77777777" w:rsidR="00A2416E" w:rsidRDefault="00A2416E">
      <w:pPr>
        <w:pStyle w:val="Brdtext"/>
        <w:rPr>
          <w:sz w:val="26"/>
        </w:rPr>
      </w:pPr>
    </w:p>
    <w:p w14:paraId="420D1E7A" w14:textId="77777777" w:rsidR="00A2416E" w:rsidRDefault="00A2416E">
      <w:pPr>
        <w:pStyle w:val="Brdtext"/>
        <w:rPr>
          <w:sz w:val="26"/>
        </w:rPr>
      </w:pPr>
    </w:p>
    <w:p w14:paraId="0C5704DE" w14:textId="77777777" w:rsidR="00A2416E" w:rsidRDefault="00A2416E">
      <w:pPr>
        <w:pStyle w:val="Brdtext"/>
        <w:rPr>
          <w:sz w:val="26"/>
        </w:rPr>
      </w:pPr>
    </w:p>
    <w:p w14:paraId="01626443" w14:textId="77777777" w:rsidR="00A2416E" w:rsidRDefault="00A2416E">
      <w:pPr>
        <w:pStyle w:val="Brdtext"/>
        <w:rPr>
          <w:sz w:val="26"/>
        </w:rPr>
      </w:pPr>
    </w:p>
    <w:p w14:paraId="36AD06E0" w14:textId="77777777" w:rsidR="00A2416E" w:rsidRDefault="00A2416E">
      <w:pPr>
        <w:pStyle w:val="Brdtext"/>
        <w:rPr>
          <w:sz w:val="26"/>
        </w:rPr>
      </w:pPr>
    </w:p>
    <w:p w14:paraId="26EDA37B" w14:textId="77777777" w:rsidR="00A2416E" w:rsidRDefault="00A2416E">
      <w:pPr>
        <w:pStyle w:val="Brdtext"/>
        <w:rPr>
          <w:sz w:val="26"/>
        </w:rPr>
      </w:pPr>
    </w:p>
    <w:p w14:paraId="05A57E67" w14:textId="77777777" w:rsidR="00A2416E" w:rsidRDefault="00A2416E">
      <w:pPr>
        <w:pStyle w:val="Brdtext"/>
        <w:rPr>
          <w:sz w:val="26"/>
        </w:rPr>
      </w:pPr>
    </w:p>
    <w:p w14:paraId="38EEEB4B" w14:textId="77777777" w:rsidR="00A2416E" w:rsidRDefault="00A2416E">
      <w:pPr>
        <w:pStyle w:val="Brdtext"/>
        <w:rPr>
          <w:sz w:val="26"/>
        </w:rPr>
      </w:pPr>
    </w:p>
    <w:p w14:paraId="40C566BA" w14:textId="77777777" w:rsidR="00A2416E" w:rsidRDefault="00A2416E">
      <w:pPr>
        <w:pStyle w:val="Brdtext"/>
        <w:rPr>
          <w:sz w:val="26"/>
        </w:rPr>
      </w:pPr>
    </w:p>
    <w:p w14:paraId="7002B62C" w14:textId="77777777" w:rsidR="00A2416E" w:rsidRDefault="00A2416E">
      <w:pPr>
        <w:pStyle w:val="Brdtext"/>
        <w:rPr>
          <w:sz w:val="26"/>
        </w:rPr>
      </w:pPr>
    </w:p>
    <w:p w14:paraId="3313B690" w14:textId="77777777" w:rsidR="00A2416E" w:rsidRDefault="00A2416E">
      <w:pPr>
        <w:pStyle w:val="Brdtext"/>
        <w:rPr>
          <w:sz w:val="26"/>
        </w:rPr>
      </w:pPr>
    </w:p>
    <w:p w14:paraId="164F8077" w14:textId="77777777" w:rsidR="00A2416E" w:rsidRDefault="00A2416E">
      <w:pPr>
        <w:pStyle w:val="Brdtext"/>
        <w:rPr>
          <w:sz w:val="26"/>
        </w:rPr>
      </w:pPr>
    </w:p>
    <w:p w14:paraId="03001A05" w14:textId="77777777" w:rsidR="00A2416E" w:rsidRDefault="00A2416E">
      <w:pPr>
        <w:pStyle w:val="Brdtext"/>
        <w:rPr>
          <w:sz w:val="26"/>
        </w:rPr>
      </w:pPr>
    </w:p>
    <w:p w14:paraId="35F2DB8D" w14:textId="77777777" w:rsidR="00A2416E" w:rsidRDefault="00A2416E">
      <w:pPr>
        <w:pStyle w:val="Brdtext"/>
        <w:rPr>
          <w:sz w:val="26"/>
        </w:rPr>
      </w:pPr>
    </w:p>
    <w:p w14:paraId="40DD90BC" w14:textId="77777777" w:rsidR="00A2416E" w:rsidRDefault="00534832">
      <w:pPr>
        <w:pStyle w:val="Rubrik3"/>
        <w:spacing w:before="224"/>
      </w:pPr>
      <w:r>
        <w:t>6</w:t>
      </w:r>
    </w:p>
    <w:p w14:paraId="0F0644FB" w14:textId="77777777" w:rsidR="00A2416E" w:rsidRDefault="00A2416E">
      <w:pPr>
        <w:sectPr w:rsidR="00A2416E">
          <w:type w:val="continuous"/>
          <w:pgSz w:w="9360" w:h="13720"/>
          <w:pgMar w:top="900" w:right="580" w:bottom="280" w:left="620" w:header="720" w:footer="720" w:gutter="0"/>
          <w:cols w:space="720"/>
        </w:sectPr>
      </w:pPr>
    </w:p>
    <w:p w14:paraId="7E910C00" w14:textId="77777777" w:rsidR="00A2416E" w:rsidRDefault="00A2416E">
      <w:pPr>
        <w:pStyle w:val="Brdtext"/>
        <w:spacing w:before="5"/>
        <w:rPr>
          <w:rFonts w:ascii="HelveticaNeueLT Std Cn"/>
          <w:sz w:val="17"/>
        </w:rPr>
      </w:pPr>
    </w:p>
    <w:p w14:paraId="1D864C65" w14:textId="77777777" w:rsidR="00A2416E" w:rsidRDefault="00A2416E">
      <w:pPr>
        <w:rPr>
          <w:rFonts w:ascii="HelveticaNeueLT Std Cn"/>
          <w:sz w:val="17"/>
        </w:rPr>
        <w:sectPr w:rsidR="00A2416E">
          <w:pgSz w:w="9360" w:h="13720"/>
          <w:pgMar w:top="1280" w:right="580" w:bottom="280" w:left="620" w:header="720" w:footer="720" w:gutter="0"/>
          <w:cols w:space="720"/>
        </w:sectPr>
      </w:pPr>
    </w:p>
    <w:p w14:paraId="442D83D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1280EC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8CB8DD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0CFE4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1845BE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C5E8B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C7E42E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D939CA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B1C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DD21BD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083FCE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28AE27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51DFACB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A2B0D4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A8100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A7B330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61A1F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38FFF7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649281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F92DC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0327EA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C32F2E3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9CDD4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E205C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705398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7E7BCDE6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E96DEB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CEA537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90DF5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4D5B22D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5213574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660C531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1DCA327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86BC4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4DA32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792458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C740100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9572199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B0BC7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D3A12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7EB7451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0EDA141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F428612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161E477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2A8064F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306BE05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54B49DE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301BA4AE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2F896C4C" w14:textId="77777777" w:rsidR="00A2416E" w:rsidRDefault="00A2416E">
      <w:pPr>
        <w:pStyle w:val="Brdtext"/>
        <w:rPr>
          <w:rFonts w:ascii="HelveticaNeueLT Std Cn"/>
          <w:sz w:val="20"/>
        </w:rPr>
      </w:pPr>
    </w:p>
    <w:p w14:paraId="460C6538" w14:textId="77777777" w:rsidR="00A2416E" w:rsidRDefault="00A2416E">
      <w:pPr>
        <w:pStyle w:val="Brdtext"/>
        <w:spacing w:before="5"/>
        <w:rPr>
          <w:rFonts w:ascii="HelveticaNeueLT Std Cn"/>
          <w:sz w:val="16"/>
        </w:rPr>
      </w:pPr>
    </w:p>
    <w:p w14:paraId="6493E55E" w14:textId="77777777" w:rsidR="00A2416E" w:rsidRDefault="00534832">
      <w:pPr>
        <w:spacing w:before="94"/>
        <w:ind w:left="3265" w:right="3303"/>
        <w:jc w:val="center"/>
        <w:rPr>
          <w:sz w:val="16"/>
        </w:rPr>
      </w:pPr>
      <w:r>
        <w:rPr>
          <w:sz w:val="16"/>
        </w:rPr>
        <w:t>Arkitektkopia AB, 2021</w:t>
      </w:r>
    </w:p>
    <w:sectPr w:rsidR="00A2416E">
      <w:pgSz w:w="9360" w:h="13720"/>
      <w:pgMar w:top="1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022"/>
    <w:multiLevelType w:val="hybridMultilevel"/>
    <w:tmpl w:val="9C32ADD2"/>
    <w:lvl w:ilvl="0" w:tplc="DCE0122A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4634938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CC300154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9C20834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65016F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BD2233C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3E8E58BE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D1A2B188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2B70E1B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1" w15:restartNumberingAfterBreak="0">
    <w:nsid w:val="481C1347"/>
    <w:multiLevelType w:val="hybridMultilevel"/>
    <w:tmpl w:val="9C7E1930"/>
    <w:lvl w:ilvl="0" w:tplc="C744F9C0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FEB4DD82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50BA73C2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4ED00D5E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2064126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A4BE9D08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CCC41658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905C7B2E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A20BB10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2" w15:restartNumberingAfterBreak="0">
    <w:nsid w:val="5BD660CD"/>
    <w:multiLevelType w:val="hybridMultilevel"/>
    <w:tmpl w:val="E2CC420E"/>
    <w:lvl w:ilvl="0" w:tplc="87C8823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D8EA215C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2D1CE9CC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F2682940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7582D32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4C42FF80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8EB06906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A57C080A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D0B8D752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abstractNum w:abstractNumId="3" w15:restartNumberingAfterBreak="0">
    <w:nsid w:val="75B322EB"/>
    <w:multiLevelType w:val="hybridMultilevel"/>
    <w:tmpl w:val="9434F28E"/>
    <w:lvl w:ilvl="0" w:tplc="B284F896">
      <w:start w:val="4"/>
      <w:numFmt w:val="decimal"/>
      <w:lvlText w:val="%1"/>
      <w:lvlJc w:val="left"/>
      <w:pPr>
        <w:ind w:left="117" w:hanging="19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19"/>
        <w:szCs w:val="19"/>
        <w:lang w:val="sv-SE" w:eastAsia="sv-SE" w:bidi="sv-SE"/>
      </w:rPr>
    </w:lvl>
    <w:lvl w:ilvl="1" w:tplc="393E4A44">
      <w:numFmt w:val="bullet"/>
      <w:lvlText w:val="•"/>
      <w:lvlJc w:val="left"/>
      <w:pPr>
        <w:ind w:left="400" w:hanging="191"/>
      </w:pPr>
      <w:rPr>
        <w:rFonts w:hint="default"/>
        <w:lang w:val="sv-SE" w:eastAsia="sv-SE" w:bidi="sv-SE"/>
      </w:rPr>
    </w:lvl>
    <w:lvl w:ilvl="2" w:tplc="6742EC7E">
      <w:numFmt w:val="bullet"/>
      <w:lvlText w:val="•"/>
      <w:lvlJc w:val="left"/>
      <w:pPr>
        <w:ind w:left="892" w:hanging="191"/>
      </w:pPr>
      <w:rPr>
        <w:rFonts w:hint="default"/>
        <w:lang w:val="sv-SE" w:eastAsia="sv-SE" w:bidi="sv-SE"/>
      </w:rPr>
    </w:lvl>
    <w:lvl w:ilvl="3" w:tplc="458C596A">
      <w:numFmt w:val="bullet"/>
      <w:lvlText w:val="•"/>
      <w:lvlJc w:val="left"/>
      <w:pPr>
        <w:ind w:left="1385" w:hanging="191"/>
      </w:pPr>
      <w:rPr>
        <w:rFonts w:hint="default"/>
        <w:lang w:val="sv-SE" w:eastAsia="sv-SE" w:bidi="sv-SE"/>
      </w:rPr>
    </w:lvl>
    <w:lvl w:ilvl="4" w:tplc="A57C0292">
      <w:numFmt w:val="bullet"/>
      <w:lvlText w:val="•"/>
      <w:lvlJc w:val="left"/>
      <w:pPr>
        <w:ind w:left="1878" w:hanging="191"/>
      </w:pPr>
      <w:rPr>
        <w:rFonts w:hint="default"/>
        <w:lang w:val="sv-SE" w:eastAsia="sv-SE" w:bidi="sv-SE"/>
      </w:rPr>
    </w:lvl>
    <w:lvl w:ilvl="5" w:tplc="EAD81622">
      <w:numFmt w:val="bullet"/>
      <w:lvlText w:val="•"/>
      <w:lvlJc w:val="left"/>
      <w:pPr>
        <w:ind w:left="2371" w:hanging="191"/>
      </w:pPr>
      <w:rPr>
        <w:rFonts w:hint="default"/>
        <w:lang w:val="sv-SE" w:eastAsia="sv-SE" w:bidi="sv-SE"/>
      </w:rPr>
    </w:lvl>
    <w:lvl w:ilvl="6" w:tplc="79FE8E66">
      <w:numFmt w:val="bullet"/>
      <w:lvlText w:val="•"/>
      <w:lvlJc w:val="left"/>
      <w:pPr>
        <w:ind w:left="2864" w:hanging="191"/>
      </w:pPr>
      <w:rPr>
        <w:rFonts w:hint="default"/>
        <w:lang w:val="sv-SE" w:eastAsia="sv-SE" w:bidi="sv-SE"/>
      </w:rPr>
    </w:lvl>
    <w:lvl w:ilvl="7" w:tplc="48705B1C">
      <w:numFmt w:val="bullet"/>
      <w:lvlText w:val="•"/>
      <w:lvlJc w:val="left"/>
      <w:pPr>
        <w:ind w:left="3357" w:hanging="191"/>
      </w:pPr>
      <w:rPr>
        <w:rFonts w:hint="default"/>
        <w:lang w:val="sv-SE" w:eastAsia="sv-SE" w:bidi="sv-SE"/>
      </w:rPr>
    </w:lvl>
    <w:lvl w:ilvl="8" w:tplc="9DD4479E">
      <w:numFmt w:val="bullet"/>
      <w:lvlText w:val="•"/>
      <w:lvlJc w:val="left"/>
      <w:pPr>
        <w:ind w:left="3850" w:hanging="191"/>
      </w:pPr>
      <w:rPr>
        <w:rFonts w:hint="default"/>
        <w:lang w:val="sv-SE" w:eastAsia="sv-SE" w:bidi="sv-SE"/>
      </w:rPr>
    </w:lvl>
  </w:abstractNum>
  <w:abstractNum w:abstractNumId="4" w15:restartNumberingAfterBreak="0">
    <w:nsid w:val="781053DB"/>
    <w:multiLevelType w:val="hybridMultilevel"/>
    <w:tmpl w:val="78DE761A"/>
    <w:lvl w:ilvl="0" w:tplc="46523CC6">
      <w:start w:val="1"/>
      <w:numFmt w:val="lowerLetter"/>
      <w:lvlText w:val="%1."/>
      <w:lvlJc w:val="left"/>
      <w:pPr>
        <w:ind w:left="315" w:hanging="19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sv-SE" w:eastAsia="sv-SE" w:bidi="sv-SE"/>
      </w:rPr>
    </w:lvl>
    <w:lvl w:ilvl="1" w:tplc="0C929874">
      <w:numFmt w:val="bullet"/>
      <w:lvlText w:val="•"/>
      <w:lvlJc w:val="left"/>
      <w:pPr>
        <w:ind w:left="933" w:hanging="199"/>
      </w:pPr>
      <w:rPr>
        <w:rFonts w:hint="default"/>
        <w:lang w:val="sv-SE" w:eastAsia="sv-SE" w:bidi="sv-SE"/>
      </w:rPr>
    </w:lvl>
    <w:lvl w:ilvl="2" w:tplc="1D466E7E">
      <w:numFmt w:val="bullet"/>
      <w:lvlText w:val="•"/>
      <w:lvlJc w:val="left"/>
      <w:pPr>
        <w:ind w:left="1546" w:hanging="199"/>
      </w:pPr>
      <w:rPr>
        <w:rFonts w:hint="default"/>
        <w:lang w:val="sv-SE" w:eastAsia="sv-SE" w:bidi="sv-SE"/>
      </w:rPr>
    </w:lvl>
    <w:lvl w:ilvl="3" w:tplc="7B32C61C">
      <w:numFmt w:val="bullet"/>
      <w:lvlText w:val="•"/>
      <w:lvlJc w:val="left"/>
      <w:pPr>
        <w:ind w:left="2160" w:hanging="199"/>
      </w:pPr>
      <w:rPr>
        <w:rFonts w:hint="default"/>
        <w:lang w:val="sv-SE" w:eastAsia="sv-SE" w:bidi="sv-SE"/>
      </w:rPr>
    </w:lvl>
    <w:lvl w:ilvl="4" w:tplc="CC2A008E">
      <w:numFmt w:val="bullet"/>
      <w:lvlText w:val="•"/>
      <w:lvlJc w:val="left"/>
      <w:pPr>
        <w:ind w:left="2773" w:hanging="199"/>
      </w:pPr>
      <w:rPr>
        <w:rFonts w:hint="default"/>
        <w:lang w:val="sv-SE" w:eastAsia="sv-SE" w:bidi="sv-SE"/>
      </w:rPr>
    </w:lvl>
    <w:lvl w:ilvl="5" w:tplc="BFD03AA2">
      <w:numFmt w:val="bullet"/>
      <w:lvlText w:val="•"/>
      <w:lvlJc w:val="left"/>
      <w:pPr>
        <w:ind w:left="3386" w:hanging="199"/>
      </w:pPr>
      <w:rPr>
        <w:rFonts w:hint="default"/>
        <w:lang w:val="sv-SE" w:eastAsia="sv-SE" w:bidi="sv-SE"/>
      </w:rPr>
    </w:lvl>
    <w:lvl w:ilvl="6" w:tplc="BFA48664">
      <w:numFmt w:val="bullet"/>
      <w:lvlText w:val="•"/>
      <w:lvlJc w:val="left"/>
      <w:pPr>
        <w:ind w:left="4000" w:hanging="199"/>
      </w:pPr>
      <w:rPr>
        <w:rFonts w:hint="default"/>
        <w:lang w:val="sv-SE" w:eastAsia="sv-SE" w:bidi="sv-SE"/>
      </w:rPr>
    </w:lvl>
    <w:lvl w:ilvl="7" w:tplc="4F0CD3C6">
      <w:numFmt w:val="bullet"/>
      <w:lvlText w:val="•"/>
      <w:lvlJc w:val="left"/>
      <w:pPr>
        <w:ind w:left="4613" w:hanging="199"/>
      </w:pPr>
      <w:rPr>
        <w:rFonts w:hint="default"/>
        <w:lang w:val="sv-SE" w:eastAsia="sv-SE" w:bidi="sv-SE"/>
      </w:rPr>
    </w:lvl>
    <w:lvl w:ilvl="8" w:tplc="00F4FAC6">
      <w:numFmt w:val="bullet"/>
      <w:lvlText w:val="•"/>
      <w:lvlJc w:val="left"/>
      <w:pPr>
        <w:ind w:left="5226" w:hanging="199"/>
      </w:pPr>
      <w:rPr>
        <w:rFonts w:hint="default"/>
        <w:lang w:val="sv-SE" w:eastAsia="sv-SE" w:bidi="sv-S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16E"/>
    <w:rsid w:val="000A16FC"/>
    <w:rsid w:val="00524C5F"/>
    <w:rsid w:val="00534832"/>
    <w:rsid w:val="00581354"/>
    <w:rsid w:val="00A2416E"/>
    <w:rsid w:val="00C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978AA5"/>
  <w15:docId w15:val="{3431FC6E-06A0-4218-8771-913709B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v-SE" w:bidi="sv-SE"/>
    </w:rPr>
  </w:style>
  <w:style w:type="paragraph" w:styleId="Rubrik1">
    <w:name w:val="heading 1"/>
    <w:basedOn w:val="Normal"/>
    <w:uiPriority w:val="9"/>
    <w:qFormat/>
    <w:pPr>
      <w:spacing w:before="71"/>
      <w:ind w:right="33"/>
      <w:outlineLvl w:val="0"/>
    </w:pPr>
    <w:rPr>
      <w:b/>
      <w:bCs/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73"/>
      <w:ind w:left="117"/>
      <w:outlineLvl w:val="1"/>
    </w:pPr>
    <w:rPr>
      <w:b/>
      <w:bCs/>
      <w:sz w:val="21"/>
      <w:szCs w:val="21"/>
    </w:rPr>
  </w:style>
  <w:style w:type="paragraph" w:styleId="Rubrik3">
    <w:name w:val="heading 3"/>
    <w:basedOn w:val="Normal"/>
    <w:uiPriority w:val="9"/>
    <w:unhideWhenUsed/>
    <w:qFormat/>
    <w:pPr>
      <w:spacing w:before="1"/>
      <w:ind w:left="117"/>
      <w:outlineLvl w:val="2"/>
    </w:pPr>
    <w:rPr>
      <w:rFonts w:ascii="HelveticaNeueLT Std Cn" w:eastAsia="HelveticaNeueLT Std Cn" w:hAnsi="HelveticaNeueLT Std Cn" w:cs="HelveticaNeueLT Std C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9"/>
      <w:szCs w:val="19"/>
    </w:rPr>
  </w:style>
  <w:style w:type="paragraph" w:styleId="Liststycke">
    <w:name w:val="List Paragraph"/>
    <w:basedOn w:val="Normal"/>
    <w:uiPriority w:val="1"/>
    <w:qFormat/>
    <w:pPr>
      <w:spacing w:before="68"/>
      <w:ind w:left="315" w:hanging="199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1563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STEMFS 2021:2 Föreskrifter om ändring av Statens energimyndighets föreskrifter (STEMFS 2017:3) om rapportering och beräkning enligt drivmedelslagen</vt:lpstr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STEMFS 2021:2 Föreskrifter om ändring av Statens energimyndighets föreskrifter (STEMFS 2017:3) om rapportering och beräkning enligt drivmedelslagen</dc:title>
  <dc:creator>Rikard Janson (chefsjurist)</dc:creator>
  <cp:keywords>STEMFS 2021:2 Föreskrifter om ändring av Statens energimyndighets föreskrifter (STEMFS 2017:3) om rapportering och beräkning enligt drivmedelslagen</cp:keywords>
  <cp:lastModifiedBy>Edison Moises Parraga Chica</cp:lastModifiedBy>
  <cp:revision>5</cp:revision>
  <dcterms:created xsi:type="dcterms:W3CDTF">2021-04-07T09:34:00Z</dcterms:created>
  <dcterms:modified xsi:type="dcterms:W3CDTF">2022-01-17T20:41:00Z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2021-04-07T00:00:00Z</vt:filetime>
  </property>
</Properties>
</file>