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AF" w:rsidRPr="00B00403" w:rsidRDefault="003558AF" w:rsidP="003558AF">
      <w:pPr>
        <w:pStyle w:val="PlainText"/>
        <w:rPr>
          <w:rFonts w:ascii="Courier New" w:hAnsi="Courier New" w:cs="Courier New"/>
          <w:sz w:val="20"/>
          <w:szCs w:val="20"/>
        </w:rPr>
      </w:pPr>
      <w:r>
        <w:rPr>
          <w:rFonts w:ascii="Courier New" w:hAnsi="Courier New"/>
          <w:sz w:val="20"/>
          <w:szCs w:val="20"/>
        </w:rPr>
        <w:t>1. ------IND- 2019 0651 A</w:t>
      </w:r>
      <w:r w:rsidR="004949C5">
        <w:rPr>
          <w:rFonts w:ascii="Courier New" w:hAnsi="Courier New"/>
          <w:sz w:val="20"/>
          <w:szCs w:val="20"/>
        </w:rPr>
        <w:t>-</w:t>
      </w:r>
      <w:r>
        <w:rPr>
          <w:rFonts w:ascii="Courier New" w:hAnsi="Courier New"/>
          <w:sz w:val="20"/>
          <w:szCs w:val="20"/>
        </w:rPr>
        <w:t>- LV- ------ 20191231 --- --- PROJET</w:t>
      </w:r>
    </w:p>
    <w:p w:rsidR="003B4FF6" w:rsidRPr="00BD226C" w:rsidRDefault="003B4FF6" w:rsidP="009A6CCA">
      <w:pPr>
        <w:pStyle w:val="11Titel"/>
      </w:pPr>
      <w:r>
        <w:t>Federālās zemes valdības [datums] Rīkojums, ar ko groza Tiroles 2014. gada Gāzes, apkures un gaisa kondicionēšanas sistēmu rīkojumu</w:t>
      </w:r>
    </w:p>
    <w:p w:rsidR="00390CD2" w:rsidRPr="00BD226C" w:rsidRDefault="00390CD2" w:rsidP="009A6CCA">
      <w:pPr>
        <w:pStyle w:val="12PromKlEinlSatz"/>
      </w:pPr>
      <w:r>
        <w:t>Pamatojoties uz 3. panta 2. punktu Tiroles 2013. gada Gāzes, apkures un gaisa kondicionēšanas sistēmu likumā (</w:t>
      </w:r>
      <w:r>
        <w:rPr>
          <w:i/>
          <w:iCs/>
        </w:rPr>
        <w:t>Tiroler Gas-, Heizungs- und Klimaanlagengesetz 2013</w:t>
      </w:r>
      <w:r>
        <w:t xml:space="preserve">), </w:t>
      </w:r>
      <w:r>
        <w:rPr>
          <w:i/>
          <w:iCs/>
        </w:rPr>
        <w:t>LGBl</w:t>
      </w:r>
      <w:r>
        <w:t xml:space="preserve">. Nr. 111/2013, kurā jaunākie grozījumi izdarīti ar Likumu </w:t>
      </w:r>
      <w:r>
        <w:rPr>
          <w:i/>
          <w:iCs/>
        </w:rPr>
        <w:t>LGBl.</w:t>
      </w:r>
      <w:r>
        <w:t xml:space="preserve"> Nr. 144/2018, tiek pieņemts šāds rīkojums.</w:t>
      </w:r>
    </w:p>
    <w:p w:rsidR="009000A8" w:rsidRPr="00BD226C" w:rsidRDefault="009000A8" w:rsidP="009831A5">
      <w:pPr>
        <w:pStyle w:val="41UeberschrG1"/>
      </w:pPr>
      <w:r>
        <w:t>I pants</w:t>
      </w:r>
    </w:p>
    <w:p w:rsidR="007E62E6" w:rsidRPr="00BD226C" w:rsidRDefault="007E62E6" w:rsidP="009A6CCA">
      <w:pPr>
        <w:pStyle w:val="12PromKlEinlSatz"/>
      </w:pPr>
      <w:r>
        <w:t>Tiroles 2014. gada Gāzes, apkures un gaisa kondicionēšanas sistēmu rīkojumu (</w:t>
      </w:r>
      <w:r>
        <w:rPr>
          <w:i/>
          <w:iCs/>
        </w:rPr>
        <w:t>Tiroler Gas-, Heizungs- und Klimaanlagenverordnung 2014</w:t>
      </w:r>
      <w:r>
        <w:t xml:space="preserve">), </w:t>
      </w:r>
      <w:r>
        <w:rPr>
          <w:i/>
          <w:iCs/>
        </w:rPr>
        <w:t>LGBl</w:t>
      </w:r>
      <w:r>
        <w:t xml:space="preserve">. Nr. 80/2014, kas grozīts ar Rīkojumu </w:t>
      </w:r>
      <w:r>
        <w:rPr>
          <w:i/>
          <w:iCs/>
        </w:rPr>
        <w:t>LGBl</w:t>
      </w:r>
      <w:r>
        <w:t>. Nr. 9/2018, groza šādi.</w:t>
      </w:r>
    </w:p>
    <w:p w:rsidR="003D2AFA" w:rsidRPr="00BD226C" w:rsidRDefault="009A6CCA" w:rsidP="006B308D">
      <w:pPr>
        <w:pStyle w:val="21NovAo1"/>
      </w:pPr>
      <w:r>
        <w:t>1. Rīkojuma 2. pantā pēc 5. punkta kā 6. punktu pievieno šādu noteikumu:</w:t>
      </w:r>
    </w:p>
    <w:p w:rsidR="003D2AFA" w:rsidRPr="00BD226C" w:rsidRDefault="008D4BF2" w:rsidP="009A6CCA">
      <w:pPr>
        <w:pStyle w:val="51Abs"/>
      </w:pPr>
      <w:r>
        <w:t>„6. Būvējot jaunas ēkas Tiroles 2018. gada Būvnormatīvu (</w:t>
      </w:r>
      <w:r>
        <w:rPr>
          <w:i/>
          <w:iCs/>
        </w:rPr>
        <w:t>Tiroler Bauordnung 2018</w:t>
      </w:r>
      <w:r>
        <w:t xml:space="preserve">), </w:t>
      </w:r>
      <w:r>
        <w:rPr>
          <w:i/>
          <w:iCs/>
        </w:rPr>
        <w:t>LGBl</w:t>
      </w:r>
      <w:r>
        <w:t>. Nr. 28/2018, attiecīgi spēkā esošās redakcijas 2. panta 7. punkta nozīmē un veicot nozīmīgus atjaunošanas darbus minēto būvnormatīvu 2. panta 27. punkta nozīmē, centrālās apkures sistēmās nav atļauts izmantot cieto fosilo kurināmo atbilstoši 1. pielikumam un šķidro fosilo kurināmo atbilstoši 2. pielikumam.”</w:t>
      </w:r>
    </w:p>
    <w:p w:rsidR="00092EA6" w:rsidRPr="00BD226C" w:rsidRDefault="009A6CCA" w:rsidP="006B308D">
      <w:pPr>
        <w:pStyle w:val="21NovAo1"/>
      </w:pPr>
      <w:r>
        <w:t>2. Rīkojuma 3. panta 7. un 8. punktu izsaka šādā redakcijā:</w:t>
      </w:r>
    </w:p>
    <w:p w:rsidR="002B5E92" w:rsidRPr="00BD226C" w:rsidRDefault="00092EA6" w:rsidP="009A6CCA">
      <w:pPr>
        <w:pStyle w:val="51Abs"/>
      </w:pPr>
      <w:r>
        <w:t>„7. Apkures un gaisa kondicionēšanas sistēmas ierīko un darbina tā, lai izvairītos no nepieņemama trokšņu piesārņojuma blakus esošās teritorijās. Nepieņemams trokšņu piesārņojums jo īpaši nepastāv tad, ja izraisīto ilgstošo trokšņu ar A novērtētais skaņas spiediena līmenis brīvā dabā pie zemesgabala robežas ar blakus esošiem zemesgabaliem, kuri saskaņā ar Tiroles 2018. gada Būvnormatīvu 2. panta 21. punktu nav satiksmes zona, attiecīgajā darbības režīmā nepārsniedz tālāk norādītās dB vērtības.</w:t>
      </w:r>
    </w:p>
    <w:p w:rsidR="00BD226C" w:rsidRPr="00BD226C"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D226C" w:rsidTr="00051812">
        <w:trPr>
          <w:trHeight w:val="450"/>
        </w:trPr>
        <w:tc>
          <w:tcPr>
            <w:tcW w:w="3150" w:type="dxa"/>
            <w:shd w:val="clear" w:color="auto" w:fill="auto"/>
            <w:vAlign w:val="center"/>
          </w:tcPr>
          <w:p w:rsidR="00520582" w:rsidRPr="00BD226C" w:rsidRDefault="00520582" w:rsidP="006B308D">
            <w:pPr>
              <w:pStyle w:val="09Abstand"/>
            </w:pPr>
          </w:p>
        </w:tc>
        <w:tc>
          <w:tcPr>
            <w:tcW w:w="1750" w:type="dxa"/>
            <w:shd w:val="clear" w:color="auto" w:fill="auto"/>
            <w:vAlign w:val="center"/>
          </w:tcPr>
          <w:p w:rsidR="00520582" w:rsidRPr="00BD226C" w:rsidRDefault="00520582" w:rsidP="006B308D">
            <w:pPr>
              <w:pStyle w:val="61bTabTextZentriert"/>
            </w:pPr>
            <w:r>
              <w:t>Diena</w:t>
            </w:r>
          </w:p>
          <w:p w:rsidR="00520582" w:rsidRPr="00BD226C" w:rsidRDefault="00520582" w:rsidP="006B308D">
            <w:pPr>
              <w:pStyle w:val="61bTabTextZentriert"/>
            </w:pPr>
            <w:r>
              <w:t>no plkst. 06.00 līdz plkst. 19.00</w:t>
            </w:r>
          </w:p>
        </w:tc>
        <w:tc>
          <w:tcPr>
            <w:tcW w:w="1922" w:type="dxa"/>
            <w:shd w:val="clear" w:color="auto" w:fill="auto"/>
            <w:vAlign w:val="center"/>
          </w:tcPr>
          <w:p w:rsidR="00520582" w:rsidRPr="00BD226C" w:rsidRDefault="00520582" w:rsidP="006B308D">
            <w:pPr>
              <w:pStyle w:val="61bTabTextZentriert"/>
            </w:pPr>
            <w:r>
              <w:t>Vakars</w:t>
            </w:r>
          </w:p>
          <w:p w:rsidR="00520582" w:rsidRPr="00BD226C" w:rsidRDefault="00520582" w:rsidP="006B308D">
            <w:pPr>
              <w:pStyle w:val="61bTabTextZentriert"/>
            </w:pPr>
            <w:r>
              <w:t>no plkst. 19.00 līdz plkst. 22.00</w:t>
            </w:r>
          </w:p>
        </w:tc>
        <w:tc>
          <w:tcPr>
            <w:tcW w:w="1801" w:type="dxa"/>
            <w:shd w:val="clear" w:color="auto" w:fill="auto"/>
            <w:vAlign w:val="center"/>
          </w:tcPr>
          <w:p w:rsidR="00520582" w:rsidRPr="00BD226C" w:rsidRDefault="00520582" w:rsidP="006B308D">
            <w:pPr>
              <w:pStyle w:val="61bTabTextZentriert"/>
            </w:pPr>
            <w:r>
              <w:t>Nakts</w:t>
            </w:r>
          </w:p>
          <w:p w:rsidR="00520582" w:rsidRPr="00BD226C" w:rsidRDefault="00520582" w:rsidP="006B308D">
            <w:pPr>
              <w:pStyle w:val="61bTabTextZentriert"/>
            </w:pPr>
            <w:r>
              <w:t>no plkst. 22.00 līdz plkst. 06.00</w:t>
            </w:r>
          </w:p>
        </w:tc>
      </w:tr>
      <w:tr w:rsidR="00922276" w:rsidRPr="00BD226C" w:rsidTr="00051812">
        <w:tc>
          <w:tcPr>
            <w:tcW w:w="3150" w:type="dxa"/>
            <w:shd w:val="clear" w:color="auto" w:fill="auto"/>
            <w:vAlign w:val="center"/>
          </w:tcPr>
          <w:p w:rsidR="00520582" w:rsidRPr="00BD226C" w:rsidRDefault="00520582" w:rsidP="006B308D">
            <w:pPr>
              <w:pStyle w:val="61TabText"/>
            </w:pPr>
            <w:r>
              <w:t>Dzīvojamais rajons</w:t>
            </w:r>
          </w:p>
        </w:tc>
        <w:tc>
          <w:tcPr>
            <w:tcW w:w="1750" w:type="dxa"/>
            <w:shd w:val="clear" w:color="auto" w:fill="auto"/>
            <w:vAlign w:val="center"/>
          </w:tcPr>
          <w:p w:rsidR="00520582" w:rsidRPr="00BD226C" w:rsidRDefault="00520582" w:rsidP="006B308D">
            <w:pPr>
              <w:pStyle w:val="61bTabTextZentriert"/>
            </w:pPr>
            <w:r>
              <w:t>40 dB</w:t>
            </w:r>
          </w:p>
        </w:tc>
        <w:tc>
          <w:tcPr>
            <w:tcW w:w="1922" w:type="dxa"/>
            <w:shd w:val="clear" w:color="auto" w:fill="auto"/>
            <w:vAlign w:val="center"/>
          </w:tcPr>
          <w:p w:rsidR="00520582" w:rsidRPr="00BD226C" w:rsidRDefault="00520582" w:rsidP="006B308D">
            <w:pPr>
              <w:pStyle w:val="61bTabTextZentriert"/>
            </w:pPr>
            <w:r>
              <w:t>35 dB</w:t>
            </w:r>
          </w:p>
        </w:tc>
        <w:tc>
          <w:tcPr>
            <w:tcW w:w="1801" w:type="dxa"/>
            <w:shd w:val="clear" w:color="auto" w:fill="auto"/>
            <w:vAlign w:val="center"/>
          </w:tcPr>
          <w:p w:rsidR="00520582" w:rsidRPr="00BD226C" w:rsidRDefault="00520582" w:rsidP="006B308D">
            <w:pPr>
              <w:pStyle w:val="61bTabTextZentriert"/>
            </w:pPr>
            <w:r>
              <w:t>30 dB</w:t>
            </w:r>
          </w:p>
        </w:tc>
      </w:tr>
      <w:tr w:rsidR="00922276" w:rsidRPr="00BD226C" w:rsidTr="00051812">
        <w:tc>
          <w:tcPr>
            <w:tcW w:w="3150" w:type="dxa"/>
            <w:shd w:val="clear" w:color="auto" w:fill="auto"/>
            <w:vAlign w:val="center"/>
          </w:tcPr>
          <w:p w:rsidR="00520582" w:rsidRPr="00BD226C" w:rsidRDefault="00520582" w:rsidP="006B308D">
            <w:pPr>
              <w:pStyle w:val="61TabText"/>
            </w:pPr>
            <w:r>
              <w:t>Jaukts dzīvojamais rajons vai tūrisma zona</w:t>
            </w:r>
          </w:p>
        </w:tc>
        <w:tc>
          <w:tcPr>
            <w:tcW w:w="1750" w:type="dxa"/>
            <w:shd w:val="clear" w:color="auto" w:fill="auto"/>
            <w:vAlign w:val="center"/>
          </w:tcPr>
          <w:p w:rsidR="00520582" w:rsidRPr="00BD226C" w:rsidRDefault="00520582" w:rsidP="006B308D">
            <w:pPr>
              <w:pStyle w:val="61bTabTextZentriert"/>
            </w:pPr>
            <w:r>
              <w:t>45 dB</w:t>
            </w:r>
          </w:p>
        </w:tc>
        <w:tc>
          <w:tcPr>
            <w:tcW w:w="1922" w:type="dxa"/>
            <w:shd w:val="clear" w:color="auto" w:fill="auto"/>
            <w:vAlign w:val="center"/>
          </w:tcPr>
          <w:p w:rsidR="00520582" w:rsidRPr="00BD226C" w:rsidRDefault="00520582" w:rsidP="006B308D">
            <w:pPr>
              <w:pStyle w:val="61bTabTextZentriert"/>
            </w:pPr>
            <w:r>
              <w:t>40 dB</w:t>
            </w:r>
          </w:p>
        </w:tc>
        <w:tc>
          <w:tcPr>
            <w:tcW w:w="1801" w:type="dxa"/>
            <w:shd w:val="clear" w:color="auto" w:fill="auto"/>
            <w:vAlign w:val="center"/>
          </w:tcPr>
          <w:p w:rsidR="00520582" w:rsidRPr="00BD226C" w:rsidRDefault="00520582" w:rsidP="006B308D">
            <w:pPr>
              <w:pStyle w:val="61bTabTextZentriert"/>
            </w:pPr>
            <w:r>
              <w:t>35 dB</w:t>
            </w:r>
          </w:p>
        </w:tc>
      </w:tr>
      <w:tr w:rsidR="00922276" w:rsidRPr="00BD226C" w:rsidTr="00051812">
        <w:tc>
          <w:tcPr>
            <w:tcW w:w="3150" w:type="dxa"/>
            <w:shd w:val="clear" w:color="auto" w:fill="auto"/>
            <w:vAlign w:val="center"/>
          </w:tcPr>
          <w:p w:rsidR="00520582" w:rsidRPr="00BD226C" w:rsidRDefault="00520582" w:rsidP="006B308D">
            <w:pPr>
              <w:pStyle w:val="61TabText"/>
            </w:pPr>
            <w:r>
              <w:t>Centrālā teritorija, lauksaimniecības un vispārējs jaukts rajons</w:t>
            </w:r>
          </w:p>
        </w:tc>
        <w:tc>
          <w:tcPr>
            <w:tcW w:w="1750" w:type="dxa"/>
            <w:shd w:val="clear" w:color="auto" w:fill="auto"/>
            <w:vAlign w:val="center"/>
          </w:tcPr>
          <w:p w:rsidR="00520582" w:rsidRPr="00BD226C" w:rsidRDefault="00520582" w:rsidP="006B308D">
            <w:pPr>
              <w:pStyle w:val="61bTabTextZentriert"/>
            </w:pPr>
            <w:r>
              <w:t>50 dB</w:t>
            </w:r>
          </w:p>
        </w:tc>
        <w:tc>
          <w:tcPr>
            <w:tcW w:w="1922" w:type="dxa"/>
            <w:shd w:val="clear" w:color="auto" w:fill="auto"/>
            <w:vAlign w:val="center"/>
          </w:tcPr>
          <w:p w:rsidR="00520582" w:rsidRPr="00BD226C" w:rsidRDefault="00520582" w:rsidP="006B308D">
            <w:pPr>
              <w:pStyle w:val="61bTabTextZentriert"/>
            </w:pPr>
            <w:r>
              <w:t>45 dB</w:t>
            </w:r>
          </w:p>
        </w:tc>
        <w:tc>
          <w:tcPr>
            <w:tcW w:w="1801" w:type="dxa"/>
            <w:shd w:val="clear" w:color="auto" w:fill="auto"/>
            <w:vAlign w:val="center"/>
          </w:tcPr>
          <w:p w:rsidR="00520582" w:rsidRPr="00BD226C" w:rsidRDefault="00520582" w:rsidP="006B308D">
            <w:pPr>
              <w:pStyle w:val="61bTabTextZentriert"/>
            </w:pPr>
            <w:r>
              <w:t>40 dB</w:t>
            </w:r>
          </w:p>
        </w:tc>
      </w:tr>
    </w:tbl>
    <w:p w:rsidR="00BD226C" w:rsidRPr="00BD226C" w:rsidRDefault="00BD226C" w:rsidP="00BD226C">
      <w:pPr>
        <w:pStyle w:val="09Abstand"/>
      </w:pPr>
    </w:p>
    <w:p w:rsidR="002B5E92" w:rsidRPr="00BD226C" w:rsidRDefault="002B5E92" w:rsidP="009A6CCA">
      <w:pPr>
        <w:pStyle w:val="58Schlussteile0Abs"/>
      </w:pPr>
      <w:r>
        <w:t>Attiecībā uz īpašām zonām saskaņā ar 43. pantu Tiroles 2016. gada Teritoriālās plānošanas likumā (</w:t>
      </w:r>
      <w:r>
        <w:rPr>
          <w:i/>
          <w:iCs/>
        </w:rPr>
        <w:t>Tiroler Raumordnungsgesetz 201</w:t>
      </w:r>
      <w:r>
        <w:t xml:space="preserve">6), </w:t>
      </w:r>
      <w:r>
        <w:rPr>
          <w:i/>
          <w:iCs/>
        </w:rPr>
        <w:t>LGBl</w:t>
      </w:r>
      <w:r>
        <w:t>. Nr. 101/2016, attiecīgi spēkā esošajā redakcijā, un attiecībā uz apbūvētiem zemesgabaliem atklātā laukā saskaņā ar 41. pantu minētajā likumā izmanto dB vērtības, kas paredzētas tādam apbūvējamas zemes mērķim, kuram visvairāk atbilst īpašajā zonā noteiktais izmantošanas mērķis.</w:t>
      </w:r>
    </w:p>
    <w:p w:rsidR="00423184" w:rsidRPr="00BD226C" w:rsidRDefault="00423184" w:rsidP="00423184">
      <w:pPr>
        <w:pStyle w:val="51Abs"/>
      </w:pPr>
      <w:r>
        <w:t xml:space="preserve">8. Šā panta 7. punktā noteiktās robežvērtības drīkst pārsniegt, ja atbilstoši tehnikas līmenim pie zemesgabala robežas noteiktais pamatlīmenis tiek pārsniegts </w:t>
      </w:r>
      <w:r w:rsidR="00296394">
        <w:t xml:space="preserve">ne </w:t>
      </w:r>
      <w:r>
        <w:t xml:space="preserve">vairāk kā </w:t>
      </w:r>
      <w:r w:rsidR="00296394">
        <w:t xml:space="preserve">par </w:t>
      </w:r>
      <w:r>
        <w:t>3 dB.”</w:t>
      </w:r>
    </w:p>
    <w:p w:rsidR="003A4ED8" w:rsidRPr="00BD226C" w:rsidRDefault="009A6CCA" w:rsidP="006B308D">
      <w:pPr>
        <w:pStyle w:val="21NovAo1"/>
      </w:pPr>
      <w:r>
        <w:t>3. Rīkojuma 28. panta 2. punktu izsaka šādā redakcijā:</w:t>
      </w:r>
    </w:p>
    <w:p w:rsidR="009A6CCA" w:rsidRPr="00BD226C" w:rsidRDefault="009A6CCA" w:rsidP="009A6CCA">
      <w:pPr>
        <w:pStyle w:val="51Abs"/>
      </w:pPr>
      <w:r>
        <w:t>„2. Par šo rīkojumu ir paziņots:</w:t>
      </w:r>
    </w:p>
    <w:p w:rsidR="009A6CCA" w:rsidRPr="00BD226C" w:rsidRDefault="009A6CCA" w:rsidP="009A6CCA">
      <w:pPr>
        <w:pStyle w:val="52Aufzaehle1Ziffer"/>
      </w:pPr>
      <w:r>
        <w:tab/>
        <w:t>a)</w:t>
      </w:r>
      <w:r>
        <w:tab/>
        <w:t>saskaņā ar Eiropas Parlamenta</w:t>
      </w:r>
      <w:bookmarkStart w:id="0" w:name="_GoBack"/>
      <w:bookmarkEnd w:id="0"/>
      <w:r>
        <w:t xml:space="preserve"> un Padomes Direktīvu 98/34/EK, ar ko nosaka informācijas sniegšanas kārtību tehnisko standartu un noteikumu, un Informācijas sabiedrības pakalpojumu noteikumu sfērā (OV L 204, 21.7.1998., 37. lpp.), kurā jaunākie grozījumi izdarīti ar Regulu (ES) Nr. 1025/2012 (OV L 316, 14.11.2012., 12. lpp.) (paziņojums Nr. 2013/0703/A); un</w:t>
      </w:r>
    </w:p>
    <w:p w:rsidR="009A6CCA" w:rsidRPr="00BD226C" w:rsidRDefault="009A6CCA" w:rsidP="009A6CCA">
      <w:pPr>
        <w:pStyle w:val="52Aufzaehle1Ziffer"/>
      </w:pPr>
      <w:r>
        <w:tab/>
        <w:t>b)</w:t>
      </w:r>
      <w:r>
        <w:tab/>
        <w:t>saskaņā ar Eiropas Parlamenta un Padomes Direktīvu (ES) 2015/1535, ar ko nosaka informācijas sniegšanas kārtību tehnisko noteikumu un Informācijas sabiedrības pakalpojumu noteikumu jomā (OV L 241, 17.9.2015., 1. lpp.) (paziņojums Nr. XXXX/XXXX/X).”</w:t>
      </w:r>
    </w:p>
    <w:p w:rsidR="00423184" w:rsidRPr="00BD226C" w:rsidRDefault="00423184" w:rsidP="00BD226C">
      <w:pPr>
        <w:pStyle w:val="41UeberschrG1"/>
      </w:pPr>
      <w:r>
        <w:t>II pants</w:t>
      </w:r>
    </w:p>
    <w:p w:rsidR="00423184" w:rsidRPr="00BD226C" w:rsidRDefault="00423184" w:rsidP="00BD226C">
      <w:pPr>
        <w:pStyle w:val="51Abs"/>
      </w:pPr>
      <w:r>
        <w:t>Rīkojums stājas spēkā nākamajā dienā pēc tā izsludināšanas.</w:t>
      </w:r>
    </w:p>
    <w:sectPr w:rsidR="00423184" w:rsidRPr="00BD226C" w:rsidSect="00BD226C">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53" w:rsidRDefault="00A22553">
      <w:r>
        <w:separator/>
      </w:r>
    </w:p>
  </w:endnote>
  <w:endnote w:type="continuationSeparator" w:id="0">
    <w:p w:rsidR="00A22553" w:rsidRDefault="00A22553">
      <w:r>
        <w:continuationSeparator/>
      </w:r>
    </w:p>
  </w:endnote>
  <w:endnote w:type="continuationNotice" w:id="1">
    <w:p w:rsidR="00A22553" w:rsidRDefault="00A22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53" w:rsidRDefault="00A22553">
      <w:r>
        <w:separator/>
      </w:r>
    </w:p>
  </w:footnote>
  <w:footnote w:type="continuationSeparator" w:id="0">
    <w:p w:rsidR="00A22553" w:rsidRDefault="00A22553">
      <w:r>
        <w:continuationSeparator/>
      </w:r>
    </w:p>
  </w:footnote>
  <w:footnote w:type="continuationNotice" w:id="1">
    <w:p w:rsidR="00A22553" w:rsidRDefault="00A225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Default="00BD226C" w:rsidP="00BD226C">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lpp. no </w:t>
    </w:r>
    <w:r w:rsidR="004949C5">
      <w:fldChar w:fldCharType="begin"/>
    </w:r>
    <w:r w:rsidR="004949C5">
      <w:instrText xml:space="preserve"> NUMPAGES  \* Arabic  \* MERGEFORMAT </w:instrText>
    </w:r>
    <w:r w:rsidR="004949C5">
      <w:fldChar w:fldCharType="separate"/>
    </w:r>
    <w:r w:rsidR="00296394">
      <w:rPr>
        <w:noProof/>
      </w:rPr>
      <w:t>1</w:t>
    </w:r>
    <w:r w:rsidR="004949C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79" w:rsidRPr="00BD226C" w:rsidRDefault="00BD226C" w:rsidP="00BD226C">
    <w:pPr>
      <w:pStyle w:val="62Kopfzeile"/>
    </w:pPr>
    <w:r>
      <w:tab/>
    </w:r>
    <w:r>
      <w:tab/>
    </w:r>
    <w:r>
      <w:fldChar w:fldCharType="begin"/>
    </w:r>
    <w:r>
      <w:instrText xml:space="preserve"> PAGE  \* Arabic  \* MERGEFORMAT </w:instrText>
    </w:r>
    <w:r>
      <w:fldChar w:fldCharType="separate"/>
    </w:r>
    <w:r w:rsidR="004949C5">
      <w:rPr>
        <w:noProof/>
      </w:rPr>
      <w:t>1</w:t>
    </w:r>
    <w:r>
      <w:fldChar w:fldCharType="end"/>
    </w:r>
    <w:r>
      <w:t xml:space="preserve">. lpp. no </w:t>
    </w:r>
    <w:r w:rsidR="004949C5">
      <w:fldChar w:fldCharType="begin"/>
    </w:r>
    <w:r w:rsidR="004949C5">
      <w:instrText xml:space="preserve"> NUMPAGES  \* Arabic  \* MERGEFORMAT </w:instrText>
    </w:r>
    <w:r w:rsidR="004949C5">
      <w:fldChar w:fldCharType="separate"/>
    </w:r>
    <w:r w:rsidR="004949C5">
      <w:rPr>
        <w:noProof/>
      </w:rPr>
      <w:t>1</w:t>
    </w:r>
    <w:r w:rsidR="004949C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6394"/>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49C5"/>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2553"/>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v-LV" w:eastAsia="de-AT"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lsdException w:name="annotation subject" w:locked="0"/>
    <w:lsdException w:name="No List" w:locked="0" w:uiPriority="99"/>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rPr>
      <w:lang w:eastAsia="de-DE"/>
    </w:r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lang w:eastAsia="en-US"/>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lang w:eastAsia="de-DE"/>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lang w:eastAsia="en-US"/>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lang w:eastAsia="en-US"/>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lang w:eastAsia="de-DE"/>
    </w:rPr>
  </w:style>
  <w:style w:type="paragraph" w:customStyle="1" w:styleId="PDU1">
    <w:name w:val="PD_U1"/>
    <w:basedOn w:val="00LegStandard"/>
    <w:next w:val="Normal"/>
    <w:rsid w:val="0095105E"/>
    <w:pPr>
      <w:tabs>
        <w:tab w:val="center" w:pos="2126"/>
        <w:tab w:val="center" w:pos="6379"/>
      </w:tabs>
      <w:spacing w:before="440"/>
    </w:pPr>
    <w:rPr>
      <w:b/>
      <w:lang w:eastAsia="de-DE"/>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rPr>
      <w:lang w:eastAsia="en-US"/>
    </w:rPr>
  </w:style>
  <w:style w:type="paragraph" w:customStyle="1" w:styleId="57Schlussteile1">
    <w:name w:val="57_Schlussteil_e1"/>
    <w:basedOn w:val="00LegStandard"/>
    <w:next w:val="51Abs"/>
    <w:rsid w:val="0095105E"/>
    <w:pPr>
      <w:spacing w:before="40"/>
      <w:ind w:left="454"/>
    </w:pPr>
    <w:rPr>
      <w:lang w:eastAsia="de-DE"/>
    </w:rPr>
  </w:style>
  <w:style w:type="paragraph" w:customStyle="1" w:styleId="57Schlussteile4">
    <w:name w:val="57_Schlussteil_e4"/>
    <w:basedOn w:val="00LegStandard"/>
    <w:next w:val="51Abs"/>
    <w:rsid w:val="0095105E"/>
    <w:pPr>
      <w:spacing w:before="40"/>
      <w:ind w:left="1247"/>
    </w:pPr>
    <w:rPr>
      <w:snapToGrid/>
      <w:lang w:eastAsia="de-DE"/>
    </w:rPr>
  </w:style>
  <w:style w:type="paragraph" w:customStyle="1" w:styleId="57Schlussteile5">
    <w:name w:val="57_Schlussteil_e5"/>
    <w:basedOn w:val="00LegStandard"/>
    <w:next w:val="51Abs"/>
    <w:rsid w:val="0095105E"/>
    <w:pPr>
      <w:spacing w:before="40"/>
      <w:ind w:left="1644"/>
    </w:pPr>
    <w:rPr>
      <w:snapToGrid/>
      <w:lang w:eastAsia="de-DE"/>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lv-LV" w:eastAsia="de-DE"/>
    </w:rPr>
  </w:style>
  <w:style w:type="table" w:styleId="TableGrid">
    <w:name w:val="Table Grid"/>
    <w:basedOn w:val="TableNormal"/>
    <w:locked/>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lv-LV" w:eastAsia="de-DE"/>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lv-LV"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lv-LV"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lv-LV"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rPr>
      <w:lang w:eastAsia="de-DE"/>
    </w:r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rPr>
      <w:lang w:eastAsia="de-DE"/>
    </w:r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rPr>
      <w:lang w:eastAsia="de-DE"/>
    </w:r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rPr>
      <w:lang w:eastAsia="de-DE"/>
    </w:r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rPr>
      <w:lang w:eastAsia="de-DE"/>
    </w:r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rPr>
      <w:lang w:eastAsia="de-DE"/>
    </w:r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lang w:eastAsia="de-DE"/>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lv-L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lv-LV" w:eastAsia="de-AT"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lsdException w:name="annotation subject" w:locked="0"/>
    <w:lsdException w:name="No List" w:locked="0" w:uiPriority="99"/>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rPr>
      <w:lang w:eastAsia="de-DE"/>
    </w:r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lang w:eastAsia="en-US"/>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lang w:eastAsia="de-DE"/>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lang w:eastAsia="en-US"/>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lang w:eastAsia="en-US"/>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lang w:eastAsia="de-DE"/>
    </w:rPr>
  </w:style>
  <w:style w:type="paragraph" w:customStyle="1" w:styleId="PDU1">
    <w:name w:val="PD_U1"/>
    <w:basedOn w:val="00LegStandard"/>
    <w:next w:val="Normal"/>
    <w:rsid w:val="0095105E"/>
    <w:pPr>
      <w:tabs>
        <w:tab w:val="center" w:pos="2126"/>
        <w:tab w:val="center" w:pos="6379"/>
      </w:tabs>
      <w:spacing w:before="440"/>
    </w:pPr>
    <w:rPr>
      <w:b/>
      <w:lang w:eastAsia="de-DE"/>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rPr>
      <w:lang w:eastAsia="en-US"/>
    </w:rPr>
  </w:style>
  <w:style w:type="paragraph" w:customStyle="1" w:styleId="57Schlussteile1">
    <w:name w:val="57_Schlussteil_e1"/>
    <w:basedOn w:val="00LegStandard"/>
    <w:next w:val="51Abs"/>
    <w:rsid w:val="0095105E"/>
    <w:pPr>
      <w:spacing w:before="40"/>
      <w:ind w:left="454"/>
    </w:pPr>
    <w:rPr>
      <w:lang w:eastAsia="de-DE"/>
    </w:rPr>
  </w:style>
  <w:style w:type="paragraph" w:customStyle="1" w:styleId="57Schlussteile4">
    <w:name w:val="57_Schlussteil_e4"/>
    <w:basedOn w:val="00LegStandard"/>
    <w:next w:val="51Abs"/>
    <w:rsid w:val="0095105E"/>
    <w:pPr>
      <w:spacing w:before="40"/>
      <w:ind w:left="1247"/>
    </w:pPr>
    <w:rPr>
      <w:snapToGrid/>
      <w:lang w:eastAsia="de-DE"/>
    </w:rPr>
  </w:style>
  <w:style w:type="paragraph" w:customStyle="1" w:styleId="57Schlussteile5">
    <w:name w:val="57_Schlussteil_e5"/>
    <w:basedOn w:val="00LegStandard"/>
    <w:next w:val="51Abs"/>
    <w:rsid w:val="0095105E"/>
    <w:pPr>
      <w:spacing w:before="40"/>
      <w:ind w:left="1644"/>
    </w:pPr>
    <w:rPr>
      <w:snapToGrid/>
      <w:lang w:eastAsia="de-DE"/>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lv-LV" w:eastAsia="de-DE"/>
    </w:rPr>
  </w:style>
  <w:style w:type="table" w:styleId="TableGrid">
    <w:name w:val="Table Grid"/>
    <w:basedOn w:val="TableNormal"/>
    <w:locked/>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lv-LV" w:eastAsia="de-DE"/>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lv-LV"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lv-LV"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lv-LV"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rPr>
      <w:lang w:eastAsia="de-DE"/>
    </w:r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rPr>
      <w:lang w:eastAsia="de-DE"/>
    </w:r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rPr>
      <w:lang w:eastAsia="de-DE"/>
    </w:r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rPr>
      <w:lang w:eastAsia="de-DE"/>
    </w:r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rPr>
      <w:lang w:eastAsia="de-DE"/>
    </w:r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rPr>
      <w:lang w:eastAsia="de-DE"/>
    </w:r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lang w:eastAsia="de-DE"/>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F14C-3E85-481B-B3D5-F2836E15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3</TotalTime>
  <Pages>1</Pages>
  <Words>485</Words>
  <Characters>2912</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Diana STOICA</cp:lastModifiedBy>
  <cp:revision>4</cp:revision>
  <cp:lastPrinted>2019-11-29T06:42:00Z</cp:lastPrinted>
  <dcterms:created xsi:type="dcterms:W3CDTF">2019-12-20T15:49:00Z</dcterms:created>
  <dcterms:modified xsi:type="dcterms:W3CDTF">2019-12-31T09:58:00Z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