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FB2E6" w14:textId="77777777" w:rsidR="004F1F48" w:rsidRPr="004F1F48" w:rsidRDefault="004F1F48" w:rsidP="004F1F48">
      <w:pPr>
        <w:jc w:val="center"/>
        <w:rPr>
          <w:rFonts w:ascii="Courier New" w:hAnsi="Courier New"/>
          <w:sz w:val="20"/>
          <w:szCs w:val="20"/>
        </w:rPr>
      </w:pPr>
      <w:r>
        <w:rPr>
          <w:rFonts w:ascii="Courier New" w:hAnsi="Courier New"/>
          <w:sz w:val="20"/>
          <w:szCs w:val="20"/>
        </w:rPr>
        <w:t xml:space="preserve">1. </w:t>
      </w:r>
      <w:bookmarkStart w:id="0" w:name="_GoBack"/>
      <w:r>
        <w:rPr>
          <w:rFonts w:ascii="Courier New" w:hAnsi="Courier New"/>
          <w:sz w:val="20"/>
          <w:szCs w:val="20"/>
        </w:rPr>
        <w:t>------</w:t>
      </w:r>
      <w:bookmarkEnd w:id="0"/>
      <w:r>
        <w:rPr>
          <w:rFonts w:ascii="Courier New" w:hAnsi="Courier New"/>
          <w:sz w:val="20"/>
          <w:szCs w:val="20"/>
        </w:rPr>
        <w:t>IND- 2019 0472 SK-EN- ------ 20191004 --- --- IMPACT</w:t>
      </w:r>
    </w:p>
    <w:p w14:paraId="453EED3B" w14:textId="77777777" w:rsidR="008360EC" w:rsidRPr="00C21B27" w:rsidRDefault="008360EC" w:rsidP="008360EC">
      <w:pPr>
        <w:jc w:val="center"/>
        <w:rPr>
          <w:b/>
          <w:bCs/>
        </w:rPr>
      </w:pPr>
      <w:r>
        <w:rPr>
          <w:b/>
          <w:bCs/>
        </w:rPr>
        <w:t>Statement on selected impacts</w:t>
      </w:r>
    </w:p>
    <w:p w14:paraId="1A1FDBCF" w14:textId="77777777" w:rsidR="008360EC" w:rsidRPr="00C21B27" w:rsidRDefault="008360EC" w:rsidP="008360EC">
      <w:pPr>
        <w:jc w:val="center"/>
        <w:rPr>
          <w:b/>
          <w:bCs/>
          <w:highlight w:val="lightGray"/>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705"/>
        <w:gridCol w:w="717"/>
        <w:gridCol w:w="569"/>
        <w:gridCol w:w="1417"/>
        <w:gridCol w:w="1560"/>
      </w:tblGrid>
      <w:tr w:rsidR="008360EC" w:rsidRPr="00C21B27" w14:paraId="65B6D63F" w14:textId="77777777" w:rsidTr="00C21B27">
        <w:tc>
          <w:tcPr>
            <w:tcW w:w="9327" w:type="dxa"/>
            <w:gridSpan w:val="6"/>
            <w:tcBorders>
              <w:bottom w:val="single" w:sz="4" w:space="0" w:color="FFFFFF"/>
            </w:tcBorders>
            <w:shd w:val="clear" w:color="auto" w:fill="E2E2E2"/>
          </w:tcPr>
          <w:p w14:paraId="534052D7" w14:textId="77777777" w:rsidR="008360EC" w:rsidRPr="00C21B27" w:rsidRDefault="008360EC" w:rsidP="008360EC">
            <w:pPr>
              <w:pStyle w:val="ListParagraph"/>
              <w:numPr>
                <w:ilvl w:val="0"/>
                <w:numId w:val="1"/>
              </w:numPr>
              <w:ind w:left="426"/>
              <w:rPr>
                <w:b/>
              </w:rPr>
            </w:pPr>
            <w:r>
              <w:rPr>
                <w:b/>
              </w:rPr>
              <w:t>Basic information</w:t>
            </w:r>
          </w:p>
        </w:tc>
      </w:tr>
      <w:tr w:rsidR="008360EC" w:rsidRPr="00C21B27" w14:paraId="496F7831" w14:textId="77777777" w:rsidTr="00C21B27">
        <w:tc>
          <w:tcPr>
            <w:tcW w:w="9327" w:type="dxa"/>
            <w:gridSpan w:val="6"/>
            <w:tcBorders>
              <w:bottom w:val="single" w:sz="4" w:space="0" w:color="FFFFFF"/>
            </w:tcBorders>
            <w:shd w:val="clear" w:color="auto" w:fill="E2E2E2"/>
          </w:tcPr>
          <w:p w14:paraId="32462E6A" w14:textId="77777777" w:rsidR="008360EC" w:rsidRPr="00C21B27" w:rsidRDefault="008360EC" w:rsidP="0035570A">
            <w:pPr>
              <w:pStyle w:val="ListParagraph"/>
              <w:ind w:left="142"/>
              <w:rPr>
                <w:b/>
              </w:rPr>
            </w:pPr>
            <w:r>
              <w:rPr>
                <w:b/>
              </w:rPr>
              <w:t>Document title</w:t>
            </w:r>
          </w:p>
        </w:tc>
      </w:tr>
      <w:tr w:rsidR="008360EC" w:rsidRPr="00C21B27" w14:paraId="6C9C4D39" w14:textId="77777777" w:rsidTr="00C21B27">
        <w:tc>
          <w:tcPr>
            <w:tcW w:w="9327" w:type="dxa"/>
            <w:gridSpan w:val="6"/>
            <w:tcBorders>
              <w:top w:val="single" w:sz="4" w:space="0" w:color="FFFFFF"/>
            </w:tcBorders>
          </w:tcPr>
          <w:p w14:paraId="5462C7EA" w14:textId="77777777" w:rsidR="00590877" w:rsidRPr="00C21B27" w:rsidRDefault="002720F0" w:rsidP="002720F0">
            <w:pPr>
              <w:jc w:val="both"/>
            </w:pPr>
            <w:r>
              <w:t>Implementing Decree of the Ministry of Transport and Construction of the Slovak Republic amending Implementing Decree of the Ministry of Transport, Construction and Regional Development of the Slovak Republic No 162/2013 establishing a list of groups of construction products and systems for assessing their performance, as amended by Implementing Decree No 177/2016.</w:t>
            </w:r>
          </w:p>
        </w:tc>
      </w:tr>
      <w:tr w:rsidR="008360EC" w:rsidRPr="00C21B27" w14:paraId="3FF4174A" w14:textId="77777777" w:rsidTr="00C21B27">
        <w:tc>
          <w:tcPr>
            <w:tcW w:w="9327" w:type="dxa"/>
            <w:gridSpan w:val="6"/>
            <w:tcBorders>
              <w:bottom w:val="single" w:sz="4" w:space="0" w:color="FFFFFF"/>
            </w:tcBorders>
            <w:shd w:val="clear" w:color="auto" w:fill="E2E2E2"/>
          </w:tcPr>
          <w:p w14:paraId="434B6F28" w14:textId="77777777" w:rsidR="008360EC" w:rsidRPr="00C21B27" w:rsidRDefault="008360EC" w:rsidP="0035570A">
            <w:pPr>
              <w:pStyle w:val="ListParagraph"/>
              <w:ind w:left="142"/>
              <w:rPr>
                <w:b/>
              </w:rPr>
            </w:pPr>
            <w:r>
              <w:rPr>
                <w:b/>
              </w:rPr>
              <w:t>Submitter (and co-submitter)</w:t>
            </w:r>
          </w:p>
        </w:tc>
      </w:tr>
      <w:tr w:rsidR="008360EC" w:rsidRPr="00C21B27" w14:paraId="15B9E2C5" w14:textId="77777777" w:rsidTr="00C21B27">
        <w:tc>
          <w:tcPr>
            <w:tcW w:w="9327" w:type="dxa"/>
            <w:gridSpan w:val="6"/>
            <w:tcBorders>
              <w:top w:val="single" w:sz="4" w:space="0" w:color="FFFFFF"/>
            </w:tcBorders>
            <w:shd w:val="clear" w:color="auto" w:fill="FFFFFF"/>
          </w:tcPr>
          <w:p w14:paraId="122E4FD9" w14:textId="77777777" w:rsidR="00590877" w:rsidRPr="00C21B27" w:rsidRDefault="008360EC" w:rsidP="0035570A">
            <w:pPr>
              <w:autoSpaceDE w:val="0"/>
              <w:autoSpaceDN w:val="0"/>
              <w:adjustRightInd w:val="0"/>
            </w:pPr>
            <w:r>
              <w:t>Ministry of Transport and Construction of the Slovak Republic</w:t>
            </w:r>
          </w:p>
        </w:tc>
      </w:tr>
      <w:tr w:rsidR="008360EC" w:rsidRPr="00C21B27" w14:paraId="308A4B21" w14:textId="77777777" w:rsidTr="00C21B27">
        <w:tc>
          <w:tcPr>
            <w:tcW w:w="4359" w:type="dxa"/>
            <w:vMerge w:val="restart"/>
            <w:tcBorders>
              <w:bottom w:val="single" w:sz="4" w:space="0" w:color="FFFFFF"/>
            </w:tcBorders>
            <w:shd w:val="clear" w:color="auto" w:fill="E2E2E2"/>
            <w:vAlign w:val="center"/>
          </w:tcPr>
          <w:p w14:paraId="173D561E" w14:textId="77777777" w:rsidR="008360EC" w:rsidRPr="00C21B27" w:rsidRDefault="008360EC" w:rsidP="0035570A">
            <w:pPr>
              <w:pStyle w:val="ListParagraph"/>
              <w:ind w:left="142"/>
              <w:rPr>
                <w:b/>
              </w:rPr>
            </w:pPr>
            <w:r>
              <w:rPr>
                <w:b/>
              </w:rPr>
              <w:t>Nature of the submitted document</w:t>
            </w:r>
          </w:p>
        </w:tc>
        <w:tc>
          <w:tcPr>
            <w:tcW w:w="705" w:type="dxa"/>
            <w:tcBorders>
              <w:right w:val="nil"/>
            </w:tcBorders>
            <w:shd w:val="clear" w:color="auto" w:fill="FFFFFF"/>
          </w:tcPr>
          <w:p w14:paraId="271D795E" w14:textId="77777777" w:rsidR="008360EC" w:rsidRPr="00C21B27" w:rsidRDefault="00590877" w:rsidP="0035570A">
            <w:pPr>
              <w:jc w:val="center"/>
            </w:pPr>
            <w:r>
              <w:rPr>
                <w:rFonts w:ascii="Segoe UI Symbol" w:hAnsi="Segoe UI Symbol"/>
              </w:rPr>
              <w:t>☐</w:t>
            </w:r>
          </w:p>
        </w:tc>
        <w:tc>
          <w:tcPr>
            <w:tcW w:w="4263" w:type="dxa"/>
            <w:gridSpan w:val="4"/>
            <w:tcBorders>
              <w:left w:val="nil"/>
            </w:tcBorders>
            <w:shd w:val="clear" w:color="auto" w:fill="FFFFFF"/>
          </w:tcPr>
          <w:p w14:paraId="30C5D507" w14:textId="77777777" w:rsidR="008360EC" w:rsidRPr="00C21B27" w:rsidRDefault="008360EC" w:rsidP="0035570A"/>
        </w:tc>
      </w:tr>
      <w:tr w:rsidR="008360EC" w:rsidRPr="00C21B27" w14:paraId="7C9B1427" w14:textId="77777777" w:rsidTr="00C21B27">
        <w:tc>
          <w:tcPr>
            <w:tcW w:w="4359" w:type="dxa"/>
            <w:vMerge/>
            <w:tcBorders>
              <w:top w:val="nil"/>
              <w:bottom w:val="single" w:sz="4" w:space="0" w:color="FFFFFF"/>
            </w:tcBorders>
            <w:shd w:val="clear" w:color="auto" w:fill="E2E2E2"/>
          </w:tcPr>
          <w:p w14:paraId="447105CF" w14:textId="77777777" w:rsidR="008360EC" w:rsidRPr="00C21B27" w:rsidRDefault="008360EC" w:rsidP="0035570A"/>
        </w:tc>
        <w:tc>
          <w:tcPr>
            <w:tcW w:w="705" w:type="dxa"/>
            <w:tcBorders>
              <w:right w:val="nil"/>
            </w:tcBorders>
            <w:shd w:val="clear" w:color="auto" w:fill="FFFFFF"/>
          </w:tcPr>
          <w:p w14:paraId="3EF8A15A" w14:textId="77777777" w:rsidR="008360EC" w:rsidRPr="00C21B27" w:rsidRDefault="00590877" w:rsidP="0035570A">
            <w:pPr>
              <w:jc w:val="center"/>
            </w:pPr>
            <w:r>
              <w:rPr>
                <w:rFonts w:ascii="Segoe UI Symbol" w:hAnsi="Segoe UI Symbol"/>
              </w:rPr>
              <w:t>☒</w:t>
            </w:r>
          </w:p>
        </w:tc>
        <w:tc>
          <w:tcPr>
            <w:tcW w:w="4263" w:type="dxa"/>
            <w:gridSpan w:val="4"/>
            <w:tcBorders>
              <w:left w:val="nil"/>
            </w:tcBorders>
            <w:shd w:val="clear" w:color="auto" w:fill="FFFFFF"/>
          </w:tcPr>
          <w:p w14:paraId="6352DAA7" w14:textId="77777777" w:rsidR="008360EC" w:rsidRPr="00C21B27" w:rsidRDefault="008360EC" w:rsidP="0035570A">
            <w:pPr>
              <w:ind w:left="175" w:hanging="175"/>
            </w:pPr>
            <w:r>
              <w:t>Document of a legislative nature</w:t>
            </w:r>
          </w:p>
        </w:tc>
      </w:tr>
      <w:tr w:rsidR="008360EC" w:rsidRPr="00C21B27" w14:paraId="12733B1A" w14:textId="77777777" w:rsidTr="00C21B27">
        <w:tc>
          <w:tcPr>
            <w:tcW w:w="4359" w:type="dxa"/>
            <w:vMerge/>
            <w:tcBorders>
              <w:top w:val="nil"/>
            </w:tcBorders>
            <w:shd w:val="clear" w:color="auto" w:fill="E2E2E2"/>
          </w:tcPr>
          <w:p w14:paraId="6461140D" w14:textId="77777777" w:rsidR="008360EC" w:rsidRPr="00C21B27" w:rsidRDefault="008360EC" w:rsidP="0035570A"/>
        </w:tc>
        <w:tc>
          <w:tcPr>
            <w:tcW w:w="705" w:type="dxa"/>
            <w:tcBorders>
              <w:right w:val="nil"/>
            </w:tcBorders>
            <w:shd w:val="clear" w:color="auto" w:fill="FFFFFF"/>
          </w:tcPr>
          <w:p w14:paraId="7B4B2889" w14:textId="77777777" w:rsidR="008360EC" w:rsidRPr="00C21B27" w:rsidRDefault="00590877" w:rsidP="0035570A">
            <w:pPr>
              <w:jc w:val="center"/>
            </w:pPr>
            <w:r>
              <w:rPr>
                <w:rFonts w:ascii="Segoe UI Symbol" w:hAnsi="Segoe UI Symbol"/>
              </w:rPr>
              <w:t>☐</w:t>
            </w:r>
          </w:p>
        </w:tc>
        <w:tc>
          <w:tcPr>
            <w:tcW w:w="4263" w:type="dxa"/>
            <w:gridSpan w:val="4"/>
            <w:tcBorders>
              <w:left w:val="nil"/>
            </w:tcBorders>
            <w:shd w:val="clear" w:color="auto" w:fill="FFFFFF"/>
          </w:tcPr>
          <w:p w14:paraId="0D5F0C9A" w14:textId="77777777" w:rsidR="008360EC" w:rsidRPr="00C21B27" w:rsidRDefault="008360EC" w:rsidP="0035570A">
            <w:r>
              <w:t>Transposition of EU law</w:t>
            </w:r>
          </w:p>
        </w:tc>
      </w:tr>
      <w:tr w:rsidR="008360EC" w:rsidRPr="00C21B27" w14:paraId="7BE0CE1E" w14:textId="77777777" w:rsidTr="00C21B27">
        <w:tc>
          <w:tcPr>
            <w:tcW w:w="9327" w:type="dxa"/>
            <w:gridSpan w:val="6"/>
            <w:tcBorders>
              <w:bottom w:val="single" w:sz="4" w:space="0" w:color="FFFFFF"/>
            </w:tcBorders>
            <w:shd w:val="clear" w:color="auto" w:fill="FFFFFF"/>
          </w:tcPr>
          <w:p w14:paraId="69AF0F09" w14:textId="77777777" w:rsidR="00590877" w:rsidRPr="00C21B27" w:rsidRDefault="0021356F" w:rsidP="0021356F">
            <w:pPr>
              <w:rPr>
                <w:color w:val="000000"/>
              </w:rPr>
            </w:pPr>
            <w:r>
              <w:rPr>
                <w:color w:val="000000"/>
              </w:rPr>
              <w:t xml:space="preserve">The draft Implementing Decree does not transpose a legal act of the European Union. </w:t>
            </w:r>
          </w:p>
        </w:tc>
      </w:tr>
      <w:tr w:rsidR="008360EC" w:rsidRPr="00C21B27" w14:paraId="6A954E8B" w14:textId="77777777" w:rsidTr="00C21B27">
        <w:tc>
          <w:tcPr>
            <w:tcW w:w="5781" w:type="dxa"/>
            <w:gridSpan w:val="3"/>
            <w:tcBorders>
              <w:top w:val="single" w:sz="4" w:space="0" w:color="000000"/>
              <w:bottom w:val="single" w:sz="4" w:space="0" w:color="FFFFFF"/>
            </w:tcBorders>
            <w:shd w:val="clear" w:color="auto" w:fill="E2E2E2"/>
          </w:tcPr>
          <w:p w14:paraId="7A504CC8" w14:textId="77777777" w:rsidR="008360EC" w:rsidRPr="00C21B27" w:rsidRDefault="008360EC" w:rsidP="0035570A">
            <w:pPr>
              <w:pStyle w:val="ListParagraph"/>
              <w:ind w:left="142"/>
              <w:rPr>
                <w:b/>
              </w:rPr>
            </w:pPr>
            <w:r>
              <w:rPr>
                <w:b/>
              </w:rPr>
              <w:t>Start and end dates of the preliminary consultation exercise</w:t>
            </w:r>
          </w:p>
          <w:p w14:paraId="759E8678" w14:textId="77777777" w:rsidR="00590877" w:rsidRPr="00C21B27" w:rsidRDefault="00590877" w:rsidP="0035570A">
            <w:pPr>
              <w:pStyle w:val="ListParagraph"/>
              <w:ind w:left="142"/>
              <w:rPr>
                <w:b/>
              </w:rPr>
            </w:pPr>
          </w:p>
        </w:tc>
        <w:tc>
          <w:tcPr>
            <w:tcW w:w="3546" w:type="dxa"/>
            <w:gridSpan w:val="3"/>
            <w:tcBorders>
              <w:top w:val="single" w:sz="4" w:space="0" w:color="000000"/>
            </w:tcBorders>
          </w:tcPr>
          <w:p w14:paraId="5D99A67F" w14:textId="77777777" w:rsidR="008360EC" w:rsidRPr="00C21B27" w:rsidRDefault="008360EC" w:rsidP="0035570A">
            <w:pPr>
              <w:autoSpaceDE w:val="0"/>
              <w:autoSpaceDN w:val="0"/>
              <w:adjustRightInd w:val="0"/>
              <w:rPr>
                <w:i/>
                <w:iCs/>
              </w:rPr>
            </w:pPr>
            <w:r>
              <w:rPr>
                <w:i/>
                <w:iCs/>
              </w:rPr>
              <w:t xml:space="preserve">- </w:t>
            </w:r>
          </w:p>
        </w:tc>
      </w:tr>
      <w:tr w:rsidR="008360EC" w:rsidRPr="00C21B27" w14:paraId="27082E39" w14:textId="77777777" w:rsidTr="00C21B27">
        <w:tc>
          <w:tcPr>
            <w:tcW w:w="5781" w:type="dxa"/>
            <w:gridSpan w:val="3"/>
            <w:tcBorders>
              <w:bottom w:val="single" w:sz="4" w:space="0" w:color="FFFFFF"/>
            </w:tcBorders>
            <w:shd w:val="clear" w:color="auto" w:fill="E2E2E2"/>
          </w:tcPr>
          <w:p w14:paraId="7CF326B9" w14:textId="77777777" w:rsidR="008360EC" w:rsidRPr="00C21B27" w:rsidRDefault="008360EC" w:rsidP="0035570A">
            <w:pPr>
              <w:pStyle w:val="ListParagraph"/>
              <w:ind w:left="142"/>
              <w:rPr>
                <w:b/>
              </w:rPr>
            </w:pPr>
            <w:r>
              <w:rPr>
                <w:b/>
              </w:rPr>
              <w:t>Expected date of submission for the interdepartmental consultation exercise*</w:t>
            </w:r>
          </w:p>
          <w:p w14:paraId="17218D8E" w14:textId="77777777" w:rsidR="00590877" w:rsidRPr="00C21B27" w:rsidRDefault="00590877" w:rsidP="0035570A">
            <w:pPr>
              <w:pStyle w:val="ListParagraph"/>
              <w:ind w:left="142"/>
              <w:rPr>
                <w:b/>
              </w:rPr>
            </w:pPr>
          </w:p>
        </w:tc>
        <w:tc>
          <w:tcPr>
            <w:tcW w:w="3546" w:type="dxa"/>
            <w:gridSpan w:val="3"/>
          </w:tcPr>
          <w:p w14:paraId="7D404E48" w14:textId="77777777" w:rsidR="008360EC" w:rsidRPr="00C21B27" w:rsidRDefault="002720F0" w:rsidP="00573ED1">
            <w:pPr>
              <w:autoSpaceDE w:val="0"/>
              <w:autoSpaceDN w:val="0"/>
              <w:adjustRightInd w:val="0"/>
              <w:rPr>
                <w:i/>
                <w:iCs/>
              </w:rPr>
            </w:pPr>
            <w:r>
              <w:rPr>
                <w:i/>
                <w:iCs/>
              </w:rPr>
              <w:t>May 2019</w:t>
            </w:r>
          </w:p>
        </w:tc>
      </w:tr>
      <w:tr w:rsidR="008360EC" w:rsidRPr="00C21B27" w14:paraId="66BD20D0" w14:textId="77777777" w:rsidTr="00C21B27">
        <w:tc>
          <w:tcPr>
            <w:tcW w:w="5781" w:type="dxa"/>
            <w:gridSpan w:val="3"/>
            <w:tcBorders>
              <w:bottom w:val="single" w:sz="4" w:space="0" w:color="FFFFFF"/>
            </w:tcBorders>
            <w:shd w:val="clear" w:color="auto" w:fill="E2E2E2"/>
          </w:tcPr>
          <w:p w14:paraId="7FE2032A" w14:textId="77777777" w:rsidR="008360EC" w:rsidRPr="00C21B27" w:rsidRDefault="008360EC" w:rsidP="0035570A">
            <w:pPr>
              <w:pStyle w:val="ListParagraph"/>
              <w:ind w:left="142"/>
              <w:rPr>
                <w:b/>
              </w:rPr>
            </w:pPr>
            <w:r>
              <w:rPr>
                <w:b/>
              </w:rPr>
              <w:t>Expected date of submission to a session of the government of the Slovak Republic*</w:t>
            </w:r>
          </w:p>
          <w:p w14:paraId="1CA066E2" w14:textId="77777777" w:rsidR="00590877" w:rsidRPr="00C21B27" w:rsidRDefault="00590877" w:rsidP="0035570A">
            <w:pPr>
              <w:pStyle w:val="ListParagraph"/>
              <w:ind w:left="142"/>
              <w:rPr>
                <w:b/>
              </w:rPr>
            </w:pPr>
          </w:p>
        </w:tc>
        <w:tc>
          <w:tcPr>
            <w:tcW w:w="3546" w:type="dxa"/>
            <w:gridSpan w:val="3"/>
          </w:tcPr>
          <w:p w14:paraId="5097B30F" w14:textId="77777777" w:rsidR="008360EC" w:rsidRPr="00C21B27" w:rsidRDefault="00162E54" w:rsidP="0035570A">
            <w:pPr>
              <w:autoSpaceDE w:val="0"/>
              <w:autoSpaceDN w:val="0"/>
              <w:adjustRightInd w:val="0"/>
              <w:rPr>
                <w:i/>
                <w:iCs/>
              </w:rPr>
            </w:pPr>
            <w:r>
              <w:rPr>
                <w:i/>
                <w:iCs/>
              </w:rPr>
              <w:t>-</w:t>
            </w:r>
          </w:p>
        </w:tc>
      </w:tr>
      <w:tr w:rsidR="008360EC" w:rsidRPr="00C21B27" w14:paraId="2E4C6E36" w14:textId="77777777" w:rsidTr="00C21B27">
        <w:tc>
          <w:tcPr>
            <w:tcW w:w="9327" w:type="dxa"/>
            <w:gridSpan w:val="6"/>
            <w:tcBorders>
              <w:left w:val="nil"/>
              <w:right w:val="nil"/>
            </w:tcBorders>
            <w:shd w:val="clear" w:color="auto" w:fill="FFFFFF"/>
          </w:tcPr>
          <w:p w14:paraId="00A0A7A7" w14:textId="77777777" w:rsidR="008360EC" w:rsidRPr="00C21B27" w:rsidRDefault="008360EC" w:rsidP="0035570A">
            <w:pPr>
              <w:rPr>
                <w:highlight w:val="lightGray"/>
              </w:rPr>
            </w:pPr>
          </w:p>
        </w:tc>
      </w:tr>
      <w:tr w:rsidR="00162E54" w:rsidRPr="00C21B27" w14:paraId="655F6032" w14:textId="77777777" w:rsidTr="00C21B27">
        <w:tc>
          <w:tcPr>
            <w:tcW w:w="9327" w:type="dxa"/>
            <w:gridSpan w:val="6"/>
            <w:tcBorders>
              <w:bottom w:val="single" w:sz="4" w:space="0" w:color="FFFFFF"/>
            </w:tcBorders>
            <w:shd w:val="clear" w:color="auto" w:fill="E2E2E2"/>
          </w:tcPr>
          <w:p w14:paraId="452CDE77" w14:textId="77777777" w:rsidR="008360EC" w:rsidRPr="00C21B27" w:rsidRDefault="008360EC" w:rsidP="008360EC">
            <w:pPr>
              <w:pStyle w:val="ListParagraph"/>
              <w:numPr>
                <w:ilvl w:val="0"/>
                <w:numId w:val="1"/>
              </w:numPr>
              <w:ind w:left="426"/>
              <w:rPr>
                <w:b/>
              </w:rPr>
            </w:pPr>
            <w:r>
              <w:rPr>
                <w:b/>
              </w:rPr>
              <w:t>Definition of the problem</w:t>
            </w:r>
          </w:p>
        </w:tc>
      </w:tr>
      <w:tr w:rsidR="00162E54" w:rsidRPr="00C21B27" w14:paraId="19C19ED6" w14:textId="77777777" w:rsidTr="00C21B27">
        <w:tc>
          <w:tcPr>
            <w:tcW w:w="9327" w:type="dxa"/>
            <w:gridSpan w:val="6"/>
            <w:tcBorders>
              <w:top w:val="single" w:sz="4" w:space="0" w:color="FFFFFF"/>
            </w:tcBorders>
            <w:shd w:val="clear" w:color="auto" w:fill="FFFFFF"/>
          </w:tcPr>
          <w:p w14:paraId="16FA41F9" w14:textId="77777777" w:rsidR="00590877" w:rsidRPr="00C21B27" w:rsidRDefault="00F55B0F" w:rsidP="00164F83">
            <w:pPr>
              <w:jc w:val="both"/>
            </w:pPr>
            <w:r>
              <w:rPr>
                <w:rStyle w:val="PlaceholderText"/>
                <w:color w:val="auto"/>
              </w:rPr>
              <w:t>The currently valid Implementing Decree does not reflect the present situation or requirements for some products in the assessment of the performance of construction products, and it must therefore be updated.</w:t>
            </w:r>
          </w:p>
        </w:tc>
      </w:tr>
      <w:tr w:rsidR="008360EC" w:rsidRPr="00C21B27" w14:paraId="3049C697" w14:textId="77777777" w:rsidTr="00C21B27">
        <w:tc>
          <w:tcPr>
            <w:tcW w:w="9327" w:type="dxa"/>
            <w:gridSpan w:val="6"/>
            <w:tcBorders>
              <w:bottom w:val="nil"/>
            </w:tcBorders>
            <w:shd w:val="clear" w:color="auto" w:fill="E2E2E2"/>
          </w:tcPr>
          <w:p w14:paraId="33F7461E" w14:textId="77777777" w:rsidR="008360EC" w:rsidRPr="00C21B27" w:rsidRDefault="008360EC" w:rsidP="008360EC">
            <w:pPr>
              <w:pStyle w:val="ListParagraph"/>
              <w:numPr>
                <w:ilvl w:val="0"/>
                <w:numId w:val="1"/>
              </w:numPr>
              <w:ind w:left="426"/>
              <w:rPr>
                <w:b/>
              </w:rPr>
            </w:pPr>
            <w:r>
              <w:rPr>
                <w:b/>
              </w:rPr>
              <w:t>Objectives and the desired outcome</w:t>
            </w:r>
          </w:p>
        </w:tc>
      </w:tr>
      <w:tr w:rsidR="00162E54" w:rsidRPr="00C21B27" w14:paraId="52F14C7C" w14:textId="77777777" w:rsidTr="00C21B27">
        <w:tc>
          <w:tcPr>
            <w:tcW w:w="9327" w:type="dxa"/>
            <w:gridSpan w:val="6"/>
            <w:tcBorders>
              <w:top w:val="nil"/>
            </w:tcBorders>
            <w:shd w:val="clear" w:color="auto" w:fill="FFFFFF"/>
          </w:tcPr>
          <w:p w14:paraId="19545298" w14:textId="77777777" w:rsidR="004C0110" w:rsidRPr="00C21B27" w:rsidRDefault="00F637BD" w:rsidP="00917EEC">
            <w:pPr>
              <w:jc w:val="both"/>
            </w:pPr>
            <w:r>
              <w:t>The basic aim of the draft Implementing Decree is to harmonise Annex 1 to the draft Implementing Decree with the adopted delegated acts of the Commission (EU) pursuant to Article 60 of Regulation (EU) No 305/2011 of the European Parliament and of the Council of 9 March 2011 laying down harmonised conditions for the marketing of construction products and repealing Council Directive 89/106/EEC, as amended, and with the applicable technical specifications for assessing the performance of construction products, and to add new groups of construction products, with regard inter alia to the basic requirements for construction works within the meaning of Annex 1 to Regulation (EU) No 305/2011.</w:t>
            </w:r>
          </w:p>
        </w:tc>
      </w:tr>
      <w:tr w:rsidR="008360EC" w:rsidRPr="00C21B27" w14:paraId="1C63EB43" w14:textId="77777777" w:rsidTr="00C21B27">
        <w:tc>
          <w:tcPr>
            <w:tcW w:w="9327" w:type="dxa"/>
            <w:gridSpan w:val="6"/>
            <w:tcBorders>
              <w:bottom w:val="nil"/>
            </w:tcBorders>
            <w:shd w:val="clear" w:color="auto" w:fill="E2E2E2"/>
          </w:tcPr>
          <w:p w14:paraId="0E1024E4" w14:textId="77777777" w:rsidR="008360EC" w:rsidRPr="00C21B27" w:rsidRDefault="008360EC" w:rsidP="008360EC">
            <w:pPr>
              <w:pStyle w:val="ListParagraph"/>
              <w:numPr>
                <w:ilvl w:val="0"/>
                <w:numId w:val="1"/>
              </w:numPr>
              <w:ind w:left="426"/>
              <w:rPr>
                <w:b/>
              </w:rPr>
            </w:pPr>
            <w:r>
              <w:rPr>
                <w:b/>
              </w:rPr>
              <w:t>Stakeholders</w:t>
            </w:r>
          </w:p>
        </w:tc>
      </w:tr>
      <w:tr w:rsidR="00162E54" w:rsidRPr="00C21B27" w14:paraId="3A888065" w14:textId="77777777" w:rsidTr="00C21B27">
        <w:tc>
          <w:tcPr>
            <w:tcW w:w="9327" w:type="dxa"/>
            <w:gridSpan w:val="6"/>
            <w:tcBorders>
              <w:top w:val="nil"/>
            </w:tcBorders>
            <w:shd w:val="clear" w:color="auto" w:fill="FFFFFF"/>
          </w:tcPr>
          <w:p w14:paraId="4045382A" w14:textId="77777777" w:rsidR="00590877" w:rsidRPr="00C21B27" w:rsidRDefault="00471459" w:rsidP="00FF6CF1">
            <w:pPr>
              <w:jc w:val="both"/>
            </w:pPr>
            <w:r>
              <w:t xml:space="preserve">Manufacturers of construction products and their importers and distributors, authorised representatives, and authorised and notified bodies within the meaning of Act No 133/2013 on construction products and on amendments to certain acts, as amended, and Regulation (EU) No 305/2011 of the European Parliament and of the Council laying down harmonised conditions for the marketing of construction products and repealing Council Directive 89/106/EEC, as amended. </w:t>
            </w:r>
          </w:p>
        </w:tc>
      </w:tr>
      <w:tr w:rsidR="008360EC" w:rsidRPr="00C21B27" w14:paraId="561B6DB1" w14:textId="77777777" w:rsidTr="00C21B27">
        <w:tc>
          <w:tcPr>
            <w:tcW w:w="9327" w:type="dxa"/>
            <w:gridSpan w:val="6"/>
            <w:tcBorders>
              <w:bottom w:val="nil"/>
            </w:tcBorders>
            <w:shd w:val="clear" w:color="auto" w:fill="E2E2E2"/>
          </w:tcPr>
          <w:p w14:paraId="21B27411" w14:textId="77777777" w:rsidR="008360EC" w:rsidRPr="00C21B27" w:rsidRDefault="008360EC" w:rsidP="008360EC">
            <w:pPr>
              <w:pStyle w:val="ListParagraph"/>
              <w:numPr>
                <w:ilvl w:val="0"/>
                <w:numId w:val="1"/>
              </w:numPr>
              <w:ind w:left="426"/>
              <w:rPr>
                <w:b/>
              </w:rPr>
            </w:pPr>
            <w:r>
              <w:rPr>
                <w:b/>
              </w:rPr>
              <w:t>Alternative policies</w:t>
            </w:r>
          </w:p>
        </w:tc>
      </w:tr>
      <w:tr w:rsidR="008360EC" w:rsidRPr="00C21B27" w14:paraId="1B27A11C" w14:textId="77777777" w:rsidTr="00C21B27">
        <w:tc>
          <w:tcPr>
            <w:tcW w:w="9327" w:type="dxa"/>
            <w:gridSpan w:val="6"/>
            <w:tcBorders>
              <w:top w:val="nil"/>
            </w:tcBorders>
            <w:shd w:val="clear" w:color="auto" w:fill="FFFFFF"/>
          </w:tcPr>
          <w:p w14:paraId="754BFE02" w14:textId="77777777" w:rsidR="00115C81" w:rsidRPr="00C21B27" w:rsidRDefault="00115C81" w:rsidP="008E3540">
            <w:pPr>
              <w:autoSpaceDE w:val="0"/>
              <w:autoSpaceDN w:val="0"/>
              <w:adjustRightInd w:val="0"/>
              <w:jc w:val="both"/>
            </w:pPr>
            <w:r>
              <w:t xml:space="preserve">An alternative policy is the zero option, which would mean that new categories of construction </w:t>
            </w:r>
            <w:r>
              <w:lastRenderedPageBreak/>
              <w:t>products would not be added to the Implementing Decree – these products would not be included in Annex 1 to the Decree in the list of groups of construction products that are subject to assessment and verification of constancy by the manufacturer of the essential characteristics of properties of construction products, and would not be construction products pursuant to Act No 133/2013 on construction products and on amendments to certain acts, which would result in restrictions on the marketing of these products.</w:t>
            </w:r>
          </w:p>
          <w:p w14:paraId="7F5C8357" w14:textId="77777777" w:rsidR="00BD7F66" w:rsidRPr="00C21B27" w:rsidRDefault="00115C81" w:rsidP="008E3540">
            <w:pPr>
              <w:autoSpaceDE w:val="0"/>
              <w:autoSpaceDN w:val="0"/>
              <w:adjustRightInd w:val="0"/>
              <w:jc w:val="both"/>
            </w:pPr>
            <w:r>
              <w:t>Pursuant to Act No 133/2013 on construction products and on amendments to certain acts, as amended, the Ministry of Transport and Construction of the Slovak Republic is obliged to draw up a list of product groups that are subject to performance assessment together with the relevant performance assessment systems. The current legislation does not contain all the requirements on products, and for this reason it is necessary to make the amendments needed for assessing the performance of construction products.</w:t>
            </w:r>
          </w:p>
        </w:tc>
      </w:tr>
      <w:tr w:rsidR="008360EC" w:rsidRPr="00C21B27" w14:paraId="283829D6" w14:textId="77777777" w:rsidTr="00C21B27">
        <w:tc>
          <w:tcPr>
            <w:tcW w:w="9327" w:type="dxa"/>
            <w:gridSpan w:val="6"/>
            <w:tcBorders>
              <w:bottom w:val="single" w:sz="4" w:space="0" w:color="FFFFFF"/>
            </w:tcBorders>
            <w:shd w:val="clear" w:color="auto" w:fill="E2E2E2"/>
          </w:tcPr>
          <w:p w14:paraId="5A5C766D" w14:textId="77777777" w:rsidR="008360EC" w:rsidRPr="00C21B27" w:rsidRDefault="008360EC" w:rsidP="008360EC">
            <w:pPr>
              <w:pStyle w:val="ListParagraph"/>
              <w:numPr>
                <w:ilvl w:val="0"/>
                <w:numId w:val="1"/>
              </w:numPr>
              <w:ind w:left="426"/>
              <w:rPr>
                <w:b/>
              </w:rPr>
            </w:pPr>
            <w:r>
              <w:rPr>
                <w:b/>
              </w:rPr>
              <w:lastRenderedPageBreak/>
              <w:t>Implementing legislation</w:t>
            </w:r>
          </w:p>
        </w:tc>
      </w:tr>
      <w:tr w:rsidR="008360EC" w:rsidRPr="00C21B27" w14:paraId="399E2FFC" w14:textId="77777777" w:rsidTr="00C21B27">
        <w:tc>
          <w:tcPr>
            <w:tcW w:w="6350" w:type="dxa"/>
            <w:gridSpan w:val="4"/>
            <w:tcBorders>
              <w:top w:val="single" w:sz="4" w:space="0" w:color="FFFFFF"/>
              <w:bottom w:val="nil"/>
              <w:right w:val="nil"/>
            </w:tcBorders>
            <w:shd w:val="clear" w:color="auto" w:fill="FFFFFF"/>
          </w:tcPr>
          <w:p w14:paraId="0DA9C259" w14:textId="77777777" w:rsidR="008360EC" w:rsidRPr="00C21B27" w:rsidRDefault="008360EC" w:rsidP="0035570A">
            <w:pPr>
              <w:rPr>
                <w:i/>
              </w:rPr>
            </w:pPr>
            <w:r>
              <w:rPr>
                <w:i/>
              </w:rPr>
              <w:t>Is implementing legislation expected to be adopted/amended?</w:t>
            </w:r>
          </w:p>
        </w:tc>
        <w:tc>
          <w:tcPr>
            <w:tcW w:w="1417" w:type="dxa"/>
            <w:tcBorders>
              <w:top w:val="single" w:sz="4" w:space="0" w:color="FFFFFF"/>
              <w:left w:val="nil"/>
              <w:bottom w:val="nil"/>
              <w:right w:val="nil"/>
            </w:tcBorders>
            <w:shd w:val="clear" w:color="auto" w:fill="FFFFFF"/>
          </w:tcPr>
          <w:p w14:paraId="44918E5F" w14:textId="77777777" w:rsidR="008360EC" w:rsidRPr="00C21B27" w:rsidRDefault="008360EC" w:rsidP="0035570A">
            <w:pPr>
              <w:jc w:val="center"/>
            </w:pPr>
            <w:r>
              <w:rPr>
                <w:rFonts w:ascii="Segoe UI Symbol" w:hAnsi="Segoe UI Symbol"/>
              </w:rPr>
              <w:t>☐</w:t>
            </w:r>
            <w:r>
              <w:t xml:space="preserve"> Yes</w:t>
            </w:r>
          </w:p>
        </w:tc>
        <w:tc>
          <w:tcPr>
            <w:tcW w:w="1560" w:type="dxa"/>
            <w:tcBorders>
              <w:top w:val="single" w:sz="4" w:space="0" w:color="FFFFFF"/>
              <w:left w:val="nil"/>
              <w:bottom w:val="nil"/>
            </w:tcBorders>
            <w:shd w:val="clear" w:color="auto" w:fill="FFFFFF"/>
          </w:tcPr>
          <w:p w14:paraId="1F0FBBA3" w14:textId="77777777" w:rsidR="008360EC" w:rsidRPr="00C21B27" w:rsidRDefault="008360EC" w:rsidP="0035570A">
            <w:pPr>
              <w:jc w:val="center"/>
            </w:pPr>
            <w:r>
              <w:rPr>
                <w:rFonts w:ascii="Segoe UI Symbol" w:hAnsi="Segoe UI Symbol"/>
              </w:rPr>
              <w:t>☒</w:t>
            </w:r>
            <w:r>
              <w:t xml:space="preserve"> No</w:t>
            </w:r>
          </w:p>
        </w:tc>
      </w:tr>
      <w:tr w:rsidR="008360EC" w:rsidRPr="00C21B27" w14:paraId="171FD2BA" w14:textId="77777777" w:rsidTr="00C21B27">
        <w:tc>
          <w:tcPr>
            <w:tcW w:w="9327" w:type="dxa"/>
            <w:gridSpan w:val="6"/>
            <w:tcBorders>
              <w:top w:val="nil"/>
            </w:tcBorders>
            <w:shd w:val="clear" w:color="auto" w:fill="FFFFFF"/>
          </w:tcPr>
          <w:p w14:paraId="04A3B33D" w14:textId="77777777" w:rsidR="00F27AF2" w:rsidRPr="00C21B27" w:rsidRDefault="00104149" w:rsidP="00917EEC">
            <w:pPr>
              <w:jc w:val="both"/>
            </w:pPr>
            <w:r>
              <w:t xml:space="preserve">No, because this Implementing Decree is a regulation implementing </w:t>
            </w:r>
            <w:r>
              <w:rPr>
                <w:rStyle w:val="PlaceholderText"/>
                <w:color w:val="auto"/>
              </w:rPr>
              <w:t>Act</w:t>
            </w:r>
            <w:r>
              <w:t xml:space="preserve"> No 133/2013 on construction products and on amendments to certain acts, as amended.</w:t>
            </w:r>
          </w:p>
        </w:tc>
      </w:tr>
      <w:tr w:rsidR="008360EC" w:rsidRPr="00C21B27" w14:paraId="5219ED3D" w14:textId="77777777" w:rsidTr="00C21B27">
        <w:tc>
          <w:tcPr>
            <w:tcW w:w="9327" w:type="dxa"/>
            <w:gridSpan w:val="6"/>
            <w:tcBorders>
              <w:bottom w:val="single" w:sz="4" w:space="0" w:color="FFFFFF"/>
            </w:tcBorders>
            <w:shd w:val="clear" w:color="auto" w:fill="E2E2E2"/>
          </w:tcPr>
          <w:p w14:paraId="3AE3D973" w14:textId="77777777" w:rsidR="008360EC" w:rsidRPr="00C21B27" w:rsidRDefault="008360EC" w:rsidP="008360EC">
            <w:pPr>
              <w:pStyle w:val="ListParagraph"/>
              <w:numPr>
                <w:ilvl w:val="0"/>
                <w:numId w:val="1"/>
              </w:numPr>
              <w:ind w:left="426"/>
              <w:rPr>
                <w:b/>
              </w:rPr>
            </w:pPr>
            <w:r>
              <w:rPr>
                <w:b/>
              </w:rPr>
              <w:t xml:space="preserve">Transposition of EU law </w:t>
            </w:r>
          </w:p>
        </w:tc>
      </w:tr>
      <w:tr w:rsidR="008360EC" w:rsidRPr="00C21B27" w14:paraId="23E6E31B" w14:textId="77777777" w:rsidTr="00C21B27">
        <w:tc>
          <w:tcPr>
            <w:tcW w:w="9327" w:type="dxa"/>
            <w:gridSpan w:val="6"/>
            <w:tcBorders>
              <w:top w:val="nil"/>
              <w:left w:val="single" w:sz="4" w:space="0" w:color="000000"/>
              <w:bottom w:val="nil"/>
            </w:tcBorders>
            <w:shd w:val="clear" w:color="auto" w:fill="FFFFFF"/>
          </w:tcPr>
          <w:p w14:paraId="47AF1C8B" w14:textId="77777777" w:rsidR="008360EC" w:rsidRPr="00C21B27" w:rsidRDefault="008360EC" w:rsidP="0035570A">
            <w:pPr>
              <w:autoSpaceDE w:val="0"/>
              <w:autoSpaceDN w:val="0"/>
              <w:adjustRightInd w:val="0"/>
            </w:pPr>
            <w:r>
              <w:t>-</w:t>
            </w:r>
          </w:p>
        </w:tc>
      </w:tr>
      <w:tr w:rsidR="008360EC" w:rsidRPr="00C21B27" w14:paraId="6F9FDD9A" w14:textId="77777777" w:rsidTr="00C21B27">
        <w:tc>
          <w:tcPr>
            <w:tcW w:w="9327" w:type="dxa"/>
            <w:gridSpan w:val="6"/>
            <w:tcBorders>
              <w:bottom w:val="single" w:sz="4" w:space="0" w:color="FFFFFF"/>
            </w:tcBorders>
            <w:shd w:val="clear" w:color="auto" w:fill="E2E2E2"/>
          </w:tcPr>
          <w:p w14:paraId="6BA337C8" w14:textId="77777777" w:rsidR="008360EC" w:rsidRPr="00C21B27" w:rsidRDefault="008360EC" w:rsidP="008360EC">
            <w:pPr>
              <w:pStyle w:val="ListParagraph"/>
              <w:numPr>
                <w:ilvl w:val="0"/>
                <w:numId w:val="1"/>
              </w:numPr>
              <w:ind w:left="426"/>
              <w:rPr>
                <w:b/>
              </w:rPr>
            </w:pPr>
            <w:r>
              <w:rPr>
                <w:b/>
              </w:rPr>
              <w:t>Review of efficiency**</w:t>
            </w:r>
          </w:p>
        </w:tc>
      </w:tr>
      <w:tr w:rsidR="008360EC" w:rsidRPr="00C21B27" w14:paraId="5EED56E5" w14:textId="77777777" w:rsidTr="00C21B27">
        <w:tc>
          <w:tcPr>
            <w:tcW w:w="9327" w:type="dxa"/>
            <w:gridSpan w:val="6"/>
            <w:tcBorders>
              <w:top w:val="single" w:sz="4" w:space="0" w:color="FFFFFF"/>
            </w:tcBorders>
            <w:shd w:val="clear" w:color="auto" w:fill="FFFFFF"/>
          </w:tcPr>
          <w:p w14:paraId="63055727" w14:textId="77777777" w:rsidR="008360EC" w:rsidRPr="00C21B27" w:rsidRDefault="00573ED1" w:rsidP="0035570A">
            <w:pPr>
              <w:rPr>
                <w:i/>
              </w:rPr>
            </w:pPr>
            <w:r>
              <w:t>No review of the efficiency of the draft Implementing Decree is envisaged.</w:t>
            </w:r>
          </w:p>
        </w:tc>
      </w:tr>
      <w:tr w:rsidR="008360EC" w:rsidRPr="00C21B27" w14:paraId="67D6678E" w14:textId="77777777" w:rsidTr="00C21B27">
        <w:tc>
          <w:tcPr>
            <w:tcW w:w="9327" w:type="dxa"/>
            <w:gridSpan w:val="6"/>
            <w:tcBorders>
              <w:top w:val="nil"/>
              <w:left w:val="nil"/>
              <w:right w:val="nil"/>
            </w:tcBorders>
            <w:shd w:val="clear" w:color="auto" w:fill="FFFFFF"/>
          </w:tcPr>
          <w:p w14:paraId="522B8654" w14:textId="77777777" w:rsidR="008360EC" w:rsidRPr="00C21B27" w:rsidRDefault="008360EC" w:rsidP="0035570A">
            <w:pPr>
              <w:rPr>
                <w:highlight w:val="lightGray"/>
              </w:rPr>
            </w:pPr>
          </w:p>
          <w:tbl>
            <w:tblPr>
              <w:tblW w:w="921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637"/>
              <w:gridCol w:w="1819"/>
              <w:gridCol w:w="1819"/>
              <w:gridCol w:w="1939"/>
            </w:tblGrid>
            <w:tr w:rsidR="00FF6CF1" w:rsidRPr="00C21B27" w14:paraId="58F8A767" w14:textId="77777777" w:rsidTr="00FF6CF1">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6ACD1702" w14:textId="77777777" w:rsidR="00FF6CF1" w:rsidRPr="00C21B27" w:rsidRDefault="00FF6CF1" w:rsidP="00726929">
                  <w:pPr>
                    <w:pStyle w:val="ListParagraph"/>
                    <w:numPr>
                      <w:ilvl w:val="0"/>
                      <w:numId w:val="1"/>
                    </w:numPr>
                    <w:ind w:left="426"/>
                    <w:rPr>
                      <w:b/>
                      <w:bCs/>
                    </w:rPr>
                  </w:pPr>
                  <w:r>
                    <w:rPr>
                      <w:b/>
                      <w:bCs/>
                    </w:rPr>
                    <w:t>Impact of the proposed document</w:t>
                  </w:r>
                </w:p>
              </w:tc>
            </w:tr>
            <w:tr w:rsidR="00FF6CF1" w:rsidRPr="00C21B27" w14:paraId="6DA18D67" w14:textId="77777777" w:rsidTr="00FF6CF1">
              <w:trPr>
                <w:trHeight w:val="270"/>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63B0809" w14:textId="77777777" w:rsidR="00726929" w:rsidRPr="00C21B27" w:rsidRDefault="00FF6CF1" w:rsidP="00726929">
                  <w:pPr>
                    <w:ind w:firstLine="120"/>
                    <w:rPr>
                      <w:b/>
                      <w:bCs/>
                    </w:rPr>
                  </w:pPr>
                  <w:r>
                    <w:rPr>
                      <w:b/>
                      <w:bCs/>
                    </w:rPr>
                    <w:t>Impact on the general government budget</w:t>
                  </w:r>
                </w:p>
                <w:p w14:paraId="31B03782" w14:textId="77777777" w:rsidR="00FF6CF1" w:rsidRPr="00C21B27" w:rsidRDefault="00FF6CF1" w:rsidP="00726929">
                  <w:pPr>
                    <w:ind w:firstLine="240"/>
                  </w:pPr>
                  <w:r>
                    <w:t>of which has an unequivocal budgetary impact</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504E41D4"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6540466B"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6DDA5FFE" w14:textId="77777777" w:rsidR="00FF6CF1" w:rsidRPr="00C21B27" w:rsidRDefault="00726929" w:rsidP="00726929">
                  <w:pPr>
                    <w:tabs>
                      <w:tab w:val="left" w:pos="612"/>
                    </w:tabs>
                  </w:pPr>
                  <w:r>
                    <w:tab/>
                    <w:t>Negative</w:t>
                  </w:r>
                </w:p>
              </w:tc>
            </w:tr>
            <w:tr w:rsidR="00FF6CF1" w:rsidRPr="00C21B27" w14:paraId="635DE878" w14:textId="77777777" w:rsidTr="00FF6CF1">
              <w:trPr>
                <w:trHeight w:val="270"/>
                <w:jc w:val="center"/>
              </w:trPr>
              <w:tc>
                <w:tcPr>
                  <w:tcW w:w="1974" w:type="pct"/>
                  <w:vMerge/>
                  <w:tcBorders>
                    <w:top w:val="outset" w:sz="6" w:space="0" w:color="000000"/>
                    <w:left w:val="outset" w:sz="6" w:space="0" w:color="000000"/>
                    <w:bottom w:val="outset" w:sz="6" w:space="0" w:color="000000"/>
                    <w:right w:val="outset" w:sz="6" w:space="0" w:color="000000"/>
                  </w:tcBorders>
                  <w:vAlign w:val="center"/>
                  <w:hideMark/>
                </w:tcPr>
                <w:p w14:paraId="69BAAB9D" w14:textId="77777777" w:rsidR="00FF6CF1" w:rsidRPr="00C21B27" w:rsidRDefault="00FF6CF1" w:rsidP="00FF6CF1"/>
              </w:tc>
              <w:tc>
                <w:tcPr>
                  <w:tcW w:w="987" w:type="pct"/>
                  <w:tcBorders>
                    <w:top w:val="outset" w:sz="6" w:space="0" w:color="000000"/>
                    <w:left w:val="outset" w:sz="6" w:space="0" w:color="000000"/>
                    <w:bottom w:val="outset" w:sz="6" w:space="0" w:color="000000"/>
                    <w:right w:val="outset" w:sz="6" w:space="0" w:color="000000"/>
                  </w:tcBorders>
                  <w:vAlign w:val="center"/>
                  <w:hideMark/>
                </w:tcPr>
                <w:p w14:paraId="3956A856" w14:textId="77777777" w:rsidR="00FF6CF1" w:rsidRPr="00C21B27" w:rsidRDefault="00726929" w:rsidP="00726929">
                  <w:pPr>
                    <w:tabs>
                      <w:tab w:val="left" w:pos="612"/>
                    </w:tabs>
                  </w:pPr>
                  <w:r>
                    <w:tab/>
                    <w:t>Yes</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4C84C036" w14:textId="77777777" w:rsidR="00FF6CF1" w:rsidRPr="00C21B27" w:rsidRDefault="00726929" w:rsidP="00726929">
                  <w:pPr>
                    <w:tabs>
                      <w:tab w:val="left" w:pos="612"/>
                    </w:tabs>
                  </w:pPr>
                  <w:r>
                    <w:tab/>
                    <w:t>No</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1BCEB0B6" w14:textId="77777777" w:rsidR="00FF6CF1" w:rsidRPr="00C21B27" w:rsidRDefault="00726929" w:rsidP="00726929">
                  <w:pPr>
                    <w:tabs>
                      <w:tab w:val="left" w:pos="612"/>
                    </w:tabs>
                  </w:pPr>
                  <w:r>
                    <w:tab/>
                    <w:t>Partial</w:t>
                  </w:r>
                </w:p>
              </w:tc>
            </w:tr>
            <w:tr w:rsidR="00FF6CF1" w:rsidRPr="00C21B27" w14:paraId="722DCAFF" w14:textId="7777777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D9D9D9"/>
                  <w:vAlign w:val="center"/>
                </w:tcPr>
                <w:p w14:paraId="24AC1FD5" w14:textId="77777777" w:rsidR="00FF6CF1" w:rsidRPr="00C21B27" w:rsidRDefault="00FF6CF1" w:rsidP="00726929">
                  <w:pPr>
                    <w:ind w:firstLine="120"/>
                    <w:rPr>
                      <w:b/>
                    </w:rPr>
                  </w:pPr>
                  <w:r>
                    <w:rPr>
                      <w:b/>
                    </w:rPr>
                    <w:t>Impact on marriage, parenthood and the family</w:t>
                  </w:r>
                </w:p>
              </w:tc>
              <w:tc>
                <w:tcPr>
                  <w:tcW w:w="987" w:type="pct"/>
                  <w:tcBorders>
                    <w:top w:val="outset" w:sz="6" w:space="0" w:color="000000"/>
                    <w:left w:val="outset" w:sz="6" w:space="0" w:color="000000"/>
                    <w:bottom w:val="outset" w:sz="6" w:space="0" w:color="000000"/>
                    <w:right w:val="outset" w:sz="6" w:space="0" w:color="000000"/>
                  </w:tcBorders>
                  <w:vAlign w:val="center"/>
                </w:tcPr>
                <w:p w14:paraId="7A4DF8DB"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tcPr>
                <w:p w14:paraId="1C50D888"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tcPr>
                <w:p w14:paraId="648F8D54" w14:textId="77777777" w:rsidR="00FF6CF1" w:rsidRPr="00C21B27" w:rsidRDefault="00726929" w:rsidP="00726929">
                  <w:pPr>
                    <w:tabs>
                      <w:tab w:val="left" w:pos="612"/>
                    </w:tabs>
                  </w:pPr>
                  <w:r>
                    <w:tab/>
                    <w:t>Negative</w:t>
                  </w:r>
                </w:p>
              </w:tc>
            </w:tr>
            <w:tr w:rsidR="00FF6CF1" w:rsidRPr="00C21B27" w14:paraId="522F5EDA" w14:textId="77777777" w:rsidTr="00FF6CF1">
              <w:trPr>
                <w:trHeight w:val="270"/>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D17FA9" w14:textId="77777777" w:rsidR="00726929" w:rsidRPr="00C21B27" w:rsidRDefault="00FF6CF1" w:rsidP="00726929">
                  <w:pPr>
                    <w:ind w:firstLine="120"/>
                    <w:rPr>
                      <w:b/>
                      <w:bCs/>
                    </w:rPr>
                  </w:pPr>
                  <w:r>
                    <w:rPr>
                      <w:b/>
                      <w:bCs/>
                    </w:rPr>
                    <w:t>Impact on the business environment</w:t>
                  </w:r>
                </w:p>
                <w:p w14:paraId="3D1B6D4E" w14:textId="77777777" w:rsidR="00FF6CF1" w:rsidRPr="00C21B27" w:rsidRDefault="00FF6CF1" w:rsidP="00726929">
                  <w:pPr>
                    <w:ind w:firstLine="240"/>
                  </w:pPr>
                  <w:r>
                    <w:t>of which impact on SMEs</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603D2D4A" w14:textId="77777777" w:rsidR="00FF6CF1" w:rsidRPr="00C21B27" w:rsidRDefault="00726929" w:rsidP="00726929">
                  <w:pPr>
                    <w:tabs>
                      <w:tab w:val="left" w:pos="143"/>
                      <w:tab w:val="left" w:pos="593"/>
                    </w:tabs>
                  </w:pPr>
                  <w:r>
                    <w:tab/>
                    <w:t>x</w:t>
                  </w: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25FF5590" w14:textId="77777777" w:rsidR="00FF6CF1" w:rsidRPr="00C21B27" w:rsidRDefault="00726929" w:rsidP="00726929">
                  <w:pPr>
                    <w:tabs>
                      <w:tab w:val="left" w:pos="612"/>
                    </w:tabs>
                  </w:pP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4F823B72" w14:textId="77777777" w:rsidR="00FF6CF1" w:rsidRPr="00C21B27" w:rsidRDefault="00726929" w:rsidP="00726929">
                  <w:pPr>
                    <w:tabs>
                      <w:tab w:val="left" w:pos="143"/>
                      <w:tab w:val="left" w:pos="593"/>
                    </w:tabs>
                  </w:pPr>
                  <w:r>
                    <w:tab/>
                    <w:t>x</w:t>
                  </w:r>
                  <w:r>
                    <w:tab/>
                    <w:t>Negative</w:t>
                  </w:r>
                </w:p>
              </w:tc>
            </w:tr>
            <w:tr w:rsidR="001B7E87" w:rsidRPr="00C21B27" w14:paraId="7F147452" w14:textId="77777777" w:rsidTr="00FF6CF1">
              <w:trPr>
                <w:trHeight w:val="270"/>
                <w:jc w:val="center"/>
              </w:trPr>
              <w:tc>
                <w:tcPr>
                  <w:tcW w:w="1974" w:type="pct"/>
                  <w:vMerge/>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E56B43F" w14:textId="77777777" w:rsidR="001B7E87" w:rsidRPr="00C21B27" w:rsidRDefault="001B7E87" w:rsidP="001B7E87"/>
              </w:tc>
              <w:tc>
                <w:tcPr>
                  <w:tcW w:w="987" w:type="pct"/>
                  <w:tcBorders>
                    <w:top w:val="outset" w:sz="6" w:space="0" w:color="000000"/>
                    <w:left w:val="outset" w:sz="6" w:space="0" w:color="000000"/>
                    <w:bottom w:val="outset" w:sz="6" w:space="0" w:color="000000"/>
                    <w:right w:val="outset" w:sz="6" w:space="0" w:color="000000"/>
                  </w:tcBorders>
                  <w:vAlign w:val="center"/>
                  <w:hideMark/>
                </w:tcPr>
                <w:p w14:paraId="5F4DDA08" w14:textId="77777777" w:rsidR="001B7E87" w:rsidRPr="00C21B27" w:rsidRDefault="00726929" w:rsidP="00726929">
                  <w:pPr>
                    <w:tabs>
                      <w:tab w:val="left" w:pos="143"/>
                      <w:tab w:val="left" w:pos="593"/>
                    </w:tabs>
                  </w:pPr>
                  <w:r>
                    <w:tab/>
                    <w:t>x</w:t>
                  </w: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48B25C91" w14:textId="77777777" w:rsidR="001B7E87" w:rsidRPr="00C21B27" w:rsidRDefault="00726929" w:rsidP="00726929">
                  <w:pPr>
                    <w:tabs>
                      <w:tab w:val="left" w:pos="612"/>
                    </w:tabs>
                  </w:pP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7D960395" w14:textId="77777777" w:rsidR="001B7E87" w:rsidRPr="00C21B27" w:rsidRDefault="00726929" w:rsidP="00726929">
                  <w:pPr>
                    <w:tabs>
                      <w:tab w:val="left" w:pos="143"/>
                      <w:tab w:val="left" w:pos="593"/>
                    </w:tabs>
                  </w:pPr>
                  <w:r>
                    <w:tab/>
                    <w:t>x</w:t>
                  </w:r>
                  <w:r>
                    <w:tab/>
                    <w:t>Negative</w:t>
                  </w:r>
                </w:p>
              </w:tc>
            </w:tr>
            <w:tr w:rsidR="00FF6CF1" w:rsidRPr="00C21B27" w14:paraId="04B8430B" w14:textId="7777777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EBF5E1B" w14:textId="77777777" w:rsidR="00FF6CF1" w:rsidRPr="00C21B27" w:rsidRDefault="00FF6CF1" w:rsidP="00726929">
                  <w:pPr>
                    <w:ind w:firstLine="120"/>
                    <w:rPr>
                      <w:b/>
                    </w:rPr>
                  </w:pPr>
                  <w:r>
                    <w:rPr>
                      <w:b/>
                      <w:bCs/>
                    </w:rPr>
                    <w:t>Social impacts</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1E8A1671"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328B9E5B"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3146D077" w14:textId="77777777" w:rsidR="00FF6CF1" w:rsidRPr="00C21B27" w:rsidRDefault="00726929" w:rsidP="00726929">
                  <w:pPr>
                    <w:tabs>
                      <w:tab w:val="left" w:pos="612"/>
                    </w:tabs>
                  </w:pPr>
                  <w:r>
                    <w:tab/>
                    <w:t>Negative</w:t>
                  </w:r>
                </w:p>
              </w:tc>
            </w:tr>
            <w:tr w:rsidR="00FF6CF1" w:rsidRPr="00C21B27" w14:paraId="77A76AB5" w14:textId="7777777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BF0C05C" w14:textId="77777777" w:rsidR="00FF6CF1" w:rsidRPr="00C21B27" w:rsidRDefault="00FF6CF1" w:rsidP="00726929">
                  <w:pPr>
                    <w:ind w:firstLine="120"/>
                    <w:rPr>
                      <w:b/>
                    </w:rPr>
                  </w:pPr>
                  <w:r>
                    <w:rPr>
                      <w:b/>
                      <w:bCs/>
                    </w:rPr>
                    <w:t>Environmental impacts</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4E104836"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61AF21B2"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16ACA0F4" w14:textId="77777777" w:rsidR="00FF6CF1" w:rsidRPr="00C21B27" w:rsidRDefault="00726929" w:rsidP="00726929">
                  <w:pPr>
                    <w:tabs>
                      <w:tab w:val="left" w:pos="612"/>
                    </w:tabs>
                  </w:pPr>
                  <w:r>
                    <w:tab/>
                    <w:t>Negative</w:t>
                  </w:r>
                </w:p>
              </w:tc>
            </w:tr>
            <w:tr w:rsidR="00FF6CF1" w:rsidRPr="00C21B27" w14:paraId="1343B6D8" w14:textId="77777777"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CB59930" w14:textId="77777777" w:rsidR="00FF6CF1" w:rsidRPr="00C21B27" w:rsidRDefault="00FF6CF1" w:rsidP="00726929">
                  <w:pPr>
                    <w:ind w:firstLine="120"/>
                    <w:rPr>
                      <w:b/>
                    </w:rPr>
                  </w:pPr>
                  <w:r>
                    <w:rPr>
                      <w:b/>
                      <w:bCs/>
                    </w:rPr>
                    <w:t>Impact related to the information society</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0DC2B4F6"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01A4F1DA"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2FDED951" w14:textId="77777777" w:rsidR="00FF6CF1" w:rsidRPr="00C21B27" w:rsidRDefault="00726929" w:rsidP="00726929">
                  <w:pPr>
                    <w:tabs>
                      <w:tab w:val="left" w:pos="612"/>
                    </w:tabs>
                  </w:pPr>
                  <w:r>
                    <w:tab/>
                    <w:t>Negative</w:t>
                  </w:r>
                </w:p>
              </w:tc>
            </w:tr>
            <w:tr w:rsidR="00FF6CF1" w:rsidRPr="00C21B27" w14:paraId="07D506E2" w14:textId="77777777" w:rsidTr="00FF6CF1">
              <w:trPr>
                <w:trHeight w:val="675"/>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7CA4736" w14:textId="77777777" w:rsidR="00726929" w:rsidRPr="00C21B27" w:rsidRDefault="00FF6CF1" w:rsidP="00726929">
                  <w:pPr>
                    <w:ind w:firstLine="120"/>
                    <w:rPr>
                      <w:b/>
                      <w:bCs/>
                    </w:rPr>
                  </w:pPr>
                  <w:r>
                    <w:rPr>
                      <w:b/>
                      <w:bCs/>
                    </w:rPr>
                    <w:t>Impact on public services, of which</w:t>
                  </w:r>
                </w:p>
                <w:p w14:paraId="161AB06F" w14:textId="77777777" w:rsidR="00726929" w:rsidRPr="00C21B27" w:rsidRDefault="00FF6CF1" w:rsidP="00726929">
                  <w:pPr>
                    <w:ind w:firstLine="240"/>
                  </w:pPr>
                  <w:r>
                    <w:t>impact on public administration services for the citizen</w:t>
                  </w:r>
                </w:p>
                <w:p w14:paraId="18EF4AEF" w14:textId="77777777" w:rsidR="00726929" w:rsidRPr="00C21B27" w:rsidRDefault="00FF6CF1" w:rsidP="00726929">
                  <w:pPr>
                    <w:ind w:firstLine="240"/>
                  </w:pPr>
                  <w:r>
                    <w:t>impact on public service processes</w:t>
                  </w:r>
                </w:p>
                <w:p w14:paraId="2F1A8249" w14:textId="77777777" w:rsidR="00FF6CF1" w:rsidRPr="00C21B27" w:rsidRDefault="00FF6CF1" w:rsidP="00726929">
                  <w:pPr>
                    <w:ind w:firstLine="240"/>
                  </w:pPr>
                  <w:r>
                    <w:t>report</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27050958"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0744367F"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5EEB66D6" w14:textId="77777777" w:rsidR="00FF6CF1" w:rsidRPr="00C21B27" w:rsidRDefault="00726929" w:rsidP="00726929">
                  <w:pPr>
                    <w:tabs>
                      <w:tab w:val="left" w:pos="612"/>
                    </w:tabs>
                  </w:pPr>
                  <w:r>
                    <w:tab/>
                    <w:t>Negative</w:t>
                  </w:r>
                </w:p>
              </w:tc>
            </w:tr>
            <w:tr w:rsidR="00FF6CF1" w:rsidRPr="00C21B27" w14:paraId="334E3F86" w14:textId="77777777" w:rsidTr="00FF6CF1">
              <w:trPr>
                <w:trHeight w:val="150"/>
                <w:jc w:val="center"/>
              </w:trPr>
              <w:tc>
                <w:tcPr>
                  <w:tcW w:w="1974" w:type="pct"/>
                  <w:vMerge/>
                  <w:tcBorders>
                    <w:top w:val="outset" w:sz="6" w:space="0" w:color="000000"/>
                    <w:left w:val="outset" w:sz="6" w:space="0" w:color="000000"/>
                    <w:bottom w:val="outset" w:sz="6" w:space="0" w:color="000000"/>
                    <w:right w:val="outset" w:sz="6" w:space="0" w:color="000000"/>
                  </w:tcBorders>
                  <w:vAlign w:val="center"/>
                  <w:hideMark/>
                </w:tcPr>
                <w:p w14:paraId="1275D3E3" w14:textId="77777777" w:rsidR="00FF6CF1" w:rsidRPr="00C21B27" w:rsidRDefault="00FF6CF1" w:rsidP="00FF6CF1"/>
              </w:tc>
              <w:tc>
                <w:tcPr>
                  <w:tcW w:w="987" w:type="pct"/>
                  <w:tcBorders>
                    <w:top w:val="outset" w:sz="6" w:space="0" w:color="000000"/>
                    <w:left w:val="outset" w:sz="6" w:space="0" w:color="000000"/>
                    <w:bottom w:val="outset" w:sz="6" w:space="0" w:color="000000"/>
                    <w:right w:val="outset" w:sz="6" w:space="0" w:color="000000"/>
                  </w:tcBorders>
                  <w:vAlign w:val="center"/>
                  <w:hideMark/>
                </w:tcPr>
                <w:p w14:paraId="4D4E5F64" w14:textId="77777777" w:rsidR="00FF6CF1" w:rsidRPr="00C21B27" w:rsidRDefault="00726929" w:rsidP="00726929">
                  <w:pPr>
                    <w:tabs>
                      <w:tab w:val="left" w:pos="612"/>
                    </w:tabs>
                  </w:pPr>
                  <w:r>
                    <w:tab/>
                    <w:t>Positive</w:t>
                  </w:r>
                </w:p>
              </w:tc>
              <w:tc>
                <w:tcPr>
                  <w:tcW w:w="987" w:type="pct"/>
                  <w:tcBorders>
                    <w:top w:val="outset" w:sz="6" w:space="0" w:color="000000"/>
                    <w:left w:val="outset" w:sz="6" w:space="0" w:color="000000"/>
                    <w:bottom w:val="outset" w:sz="6" w:space="0" w:color="000000"/>
                    <w:right w:val="outset" w:sz="6" w:space="0" w:color="000000"/>
                  </w:tcBorders>
                  <w:vAlign w:val="center"/>
                  <w:hideMark/>
                </w:tcPr>
                <w:p w14:paraId="52AE5472" w14:textId="77777777" w:rsidR="00FF6CF1" w:rsidRPr="00C21B27" w:rsidRDefault="00726929" w:rsidP="00726929">
                  <w:pPr>
                    <w:tabs>
                      <w:tab w:val="left" w:pos="143"/>
                      <w:tab w:val="left" w:pos="593"/>
                    </w:tabs>
                  </w:pPr>
                  <w:r>
                    <w:tab/>
                    <w:t>x</w:t>
                  </w:r>
                  <w:r>
                    <w:tab/>
                    <w:t>None</w:t>
                  </w:r>
                </w:p>
              </w:tc>
              <w:tc>
                <w:tcPr>
                  <w:tcW w:w="1052" w:type="pct"/>
                  <w:tcBorders>
                    <w:top w:val="outset" w:sz="6" w:space="0" w:color="000000"/>
                    <w:left w:val="outset" w:sz="6" w:space="0" w:color="000000"/>
                    <w:bottom w:val="outset" w:sz="6" w:space="0" w:color="000000"/>
                    <w:right w:val="outset" w:sz="6" w:space="0" w:color="000000"/>
                  </w:tcBorders>
                  <w:vAlign w:val="center"/>
                  <w:hideMark/>
                </w:tcPr>
                <w:p w14:paraId="04EA8072" w14:textId="77777777" w:rsidR="00FF6CF1" w:rsidRPr="00C21B27" w:rsidRDefault="00726929" w:rsidP="00726929">
                  <w:pPr>
                    <w:tabs>
                      <w:tab w:val="left" w:pos="612"/>
                    </w:tabs>
                  </w:pPr>
                  <w:r>
                    <w:tab/>
                    <w:t>Negative</w:t>
                  </w:r>
                </w:p>
              </w:tc>
            </w:tr>
          </w:tbl>
          <w:p w14:paraId="5BE7D4AA" w14:textId="77777777" w:rsidR="00FF6CF1" w:rsidRPr="00C21B27" w:rsidRDefault="00FF6CF1" w:rsidP="0035570A">
            <w:pPr>
              <w:rPr>
                <w:highlight w:val="lightGray"/>
              </w:rPr>
            </w:pPr>
          </w:p>
        </w:tc>
      </w:tr>
    </w:tbl>
    <w:p w14:paraId="274F9EB6" w14:textId="77777777" w:rsidR="008360EC" w:rsidRPr="00C21B27" w:rsidRDefault="008360EC" w:rsidP="008360EC">
      <w:pPr>
        <w:ind w:right="141"/>
        <w:rPr>
          <w:b/>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8360EC" w:rsidRPr="00C21B27" w14:paraId="6F6634C6" w14:textId="77777777" w:rsidTr="00C21B27">
        <w:tc>
          <w:tcPr>
            <w:tcW w:w="9210" w:type="dxa"/>
            <w:tcBorders>
              <w:bottom w:val="nil"/>
            </w:tcBorders>
            <w:shd w:val="clear" w:color="auto" w:fill="E2E2E2"/>
          </w:tcPr>
          <w:p w14:paraId="348863B7" w14:textId="77777777" w:rsidR="008360EC" w:rsidRPr="00C21B27" w:rsidRDefault="008360EC" w:rsidP="00C21B27">
            <w:pPr>
              <w:pStyle w:val="ListParagraph"/>
              <w:numPr>
                <w:ilvl w:val="0"/>
                <w:numId w:val="5"/>
              </w:numPr>
              <w:ind w:left="426"/>
              <w:rPr>
                <w:b/>
              </w:rPr>
            </w:pPr>
            <w:r>
              <w:rPr>
                <w:b/>
              </w:rPr>
              <w:t>Notes</w:t>
            </w:r>
          </w:p>
        </w:tc>
      </w:tr>
      <w:tr w:rsidR="008360EC" w:rsidRPr="00C21B27" w14:paraId="073314BA" w14:textId="77777777" w:rsidTr="00C21B27">
        <w:tc>
          <w:tcPr>
            <w:tcW w:w="9210" w:type="dxa"/>
            <w:tcBorders>
              <w:top w:val="nil"/>
              <w:bottom w:val="single" w:sz="4" w:space="0" w:color="FFFFFF"/>
            </w:tcBorders>
          </w:tcPr>
          <w:p w14:paraId="3F039334" w14:textId="77777777" w:rsidR="008360EC" w:rsidRPr="00C21B27" w:rsidRDefault="008360EC" w:rsidP="0035570A">
            <w:pPr>
              <w:jc w:val="both"/>
            </w:pPr>
            <w:r>
              <w:t>-</w:t>
            </w:r>
          </w:p>
        </w:tc>
      </w:tr>
      <w:tr w:rsidR="008360EC" w:rsidRPr="00C21B27" w14:paraId="45187494" w14:textId="77777777" w:rsidTr="00C21B27">
        <w:tc>
          <w:tcPr>
            <w:tcW w:w="9210" w:type="dxa"/>
            <w:tcBorders>
              <w:bottom w:val="single" w:sz="4" w:space="0" w:color="FFFFFF"/>
            </w:tcBorders>
            <w:shd w:val="clear" w:color="auto" w:fill="E2E2E2"/>
          </w:tcPr>
          <w:p w14:paraId="4DAEC716" w14:textId="77777777" w:rsidR="008360EC" w:rsidRPr="00C21B27" w:rsidRDefault="008360EC" w:rsidP="00B308B4">
            <w:pPr>
              <w:pStyle w:val="ListParagraph"/>
              <w:numPr>
                <w:ilvl w:val="0"/>
                <w:numId w:val="5"/>
              </w:numPr>
              <w:ind w:left="426"/>
              <w:rPr>
                <w:b/>
              </w:rPr>
            </w:pPr>
            <w:r>
              <w:rPr>
                <w:b/>
              </w:rPr>
              <w:t>Contact details of the author</w:t>
            </w:r>
          </w:p>
        </w:tc>
      </w:tr>
      <w:tr w:rsidR="008360EC" w:rsidRPr="00C21B27" w14:paraId="2F0C1D11" w14:textId="77777777" w:rsidTr="00C21B27">
        <w:tc>
          <w:tcPr>
            <w:tcW w:w="9210" w:type="dxa"/>
            <w:tcBorders>
              <w:top w:val="single" w:sz="4" w:space="0" w:color="FFFFFF"/>
            </w:tcBorders>
            <w:shd w:val="clear" w:color="auto" w:fill="FFFFFF"/>
          </w:tcPr>
          <w:p w14:paraId="563D2695" w14:textId="77777777" w:rsidR="008360EC" w:rsidRPr="00C21B27" w:rsidRDefault="008360EC" w:rsidP="0035570A">
            <w:r>
              <w:t>Ministry of Transport and Construction of the Slovak Republic</w:t>
            </w:r>
          </w:p>
          <w:p w14:paraId="02FE13A6" w14:textId="77777777" w:rsidR="008360EC" w:rsidRPr="00C21B27" w:rsidRDefault="008360EC" w:rsidP="0035570A">
            <w:r>
              <w:t>Construction Section</w:t>
            </w:r>
          </w:p>
          <w:p w14:paraId="684481E5" w14:textId="77777777" w:rsidR="00B512F3" w:rsidRPr="00C21B27" w:rsidRDefault="002720F0" w:rsidP="0035570A">
            <w:r>
              <w:lastRenderedPageBreak/>
              <w:t>Construction Department</w:t>
            </w:r>
          </w:p>
          <w:p w14:paraId="2738300C" w14:textId="4F2B802E" w:rsidR="00590877" w:rsidRPr="00C21B27" w:rsidRDefault="00B512F3" w:rsidP="002720F0">
            <w:r>
              <w:t xml:space="preserve">Ing. Katarína Bzovská – </w:t>
            </w:r>
            <w:hyperlink r:id="rId9" w:history="1">
              <w:r>
                <w:rPr>
                  <w:rStyle w:val="Hyperlink"/>
                </w:rPr>
                <w:t>katarina.bzovska@mindop.sk</w:t>
              </w:r>
            </w:hyperlink>
          </w:p>
          <w:p w14:paraId="3197FE86" w14:textId="77777777" w:rsidR="00041EBB" w:rsidRPr="00C21B27" w:rsidRDefault="002720F0" w:rsidP="002720F0">
            <w:r>
              <w:t xml:space="preserve">JUDr. Alexandra Sedlárová – </w:t>
            </w:r>
            <w:hyperlink r:id="rId10" w:history="1">
              <w:hyperlink r:id="rId11" w:history="1">
                <w:r>
                  <w:rPr>
                    <w:rStyle w:val="Hyperlink"/>
                  </w:rPr>
                  <w:t>alexandra.sedlarova</w:t>
                </w:r>
              </w:hyperlink>
              <w:r>
                <w:rPr>
                  <w:rStyle w:val="Hyperlink"/>
                </w:rPr>
                <w:t>@mindop.sk</w:t>
              </w:r>
            </w:hyperlink>
            <w:r>
              <w:t xml:space="preserve"> </w:t>
            </w:r>
          </w:p>
        </w:tc>
      </w:tr>
      <w:tr w:rsidR="008360EC" w:rsidRPr="00C21B27" w14:paraId="3D538286" w14:textId="77777777" w:rsidTr="00C21B27">
        <w:tc>
          <w:tcPr>
            <w:tcW w:w="9210" w:type="dxa"/>
            <w:tcBorders>
              <w:bottom w:val="single" w:sz="4" w:space="0" w:color="FFFFFF"/>
            </w:tcBorders>
            <w:shd w:val="clear" w:color="auto" w:fill="E2E2E2"/>
          </w:tcPr>
          <w:p w14:paraId="7EC3EC77" w14:textId="77777777" w:rsidR="008360EC" w:rsidRPr="00C21B27" w:rsidRDefault="008360EC" w:rsidP="00B308B4">
            <w:pPr>
              <w:pStyle w:val="ListParagraph"/>
              <w:numPr>
                <w:ilvl w:val="0"/>
                <w:numId w:val="5"/>
              </w:numPr>
              <w:ind w:left="426"/>
              <w:rPr>
                <w:b/>
              </w:rPr>
            </w:pPr>
            <w:r>
              <w:rPr>
                <w:b/>
              </w:rPr>
              <w:lastRenderedPageBreak/>
              <w:t>Sources</w:t>
            </w:r>
          </w:p>
        </w:tc>
      </w:tr>
      <w:tr w:rsidR="008360EC" w:rsidRPr="00C21B27" w14:paraId="776A48E3" w14:textId="77777777" w:rsidTr="00C21B27">
        <w:tc>
          <w:tcPr>
            <w:tcW w:w="9210" w:type="dxa"/>
            <w:tcBorders>
              <w:top w:val="single" w:sz="4" w:space="0" w:color="FFFFFF"/>
            </w:tcBorders>
            <w:shd w:val="clear" w:color="auto" w:fill="FFFFFF"/>
          </w:tcPr>
          <w:p w14:paraId="47C31ABB" w14:textId="77777777" w:rsidR="00AA3666" w:rsidRPr="00C21B27" w:rsidRDefault="00AA3666" w:rsidP="00AA3666">
            <w:r>
              <w:t>- delegated acts of the Commission (EU) pursuant to Article 60 of Regulation (EU) No 305/2011 of the European Parliament and of the Council of 9 March 2011 laying down harmonised conditions for the marketing of construction products and repealing Council Directive 89/106/EEC, as amended</w:t>
            </w:r>
          </w:p>
          <w:p w14:paraId="22E55FC9" w14:textId="52E146CB" w:rsidR="008360EC" w:rsidRPr="00C21B27" w:rsidRDefault="00AA3666" w:rsidP="00AA3666">
            <w:r>
              <w:t>- applicable technical specifications for assessing the performance of construction products</w:t>
            </w:r>
          </w:p>
          <w:p w14:paraId="5498726B" w14:textId="77777777" w:rsidR="00471523" w:rsidRPr="00C21B27" w:rsidRDefault="00471523" w:rsidP="00AA3666">
            <w:pPr>
              <w:rPr>
                <w:i/>
              </w:rPr>
            </w:pPr>
            <w:r>
              <w:t>- consultations with the professional public</w:t>
            </w:r>
          </w:p>
        </w:tc>
      </w:tr>
      <w:tr w:rsidR="008360EC" w:rsidRPr="00C21B27" w14:paraId="64B00D6C" w14:textId="77777777" w:rsidTr="00C21B27">
        <w:tc>
          <w:tcPr>
            <w:tcW w:w="9210" w:type="dxa"/>
            <w:tcBorders>
              <w:bottom w:val="single" w:sz="4" w:space="0" w:color="FFFFFF"/>
            </w:tcBorders>
            <w:shd w:val="clear" w:color="auto" w:fill="E2E2E2"/>
          </w:tcPr>
          <w:p w14:paraId="437B1A63" w14:textId="77777777" w:rsidR="008360EC" w:rsidRPr="00C21B27" w:rsidRDefault="008360EC" w:rsidP="00B308B4">
            <w:pPr>
              <w:pStyle w:val="ListParagraph"/>
              <w:numPr>
                <w:ilvl w:val="0"/>
                <w:numId w:val="5"/>
              </w:numPr>
              <w:ind w:left="426"/>
              <w:rPr>
                <w:b/>
              </w:rPr>
            </w:pPr>
            <w:r>
              <w:rPr>
                <w:b/>
              </w:rPr>
              <w:t>Opinion of the Committee on the Assessment of Selected Impacts from the preliminary consultation</w:t>
            </w:r>
          </w:p>
        </w:tc>
      </w:tr>
      <w:tr w:rsidR="008360EC" w:rsidRPr="00C21B27" w14:paraId="00F5AB5C" w14:textId="77777777" w:rsidTr="00C21B27">
        <w:tc>
          <w:tcPr>
            <w:tcW w:w="9210" w:type="dxa"/>
            <w:tcBorders>
              <w:top w:val="single" w:sz="4" w:space="0" w:color="FFFFFF"/>
            </w:tcBorders>
            <w:shd w:val="clear" w:color="auto" w:fill="FFFFFF"/>
          </w:tcPr>
          <w:p w14:paraId="50FFD0AF" w14:textId="77777777" w:rsidR="00590877" w:rsidRPr="00C21B27" w:rsidRDefault="00150387" w:rsidP="0035570A">
            <w:pPr>
              <w:jc w:val="both"/>
            </w:pPr>
            <w:r>
              <w:t>-</w:t>
            </w:r>
          </w:p>
        </w:tc>
      </w:tr>
    </w:tbl>
    <w:p w14:paraId="6BBB9D78" w14:textId="77777777" w:rsidR="005A2412" w:rsidRPr="00C21B27" w:rsidRDefault="005A2412" w:rsidP="002720F0"/>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5A2412" w:rsidRPr="00C21B27" w14:paraId="1035174F"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1794F584" w14:textId="2765AAAC" w:rsidR="005A2412" w:rsidRPr="00C21B27" w:rsidRDefault="005A2412">
            <w:pPr>
              <w:jc w:val="center"/>
              <w:rPr>
                <w:b/>
                <w:szCs w:val="20"/>
              </w:rPr>
            </w:pPr>
            <w:r>
              <w:rPr>
                <w:b/>
                <w:sz w:val="28"/>
              </w:rPr>
              <w:t>Analysis of impacts on the business environment</w:t>
            </w:r>
          </w:p>
          <w:p w14:paraId="489B7DC7" w14:textId="77777777" w:rsidR="005A2412" w:rsidRPr="00C21B27" w:rsidRDefault="005A2412">
            <w:pPr>
              <w:jc w:val="center"/>
              <w:rPr>
                <w:b/>
                <w:sz w:val="20"/>
              </w:rPr>
            </w:pPr>
            <w:r>
              <w:rPr>
                <w:b/>
              </w:rPr>
              <w:t>(including the SME test)</w:t>
            </w:r>
          </w:p>
        </w:tc>
      </w:tr>
      <w:tr w:rsidR="005A2412" w:rsidRPr="00C21B27" w14:paraId="2C743D66"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5FCBE745" w14:textId="77777777" w:rsidR="005A2412" w:rsidRPr="00C21B27" w:rsidRDefault="005A2412">
            <w:pPr>
              <w:rPr>
                <w:b/>
              </w:rPr>
            </w:pPr>
            <w:r>
              <w:rPr>
                <w:b/>
              </w:rPr>
              <w:t>In terms of the size category of enterprises, the document will have an impact:</w:t>
            </w:r>
          </w:p>
        </w:tc>
      </w:tr>
      <w:tr w:rsidR="005A2412" w:rsidRPr="00C21B27" w14:paraId="38DA19FC" w14:textId="77777777" w:rsidTr="00C21B27">
        <w:tc>
          <w:tcPr>
            <w:tcW w:w="9302" w:type="dxa"/>
            <w:tcBorders>
              <w:top w:val="single" w:sz="4" w:space="0" w:color="auto"/>
              <w:left w:val="single" w:sz="4" w:space="0" w:color="auto"/>
              <w:bottom w:val="single" w:sz="4" w:space="0" w:color="auto"/>
              <w:right w:val="single" w:sz="4" w:space="0" w:color="auto"/>
            </w:tcBorders>
            <w:hideMark/>
          </w:tcPr>
          <w:tbl>
            <w:tblPr>
              <w:tblW w:w="0" w:type="auto"/>
              <w:tblInd w:w="1" w:type="dxa"/>
              <w:tblLook w:val="04A0" w:firstRow="1" w:lastRow="0" w:firstColumn="1" w:lastColumn="0" w:noHBand="0" w:noVBand="1"/>
            </w:tblPr>
            <w:tblGrid>
              <w:gridCol w:w="456"/>
              <w:gridCol w:w="8628"/>
            </w:tblGrid>
            <w:tr w:rsidR="005A2412" w:rsidRPr="00C21B27" w14:paraId="0CB711C6" w14:textId="77777777">
              <w:trPr>
                <w:trHeight w:val="337"/>
              </w:trPr>
              <w:tc>
                <w:tcPr>
                  <w:tcW w:w="440" w:type="dxa"/>
                  <w:hideMark/>
                </w:tcPr>
                <w:p w14:paraId="02644B26" w14:textId="77777777" w:rsidR="005A2412" w:rsidRPr="00C21B27" w:rsidRDefault="005A2412">
                  <w:pPr>
                    <w:jc w:val="center"/>
                    <w:rPr>
                      <w:sz w:val="20"/>
                    </w:rPr>
                  </w:pPr>
                  <w:r>
                    <w:rPr>
                      <w:rFonts w:ascii="Segoe UI Symbol" w:hAnsi="Segoe UI Symbol"/>
                    </w:rPr>
                    <w:t>☐</w:t>
                  </w:r>
                </w:p>
              </w:tc>
              <w:tc>
                <w:tcPr>
                  <w:tcW w:w="8628" w:type="dxa"/>
                  <w:hideMark/>
                </w:tcPr>
                <w:p w14:paraId="5CA3A328" w14:textId="77777777" w:rsidR="005A2412" w:rsidRPr="00C21B27" w:rsidRDefault="005A2412">
                  <w:pPr>
                    <w:rPr>
                      <w:b/>
                    </w:rPr>
                  </w:pPr>
                  <w:r>
                    <w:rPr>
                      <w:b/>
                    </w:rPr>
                    <w:t xml:space="preserve">only on SMEs (0–249 employees) </w:t>
                  </w:r>
                </w:p>
              </w:tc>
            </w:tr>
            <w:tr w:rsidR="005A2412" w:rsidRPr="00C21B27" w14:paraId="610AC360" w14:textId="77777777">
              <w:trPr>
                <w:trHeight w:val="249"/>
              </w:trPr>
              <w:tc>
                <w:tcPr>
                  <w:tcW w:w="440" w:type="dxa"/>
                  <w:hideMark/>
                </w:tcPr>
                <w:p w14:paraId="6631940C" w14:textId="77777777" w:rsidR="005A2412" w:rsidRPr="00C21B27" w:rsidRDefault="005A2412">
                  <w:pPr>
                    <w:jc w:val="center"/>
                  </w:pPr>
                  <w:r>
                    <w:rPr>
                      <w:rFonts w:ascii="MS Gothic" w:hAnsi="MS Gothic"/>
                    </w:rPr>
                    <w:t>☐</w:t>
                  </w:r>
                </w:p>
              </w:tc>
              <w:tc>
                <w:tcPr>
                  <w:tcW w:w="8628" w:type="dxa"/>
                  <w:hideMark/>
                </w:tcPr>
                <w:p w14:paraId="17097644" w14:textId="77777777" w:rsidR="005A2412" w:rsidRPr="00C21B27" w:rsidRDefault="005A2412">
                  <w:pPr>
                    <w:rPr>
                      <w:b/>
                    </w:rPr>
                  </w:pPr>
                  <w:r>
                    <w:rPr>
                      <w:b/>
                    </w:rPr>
                    <w:t>only on large enterprises (250 or more employees)</w:t>
                  </w:r>
                </w:p>
              </w:tc>
            </w:tr>
            <w:tr w:rsidR="005A2412" w:rsidRPr="00C21B27" w14:paraId="0BC5F9D2" w14:textId="77777777">
              <w:trPr>
                <w:trHeight w:val="264"/>
              </w:trPr>
              <w:tc>
                <w:tcPr>
                  <w:tcW w:w="440" w:type="dxa"/>
                  <w:hideMark/>
                </w:tcPr>
                <w:p w14:paraId="74F62E50" w14:textId="77777777" w:rsidR="005A2412" w:rsidRPr="00C21B27" w:rsidRDefault="005A2412">
                  <w:pPr>
                    <w:jc w:val="center"/>
                  </w:pPr>
                  <w:r>
                    <w:rPr>
                      <w:rFonts w:ascii="MS Gothic" w:hAnsi="MS Gothic"/>
                    </w:rPr>
                    <w:t>☒</w:t>
                  </w:r>
                </w:p>
              </w:tc>
              <w:tc>
                <w:tcPr>
                  <w:tcW w:w="8628" w:type="dxa"/>
                  <w:hideMark/>
                </w:tcPr>
                <w:p w14:paraId="235B973E" w14:textId="77777777" w:rsidR="005A2412" w:rsidRPr="00C21B27" w:rsidRDefault="005A2412">
                  <w:r>
                    <w:rPr>
                      <w:b/>
                    </w:rPr>
                    <w:t>on all categories of enterprises</w:t>
                  </w:r>
                </w:p>
              </w:tc>
            </w:tr>
          </w:tbl>
          <w:p w14:paraId="450DAE07" w14:textId="77777777" w:rsidR="005A2412" w:rsidRPr="00C21B27" w:rsidRDefault="005A2412">
            <w:pPr>
              <w:rPr>
                <w:b/>
              </w:rPr>
            </w:pPr>
          </w:p>
        </w:tc>
      </w:tr>
      <w:tr w:rsidR="005A2412" w:rsidRPr="00C21B27" w14:paraId="6BD85306"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2223B16A" w14:textId="77777777" w:rsidR="005A2412" w:rsidRPr="00C21B27" w:rsidRDefault="005A2412">
            <w:pPr>
              <w:rPr>
                <w:b/>
              </w:rPr>
            </w:pPr>
            <w:r>
              <w:rPr>
                <w:b/>
              </w:rPr>
              <w:t>3.1 Business stakeholders</w:t>
            </w:r>
          </w:p>
          <w:p w14:paraId="4E59F351" w14:textId="77777777" w:rsidR="005A2412" w:rsidRPr="00C21B27" w:rsidRDefault="005A2412">
            <w:pPr>
              <w:ind w:left="284"/>
              <w:rPr>
                <w:b/>
                <w:sz w:val="20"/>
              </w:rPr>
            </w:pPr>
            <w:r>
              <w:rPr>
                <w:b/>
              </w:rPr>
              <w:t>– of which SMEs</w:t>
            </w:r>
          </w:p>
        </w:tc>
      </w:tr>
      <w:tr w:rsidR="005A2412" w:rsidRPr="00C21B27" w14:paraId="648448BE"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64F5FCE5" w14:textId="77777777" w:rsidR="005A2412" w:rsidRPr="00C21B27" w:rsidRDefault="005A2412">
            <w:pPr>
              <w:rPr>
                <w:i/>
              </w:rPr>
            </w:pPr>
            <w:r>
              <w:rPr>
                <w:i/>
              </w:rPr>
              <w:t>Specify which businesses will be affected by the present draft.</w:t>
            </w:r>
          </w:p>
          <w:p w14:paraId="4BF3D6CD" w14:textId="77777777" w:rsidR="005A2412" w:rsidRPr="00C21B27" w:rsidRDefault="005A2412">
            <w:pPr>
              <w:rPr>
                <w:i/>
              </w:rPr>
            </w:pPr>
            <w:r>
              <w:rPr>
                <w:i/>
              </w:rPr>
              <w:t>How many of them?</w:t>
            </w:r>
          </w:p>
        </w:tc>
      </w:tr>
      <w:tr w:rsidR="005A2412" w:rsidRPr="00C21B27" w14:paraId="5055A8AF"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41E78BCC" w14:textId="0251428F" w:rsidR="005A2412" w:rsidRPr="00C21B27" w:rsidRDefault="005A2412">
            <w:r>
              <w:t xml:space="preserve">These will exclusively be business entities operating in the field of the manufacture of construction products, the sphere of activity of which is focused on those products that are introduced into the list of construction product groups by the amendment. This concerns manufacturers, importers, distributors, authorised representatives, and authorised and notified bodies within the meaning of </w:t>
            </w:r>
            <w:r>
              <w:rPr>
                <w:rStyle w:val="PlaceholderText"/>
              </w:rPr>
              <w:t>Act</w:t>
            </w:r>
            <w:r>
              <w:t xml:space="preserve"> No 133/2013 on construction products and on amendments to certain acts, as amended, and Regulation (EU) No 305/2011 of the European Parliament and of the Council laying down harmonised conditions for the marketing of construction products and repealing Council Directive 89/106/EEC, as amended (hereinafter referred to as ‘business stakeholders’).</w:t>
            </w:r>
          </w:p>
          <w:p w14:paraId="6AEAE4BA" w14:textId="77777777" w:rsidR="005A2412" w:rsidRPr="00C21B27" w:rsidRDefault="005A2412">
            <w:r>
              <w:t>The number of business stakeholders cannot be specified at present since no records or statistics exist for their identification and the determination of their number.</w:t>
            </w:r>
          </w:p>
        </w:tc>
      </w:tr>
      <w:tr w:rsidR="005A2412" w:rsidRPr="00C21B27" w14:paraId="56A67A59"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013517D2" w14:textId="77777777" w:rsidR="005A2412" w:rsidRPr="00C21B27" w:rsidRDefault="005A2412">
            <w:pPr>
              <w:rPr>
                <w:b/>
              </w:rPr>
            </w:pPr>
            <w:r>
              <w:rPr>
                <w:b/>
              </w:rPr>
              <w:t>3.2 Evaluation of consultations</w:t>
            </w:r>
          </w:p>
          <w:p w14:paraId="6CDF8963" w14:textId="77777777" w:rsidR="005A2412" w:rsidRPr="00C21B27" w:rsidRDefault="005A2412" w:rsidP="00C21B27">
            <w:pPr>
              <w:ind w:left="284"/>
              <w:rPr>
                <w:b/>
                <w:sz w:val="20"/>
              </w:rPr>
            </w:pPr>
            <w:r>
              <w:rPr>
                <w:b/>
              </w:rPr>
              <w:t>– of which SMEs</w:t>
            </w:r>
          </w:p>
        </w:tc>
      </w:tr>
      <w:tr w:rsidR="005A2412" w:rsidRPr="00C21B27" w14:paraId="11AB5D9D"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4BB0968D" w14:textId="77777777" w:rsidR="005A2412" w:rsidRPr="00C21B27" w:rsidRDefault="005A2412">
            <w:pPr>
              <w:rPr>
                <w:i/>
              </w:rPr>
            </w:pPr>
            <w:r>
              <w:rPr>
                <w:i/>
              </w:rPr>
              <w:t>Specify the form (public or targeted consultations and why) of the consultations and who has been consulted on the draft.</w:t>
            </w:r>
          </w:p>
          <w:p w14:paraId="508C807B" w14:textId="77777777" w:rsidR="005A2412" w:rsidRPr="00C21B27" w:rsidRDefault="005A2412">
            <w:pPr>
              <w:rPr>
                <w:i/>
              </w:rPr>
            </w:pPr>
            <w:r>
              <w:rPr>
                <w:i/>
              </w:rPr>
              <w:t>How long did the consultations last?</w:t>
            </w:r>
          </w:p>
          <w:p w14:paraId="3929BFAF" w14:textId="77777777" w:rsidR="005A2412" w:rsidRPr="00C21B27" w:rsidRDefault="005A2412">
            <w:pPr>
              <w:rPr>
                <w:i/>
              </w:rPr>
            </w:pPr>
            <w:r>
              <w:rPr>
                <w:i/>
              </w:rPr>
              <w:t xml:space="preserve">Specify the main points and results of the consultations. </w:t>
            </w:r>
          </w:p>
        </w:tc>
      </w:tr>
      <w:tr w:rsidR="005A2412" w:rsidRPr="00C21B27" w14:paraId="70BBA8B4"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76331CFC" w14:textId="77777777" w:rsidR="005A2412" w:rsidRPr="00C21B27" w:rsidRDefault="005A2412">
            <w:r>
              <w:t>In the preparatory and subsequent stages, authorised and notified bodies (legal entities assessing the performance of construction products in the harmonised and non-harmonised areas), representatives of manufacturers (Association of Construction Entrepreneurs of Slovakia) and other stakeholders were consulted about the draft document.</w:t>
            </w:r>
          </w:p>
          <w:p w14:paraId="21EBDE4B" w14:textId="77777777" w:rsidR="005A2412" w:rsidRPr="00C21B27" w:rsidRDefault="005A2412">
            <w:r>
              <w:t>The consultations took place through emails and personal meetings. Many suggestions that reflected market requirements have been incorporated, from the viewpoints both of the need to meet basic requirements for construction works, and of practical application.</w:t>
            </w:r>
          </w:p>
        </w:tc>
      </w:tr>
      <w:tr w:rsidR="005A2412" w:rsidRPr="00C21B27" w14:paraId="15A3A59F"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6A43E9D7" w14:textId="77777777" w:rsidR="005A2412" w:rsidRPr="00C21B27" w:rsidRDefault="005A2412">
            <w:pPr>
              <w:rPr>
                <w:b/>
              </w:rPr>
            </w:pPr>
            <w:r>
              <w:rPr>
                <w:b/>
              </w:rPr>
              <w:lastRenderedPageBreak/>
              <w:t>3.3 Regulatory costs</w:t>
            </w:r>
          </w:p>
          <w:p w14:paraId="4A6EBF09" w14:textId="77777777" w:rsidR="005A2412" w:rsidRPr="00C21B27" w:rsidRDefault="005A2412" w:rsidP="00C21B27">
            <w:pPr>
              <w:ind w:left="284"/>
              <w:rPr>
                <w:b/>
                <w:sz w:val="20"/>
              </w:rPr>
            </w:pPr>
            <w:r>
              <w:rPr>
                <w:b/>
              </w:rPr>
              <w:t>– of which SMEs</w:t>
            </w:r>
          </w:p>
        </w:tc>
      </w:tr>
      <w:tr w:rsidR="005A2412" w:rsidRPr="00C21B27" w14:paraId="436DE41F"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42158713" w14:textId="77777777" w:rsidR="005A2412" w:rsidRPr="00C21B27" w:rsidRDefault="005A2412">
            <w:pPr>
              <w:rPr>
                <w:b/>
                <w:i/>
              </w:rPr>
            </w:pPr>
            <w:r>
              <w:rPr>
                <w:b/>
                <w:i/>
              </w:rPr>
              <w:t>3.3.1 Direct financial costs</w:t>
            </w:r>
          </w:p>
          <w:p w14:paraId="4EEBB43A" w14:textId="77777777" w:rsidR="005A2412" w:rsidRPr="00C21B27" w:rsidRDefault="005A2412">
            <w:pPr>
              <w:rPr>
                <w:i/>
              </w:rPr>
            </w:pPr>
            <w:r>
              <w:rPr>
                <w:i/>
              </w:rPr>
              <w:t xml:space="preserve">Are the direct financial costs (fees, levies, taxes, duties, etc.) being increased/decreased? If so, describe and quantify them. Also specify the method of quantification. </w:t>
            </w:r>
          </w:p>
        </w:tc>
      </w:tr>
      <w:tr w:rsidR="005A2412" w:rsidRPr="00C21B27" w14:paraId="35C29690"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69D544F0" w14:textId="77777777" w:rsidR="005A2412" w:rsidRPr="00C21B27" w:rsidRDefault="005A2412">
            <w:r>
              <w:t>There is no increase/decrease in direct financial costs.</w:t>
            </w:r>
          </w:p>
        </w:tc>
      </w:tr>
      <w:tr w:rsidR="005A2412" w:rsidRPr="00C21B27" w14:paraId="576D9C2F"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0516D0F5" w14:textId="77777777" w:rsidR="005A2412" w:rsidRPr="00C21B27" w:rsidRDefault="005A2412">
            <w:pPr>
              <w:rPr>
                <w:b/>
                <w:i/>
              </w:rPr>
            </w:pPr>
            <w:r>
              <w:rPr>
                <w:b/>
                <w:i/>
              </w:rPr>
              <w:t>3.3.2 Indirect financial costs</w:t>
            </w:r>
          </w:p>
          <w:p w14:paraId="575AF4C9" w14:textId="77777777" w:rsidR="005A2412" w:rsidRPr="00C21B27" w:rsidRDefault="005A2412">
            <w:pPr>
              <w:rPr>
                <w:i/>
              </w:rPr>
            </w:pPr>
            <w:r>
              <w:rPr>
                <w:i/>
              </w:rPr>
              <w:t>Does the present draft require additional costs for the purchase of goods or services? Does the present draft increase the costs associated with employment? If so, describe and quantify them. Also specify the method of quantification.</w:t>
            </w:r>
          </w:p>
        </w:tc>
      </w:tr>
      <w:tr w:rsidR="005A2412" w:rsidRPr="00C21B27" w14:paraId="29825A13"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230D96C2" w14:textId="77777777" w:rsidR="005A2412" w:rsidRPr="00C21B27" w:rsidRDefault="005A2412">
            <w:pPr>
              <w:autoSpaceDE w:val="0"/>
              <w:autoSpaceDN w:val="0"/>
              <w:adjustRightInd w:val="0"/>
              <w:ind w:right="130"/>
              <w:jc w:val="both"/>
            </w:pPr>
            <w:r>
              <w:t>Costs related to ensuring the regulatory compliance of construction products (costs of acquiring the necessary knowledge and setting up internal processes, costs of material equipment, etc.) – total cost approx. EUR 1 050.</w:t>
            </w:r>
          </w:p>
          <w:p w14:paraId="5B5D6897" w14:textId="77777777" w:rsidR="005A2412" w:rsidRPr="00C21B27" w:rsidRDefault="005A2412">
            <w:pPr>
              <w:autoSpaceDE w:val="0"/>
              <w:autoSpaceDN w:val="0"/>
              <w:adjustRightInd w:val="0"/>
              <w:ind w:right="130"/>
              <w:jc w:val="both"/>
            </w:pPr>
            <w:r>
              <w:t>Regarding the information obligations, we based our calculations on standardised time demands per entrepreneur (business stakeholder referred to in point 3.1).</w:t>
            </w:r>
          </w:p>
        </w:tc>
      </w:tr>
      <w:tr w:rsidR="005A2412" w:rsidRPr="00C21B27" w14:paraId="3F8B5857"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08C64FFD" w14:textId="77777777" w:rsidR="005A2412" w:rsidRPr="00C21B27" w:rsidRDefault="005A2412">
            <w:pPr>
              <w:rPr>
                <w:b/>
                <w:i/>
              </w:rPr>
            </w:pPr>
            <w:r>
              <w:rPr>
                <w:b/>
                <w:i/>
              </w:rPr>
              <w:t>3.3.3 Administrative costs</w:t>
            </w:r>
          </w:p>
          <w:p w14:paraId="3AF76285" w14:textId="77777777" w:rsidR="005A2412" w:rsidRPr="00C21B27" w:rsidRDefault="005A2412">
            <w:pPr>
              <w:rPr>
                <w:i/>
              </w:rPr>
            </w:pPr>
            <w:r>
              <w:rPr>
                <w:i/>
              </w:rPr>
              <w:t>Are any new information obligations being introduced or existing information obligations removed or modified? (e.g. changes in the data required or frequency or form of reporting them, etc.) If so, describe and quantify the administrative costs. Also specify the method of quantification.</w:t>
            </w:r>
          </w:p>
        </w:tc>
      </w:tr>
      <w:tr w:rsidR="005A2412" w:rsidRPr="00C21B27" w14:paraId="0F805BD3"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5FC8DB25" w14:textId="027312AA" w:rsidR="005A2412" w:rsidRPr="00C21B27" w:rsidRDefault="005A2412">
            <w:r>
              <w:t>Keeping of records and archiving, submission and processing of an application, preparation of a document/report/certificate/declaration of performance, submission of reports/documents, oral/written communications, preparation of internal regulations of the producer – total cost approx. EUR 550.</w:t>
            </w:r>
          </w:p>
          <w:p w14:paraId="378BF69B" w14:textId="77777777" w:rsidR="005A2412" w:rsidRPr="00C21B27" w:rsidRDefault="005A2412">
            <w:pPr>
              <w:rPr>
                <w:b/>
                <w:i/>
              </w:rPr>
            </w:pPr>
            <w:r>
              <w:t>Regarding the information obligations, we based our calculations on standardised time demands per entrepreneur (business stakeholder referred to in point 3.1).</w:t>
            </w:r>
          </w:p>
        </w:tc>
      </w:tr>
      <w:tr w:rsidR="005A2412" w:rsidRPr="00C21B27" w14:paraId="75EB40BB" w14:textId="77777777" w:rsidTr="00C21B27">
        <w:tc>
          <w:tcPr>
            <w:tcW w:w="9302" w:type="dxa"/>
            <w:tcBorders>
              <w:top w:val="single" w:sz="4" w:space="0" w:color="auto"/>
              <w:left w:val="single" w:sz="4" w:space="0" w:color="auto"/>
              <w:bottom w:val="single" w:sz="4" w:space="0" w:color="auto"/>
              <w:right w:val="single" w:sz="4" w:space="0" w:color="auto"/>
            </w:tcBorders>
          </w:tcPr>
          <w:p w14:paraId="4A4F5404" w14:textId="77777777" w:rsidR="005A2412" w:rsidRPr="00C21B27" w:rsidRDefault="005A2412">
            <w:pPr>
              <w:rPr>
                <w:b/>
                <w:i/>
              </w:rPr>
            </w:pPr>
            <w:r>
              <w:rPr>
                <w:b/>
                <w:i/>
              </w:rPr>
              <w:t>3.3.4 Summary table of regulatory costs</w:t>
            </w:r>
          </w:p>
          <w:p w14:paraId="6056F74A" w14:textId="77777777" w:rsidR="005A2412" w:rsidRPr="00C21B27" w:rsidRDefault="005A2412">
            <w:pPr>
              <w:rPr>
                <w: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3"/>
              <w:gridCol w:w="3023"/>
            </w:tblGrid>
            <w:tr w:rsidR="005A2412" w:rsidRPr="00C21B27" w14:paraId="5BB35FED" w14:textId="77777777" w:rsidTr="00EB1AC7">
              <w:tc>
                <w:tcPr>
                  <w:tcW w:w="3022" w:type="dxa"/>
                  <w:tcBorders>
                    <w:top w:val="single" w:sz="4" w:space="0" w:color="auto"/>
                    <w:left w:val="single" w:sz="4" w:space="0" w:color="auto"/>
                    <w:bottom w:val="single" w:sz="4" w:space="0" w:color="auto"/>
                    <w:right w:val="single" w:sz="4" w:space="0" w:color="auto"/>
                  </w:tcBorders>
                </w:tcPr>
                <w:p w14:paraId="0359C9EC" w14:textId="77777777" w:rsidR="005A2412" w:rsidRPr="00C21B27" w:rsidRDefault="005A2412">
                  <w:pPr>
                    <w:rPr>
                      <w:i/>
                    </w:rPr>
                  </w:pPr>
                </w:p>
              </w:tc>
              <w:tc>
                <w:tcPr>
                  <w:tcW w:w="3023" w:type="dxa"/>
                  <w:tcBorders>
                    <w:top w:val="single" w:sz="4" w:space="0" w:color="auto"/>
                    <w:left w:val="single" w:sz="4" w:space="0" w:color="auto"/>
                    <w:bottom w:val="single" w:sz="4" w:space="0" w:color="auto"/>
                    <w:right w:val="single" w:sz="4" w:space="0" w:color="auto"/>
                  </w:tcBorders>
                  <w:hideMark/>
                </w:tcPr>
                <w:p w14:paraId="26A415C3" w14:textId="77777777" w:rsidR="005A2412" w:rsidRPr="00C21B27" w:rsidRDefault="005A2412">
                  <w:pPr>
                    <w:jc w:val="center"/>
                    <w:rPr>
                      <w:i/>
                    </w:rPr>
                  </w:pPr>
                  <w:r>
                    <w:rPr>
                      <w:i/>
                    </w:rPr>
                    <w:t>Costs per business (as referred to in point 3.1)</w:t>
                  </w:r>
                </w:p>
              </w:tc>
              <w:tc>
                <w:tcPr>
                  <w:tcW w:w="3023" w:type="dxa"/>
                  <w:tcBorders>
                    <w:top w:val="single" w:sz="4" w:space="0" w:color="auto"/>
                    <w:left w:val="single" w:sz="4" w:space="0" w:color="auto"/>
                    <w:bottom w:val="single" w:sz="4" w:space="0" w:color="auto"/>
                    <w:right w:val="single" w:sz="4" w:space="0" w:color="auto"/>
                  </w:tcBorders>
                  <w:hideMark/>
                </w:tcPr>
                <w:p w14:paraId="7FE3A810" w14:textId="77777777" w:rsidR="005A2412" w:rsidRPr="00C21B27" w:rsidRDefault="005A2412">
                  <w:pPr>
                    <w:jc w:val="center"/>
                    <w:rPr>
                      <w:i/>
                    </w:rPr>
                  </w:pPr>
                  <w:r>
                    <w:rPr>
                      <w:i/>
                    </w:rPr>
                    <w:t>Costs for the entire business environment</w:t>
                  </w:r>
                </w:p>
              </w:tc>
            </w:tr>
            <w:tr w:rsidR="005A2412" w:rsidRPr="00C21B27" w14:paraId="76C2E2DE" w14:textId="77777777" w:rsidTr="00EB1AC7">
              <w:tc>
                <w:tcPr>
                  <w:tcW w:w="3022" w:type="dxa"/>
                  <w:tcBorders>
                    <w:top w:val="single" w:sz="4" w:space="0" w:color="auto"/>
                    <w:left w:val="single" w:sz="4" w:space="0" w:color="auto"/>
                    <w:bottom w:val="single" w:sz="4" w:space="0" w:color="auto"/>
                    <w:right w:val="single" w:sz="4" w:space="0" w:color="auto"/>
                  </w:tcBorders>
                  <w:hideMark/>
                </w:tcPr>
                <w:p w14:paraId="0B73F984" w14:textId="77777777" w:rsidR="005A2412" w:rsidRPr="00C21B27" w:rsidRDefault="005A2412">
                  <w:pPr>
                    <w:rPr>
                      <w:i/>
                    </w:rPr>
                  </w:pPr>
                  <w:r>
                    <w:rPr>
                      <w:i/>
                    </w:rPr>
                    <w:t>Direct financial costs</w:t>
                  </w:r>
                </w:p>
              </w:tc>
              <w:tc>
                <w:tcPr>
                  <w:tcW w:w="3023" w:type="dxa"/>
                  <w:tcBorders>
                    <w:top w:val="single" w:sz="4" w:space="0" w:color="auto"/>
                    <w:left w:val="single" w:sz="4" w:space="0" w:color="auto"/>
                    <w:bottom w:val="single" w:sz="4" w:space="0" w:color="auto"/>
                    <w:right w:val="single" w:sz="4" w:space="0" w:color="auto"/>
                  </w:tcBorders>
                  <w:hideMark/>
                </w:tcPr>
                <w:p w14:paraId="7B37FE70" w14:textId="77777777" w:rsidR="005A2412" w:rsidRPr="00C21B27" w:rsidRDefault="005A2412">
                  <w:pPr>
                    <w:jc w:val="center"/>
                    <w:rPr>
                      <w:i/>
                    </w:rPr>
                  </w:pPr>
                  <w:r>
                    <w:rPr>
                      <w:i/>
                    </w:rPr>
                    <w:t>0</w:t>
                  </w:r>
                </w:p>
              </w:tc>
              <w:tc>
                <w:tcPr>
                  <w:tcW w:w="3023" w:type="dxa"/>
                  <w:tcBorders>
                    <w:top w:val="single" w:sz="4" w:space="0" w:color="auto"/>
                    <w:left w:val="single" w:sz="4" w:space="0" w:color="auto"/>
                    <w:bottom w:val="single" w:sz="4" w:space="0" w:color="auto"/>
                    <w:right w:val="single" w:sz="4" w:space="0" w:color="auto"/>
                  </w:tcBorders>
                  <w:hideMark/>
                </w:tcPr>
                <w:p w14:paraId="2E290573" w14:textId="77777777" w:rsidR="005A2412" w:rsidRPr="00C21B27" w:rsidRDefault="005A2412">
                  <w:pPr>
                    <w:jc w:val="center"/>
                    <w:rPr>
                      <w:i/>
                    </w:rPr>
                  </w:pPr>
                  <w:r>
                    <w:rPr>
                      <w:i/>
                    </w:rPr>
                    <w:t>0</w:t>
                  </w:r>
                </w:p>
              </w:tc>
            </w:tr>
            <w:tr w:rsidR="005A2412" w:rsidRPr="00C21B27" w14:paraId="2792173E" w14:textId="77777777" w:rsidTr="00EB1AC7">
              <w:tc>
                <w:tcPr>
                  <w:tcW w:w="3022" w:type="dxa"/>
                  <w:tcBorders>
                    <w:top w:val="single" w:sz="4" w:space="0" w:color="auto"/>
                    <w:left w:val="single" w:sz="4" w:space="0" w:color="auto"/>
                    <w:bottom w:val="single" w:sz="4" w:space="0" w:color="auto"/>
                    <w:right w:val="single" w:sz="4" w:space="0" w:color="auto"/>
                  </w:tcBorders>
                  <w:hideMark/>
                </w:tcPr>
                <w:p w14:paraId="2D86538A" w14:textId="77777777" w:rsidR="005A2412" w:rsidRPr="00C21B27" w:rsidRDefault="005A2412">
                  <w:pPr>
                    <w:rPr>
                      <w:i/>
                    </w:rPr>
                  </w:pPr>
                  <w:r>
                    <w:rPr>
                      <w:i/>
                    </w:rPr>
                    <w:t>Indirect financial costs</w:t>
                  </w:r>
                </w:p>
              </w:tc>
              <w:tc>
                <w:tcPr>
                  <w:tcW w:w="3023" w:type="dxa"/>
                  <w:tcBorders>
                    <w:top w:val="single" w:sz="4" w:space="0" w:color="auto"/>
                    <w:left w:val="single" w:sz="4" w:space="0" w:color="auto"/>
                    <w:bottom w:val="single" w:sz="4" w:space="0" w:color="auto"/>
                    <w:right w:val="single" w:sz="4" w:space="0" w:color="auto"/>
                  </w:tcBorders>
                  <w:hideMark/>
                </w:tcPr>
                <w:p w14:paraId="153F9666" w14:textId="77777777" w:rsidR="005A2412" w:rsidRPr="00C21B27" w:rsidRDefault="005A2412">
                  <w:pPr>
                    <w:jc w:val="center"/>
                    <w:rPr>
                      <w:i/>
                    </w:rPr>
                  </w:pPr>
                  <w:r>
                    <w:rPr>
                      <w:i/>
                    </w:rPr>
                    <w:t>approx. 1 050</w:t>
                  </w:r>
                </w:p>
              </w:tc>
              <w:tc>
                <w:tcPr>
                  <w:tcW w:w="3023" w:type="dxa"/>
                  <w:tcBorders>
                    <w:top w:val="single" w:sz="4" w:space="0" w:color="auto"/>
                    <w:left w:val="single" w:sz="4" w:space="0" w:color="auto"/>
                    <w:bottom w:val="single" w:sz="4" w:space="0" w:color="auto"/>
                    <w:right w:val="single" w:sz="4" w:space="0" w:color="auto"/>
                  </w:tcBorders>
                  <w:hideMark/>
                </w:tcPr>
                <w:p w14:paraId="4379828C" w14:textId="77777777" w:rsidR="005A2412" w:rsidRPr="00C21B27" w:rsidRDefault="005A2412">
                  <w:pPr>
                    <w:jc w:val="center"/>
                    <w:rPr>
                      <w:i/>
                    </w:rPr>
                  </w:pPr>
                  <w:r>
                    <w:rPr>
                      <w:i/>
                    </w:rPr>
                    <w:t>0</w:t>
                  </w:r>
                </w:p>
              </w:tc>
            </w:tr>
            <w:tr w:rsidR="005A2412" w:rsidRPr="00C21B27" w14:paraId="1DFC3BE7" w14:textId="77777777" w:rsidTr="00EB1AC7">
              <w:tc>
                <w:tcPr>
                  <w:tcW w:w="3022" w:type="dxa"/>
                  <w:tcBorders>
                    <w:top w:val="single" w:sz="4" w:space="0" w:color="auto"/>
                    <w:left w:val="single" w:sz="4" w:space="0" w:color="auto"/>
                    <w:bottom w:val="single" w:sz="4" w:space="0" w:color="auto"/>
                    <w:right w:val="single" w:sz="4" w:space="0" w:color="auto"/>
                  </w:tcBorders>
                  <w:hideMark/>
                </w:tcPr>
                <w:p w14:paraId="2A926BF5" w14:textId="77777777" w:rsidR="005A2412" w:rsidRPr="00C21B27" w:rsidRDefault="005A2412">
                  <w:pPr>
                    <w:rPr>
                      <w:i/>
                    </w:rPr>
                  </w:pPr>
                  <w:r>
                    <w:rPr>
                      <w:i/>
                    </w:rPr>
                    <w:t>Administrative costs</w:t>
                  </w:r>
                </w:p>
              </w:tc>
              <w:tc>
                <w:tcPr>
                  <w:tcW w:w="3023" w:type="dxa"/>
                  <w:tcBorders>
                    <w:top w:val="single" w:sz="4" w:space="0" w:color="auto"/>
                    <w:left w:val="single" w:sz="4" w:space="0" w:color="auto"/>
                    <w:bottom w:val="single" w:sz="4" w:space="0" w:color="auto"/>
                    <w:right w:val="single" w:sz="4" w:space="0" w:color="auto"/>
                  </w:tcBorders>
                  <w:hideMark/>
                </w:tcPr>
                <w:p w14:paraId="4E4465F4" w14:textId="77777777" w:rsidR="005A2412" w:rsidRPr="00C21B27" w:rsidRDefault="005A2412">
                  <w:pPr>
                    <w:jc w:val="center"/>
                    <w:rPr>
                      <w:i/>
                    </w:rPr>
                  </w:pPr>
                  <w:r>
                    <w:rPr>
                      <w:i/>
                    </w:rPr>
                    <w:t>approx. 550</w:t>
                  </w:r>
                </w:p>
              </w:tc>
              <w:tc>
                <w:tcPr>
                  <w:tcW w:w="3023" w:type="dxa"/>
                  <w:tcBorders>
                    <w:top w:val="single" w:sz="4" w:space="0" w:color="auto"/>
                    <w:left w:val="single" w:sz="4" w:space="0" w:color="auto"/>
                    <w:bottom w:val="single" w:sz="4" w:space="0" w:color="auto"/>
                    <w:right w:val="single" w:sz="4" w:space="0" w:color="auto"/>
                  </w:tcBorders>
                  <w:hideMark/>
                </w:tcPr>
                <w:p w14:paraId="31081436" w14:textId="77777777" w:rsidR="005A2412" w:rsidRPr="00C21B27" w:rsidRDefault="005A2412">
                  <w:pPr>
                    <w:jc w:val="center"/>
                    <w:rPr>
                      <w:i/>
                    </w:rPr>
                  </w:pPr>
                  <w:r>
                    <w:rPr>
                      <w:i/>
                    </w:rPr>
                    <w:t>0</w:t>
                  </w:r>
                </w:p>
              </w:tc>
            </w:tr>
            <w:tr w:rsidR="005A2412" w:rsidRPr="00C21B27" w14:paraId="2FE93FD3" w14:textId="77777777" w:rsidTr="00EB1AC7">
              <w:tc>
                <w:tcPr>
                  <w:tcW w:w="3022" w:type="dxa"/>
                  <w:tcBorders>
                    <w:top w:val="single" w:sz="4" w:space="0" w:color="auto"/>
                    <w:left w:val="single" w:sz="4" w:space="0" w:color="auto"/>
                    <w:bottom w:val="single" w:sz="4" w:space="0" w:color="auto"/>
                    <w:right w:val="single" w:sz="4" w:space="0" w:color="auto"/>
                  </w:tcBorders>
                  <w:hideMark/>
                </w:tcPr>
                <w:p w14:paraId="7092D00D" w14:textId="77777777" w:rsidR="005A2412" w:rsidRPr="00C21B27" w:rsidRDefault="005A2412">
                  <w:pPr>
                    <w:rPr>
                      <w:b/>
                      <w:i/>
                    </w:rPr>
                  </w:pPr>
                  <w:r>
                    <w:rPr>
                      <w:b/>
                      <w:i/>
                    </w:rPr>
                    <w:t>Total regulatory costs</w:t>
                  </w:r>
                </w:p>
              </w:tc>
              <w:tc>
                <w:tcPr>
                  <w:tcW w:w="3023" w:type="dxa"/>
                  <w:tcBorders>
                    <w:top w:val="single" w:sz="4" w:space="0" w:color="auto"/>
                    <w:left w:val="single" w:sz="4" w:space="0" w:color="auto"/>
                    <w:bottom w:val="single" w:sz="4" w:space="0" w:color="auto"/>
                    <w:right w:val="single" w:sz="4" w:space="0" w:color="auto"/>
                  </w:tcBorders>
                  <w:hideMark/>
                </w:tcPr>
                <w:p w14:paraId="4B447955" w14:textId="77777777" w:rsidR="005A2412" w:rsidRPr="00C21B27" w:rsidRDefault="005A2412">
                  <w:pPr>
                    <w:jc w:val="center"/>
                    <w:rPr>
                      <w:b/>
                      <w:i/>
                    </w:rPr>
                  </w:pPr>
                  <w:r>
                    <w:rPr>
                      <w:b/>
                      <w:i/>
                    </w:rPr>
                    <w:t>approx. 1 600</w:t>
                  </w:r>
                </w:p>
              </w:tc>
              <w:tc>
                <w:tcPr>
                  <w:tcW w:w="3023" w:type="dxa"/>
                  <w:tcBorders>
                    <w:top w:val="single" w:sz="4" w:space="0" w:color="auto"/>
                    <w:left w:val="single" w:sz="4" w:space="0" w:color="auto"/>
                    <w:bottom w:val="single" w:sz="4" w:space="0" w:color="auto"/>
                    <w:right w:val="single" w:sz="4" w:space="0" w:color="auto"/>
                  </w:tcBorders>
                  <w:hideMark/>
                </w:tcPr>
                <w:p w14:paraId="1CEFA067" w14:textId="77777777" w:rsidR="005A2412" w:rsidRPr="00C21B27" w:rsidRDefault="005A2412">
                  <w:pPr>
                    <w:jc w:val="center"/>
                    <w:rPr>
                      <w:b/>
                      <w:i/>
                    </w:rPr>
                  </w:pPr>
                  <w:r>
                    <w:rPr>
                      <w:b/>
                      <w:i/>
                    </w:rPr>
                    <w:t>0</w:t>
                  </w:r>
                </w:p>
              </w:tc>
            </w:tr>
          </w:tbl>
          <w:p w14:paraId="2242422B" w14:textId="77777777" w:rsidR="005A2412" w:rsidRPr="00C21B27" w:rsidRDefault="005A2412">
            <w:pPr>
              <w:rPr>
                <w:i/>
              </w:rPr>
            </w:pPr>
          </w:p>
          <w:p w14:paraId="62F12E28" w14:textId="77777777" w:rsidR="005A2412" w:rsidRPr="00C21B27" w:rsidRDefault="005A2412">
            <w:r>
              <w:t>The costs to the business environment affected by the amendment cannot be quantified unequivocally.</w:t>
            </w:r>
          </w:p>
          <w:p w14:paraId="598499C2" w14:textId="77777777" w:rsidR="005A2412" w:rsidRPr="00C21B27" w:rsidRDefault="005A2412">
            <w:r>
              <w:t>Neither the total nor the approximate number of business stakeholders can be determined. Business entities from abroad are affected as well as those from Slovakia. Such statistics do not exist for individual product areas.</w:t>
            </w:r>
          </w:p>
          <w:p w14:paraId="4F0B9087" w14:textId="139FA568" w:rsidR="005A2412" w:rsidRPr="00C21B27" w:rsidRDefault="005A2412">
            <w:r>
              <w:t>The positive and negative impacts on the business environment (including SMEs) that we refer to in the Statement on Selected Impacts relate to a specific range of business entities, specifically those referred to in point 3.1. The negative impacts relate to the financial costs associated with the issue of declarations of the performance of a particular construction product in order to place that product on the market in the Slovak Republic or in an EU Member State, or on the market in a European Free Trade Association State party to the Agreement on the European Economic Area.</w:t>
            </w:r>
          </w:p>
          <w:p w14:paraId="09B457D9" w14:textId="77777777" w:rsidR="005A2412" w:rsidRPr="00C21B27" w:rsidRDefault="005A2412">
            <w:r>
              <w:t xml:space="preserve">The positive impacts relate to the financial income generated for business stakeholders from the marketing of construction products – both on the domestic market and on the EU market – </w:t>
            </w:r>
            <w:r>
              <w:lastRenderedPageBreak/>
              <w:t>as well as income from the performance of the activities of authorised and notified bodies.</w:t>
            </w:r>
          </w:p>
          <w:p w14:paraId="669ADA46" w14:textId="77777777" w:rsidR="005A2412" w:rsidRPr="00C21B27" w:rsidRDefault="005A2412">
            <w:r>
              <w:t>The submitted document does not impose a direct obligation on business stakeholders – it amends the legislation within the meaning of existing technical specifications that lay down the characteristics and performance that individual construction products must meet for the specific purpose of use. It adds relevant groups of construction products to the existing legislation based on market requirements and practical application.</w:t>
            </w:r>
          </w:p>
          <w:p w14:paraId="5DB4A358" w14:textId="77777777" w:rsidR="005A2412" w:rsidRPr="00C21B27" w:rsidRDefault="005A2412"/>
        </w:tc>
      </w:tr>
      <w:tr w:rsidR="005A2412" w:rsidRPr="00C21B27" w14:paraId="09BAC751"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5D1F3700" w14:textId="77777777" w:rsidR="005A2412" w:rsidRPr="00C21B27" w:rsidRDefault="005A2412">
            <w:pPr>
              <w:rPr>
                <w:b/>
              </w:rPr>
            </w:pPr>
            <w:r>
              <w:rPr>
                <w:b/>
              </w:rPr>
              <w:lastRenderedPageBreak/>
              <w:t>3.4 Competitiveness and behaviour of businesses on the market</w:t>
            </w:r>
          </w:p>
          <w:p w14:paraId="118DD897" w14:textId="77777777" w:rsidR="005A2412" w:rsidRPr="00C21B27" w:rsidRDefault="005A2412" w:rsidP="00C21B27">
            <w:pPr>
              <w:ind w:left="284"/>
              <w:rPr>
                <w:sz w:val="20"/>
              </w:rPr>
            </w:pPr>
            <w:r>
              <w:rPr>
                <w:b/>
              </w:rPr>
              <w:t>– of which SMEs</w:t>
            </w:r>
          </w:p>
        </w:tc>
      </w:tr>
      <w:tr w:rsidR="005A2412" w:rsidRPr="00C21B27" w14:paraId="115C08F8"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5D7D1337" w14:textId="77777777" w:rsidR="005A2412" w:rsidRPr="00C21B27" w:rsidRDefault="005A2412">
            <w:pPr>
              <w:rPr>
                <w:i/>
              </w:rPr>
            </w:pPr>
            <w:r>
              <w:rPr>
                <w:i/>
              </w:rPr>
              <w:t>Does the draft create any barriers to market entry for new suppliers or service providers? Will the proposed amendments entail stricter regulation of the conduct of particular businesses? Will some enterprises or products be treated differently from others in a comparable situation (special regimes for SMEs)? If so, describe them.</w:t>
            </w:r>
          </w:p>
          <w:p w14:paraId="225705F1" w14:textId="77777777" w:rsidR="005A2412" w:rsidRPr="00C21B27" w:rsidRDefault="005A2412">
            <w:pPr>
              <w:rPr>
                <w:i/>
              </w:rPr>
            </w:pPr>
            <w:r>
              <w:rPr>
                <w:i/>
              </w:rPr>
              <w:t>How will the proposed amendments affect trade barriers? Will they have an impact on cross-border investment (inflow/outflow of foreign investment or conditions for Slovak enterprises to succeed in foreign markets)? If so, describe it.</w:t>
            </w:r>
          </w:p>
          <w:p w14:paraId="7F8BA3AC" w14:textId="77777777" w:rsidR="005A2412" w:rsidRPr="00C21B27" w:rsidRDefault="005A2412">
            <w:pPr>
              <w:rPr>
                <w:i/>
              </w:rPr>
            </w:pPr>
            <w:r>
              <w:rPr>
                <w:i/>
              </w:rPr>
              <w:t>How will they affect the cost or availability of essential inputs (raw materials, machinery, labour, energy, etc.)?</w:t>
            </w:r>
          </w:p>
          <w:p w14:paraId="2B12F55F" w14:textId="77777777" w:rsidR="005A2412" w:rsidRPr="00C21B27" w:rsidRDefault="005A2412">
            <w:pPr>
              <w:rPr>
                <w:i/>
              </w:rPr>
            </w:pPr>
            <w:r>
              <w:rPr>
                <w:i/>
              </w:rPr>
              <w:t>Does it affect access to finance? If so, how?</w:t>
            </w:r>
          </w:p>
        </w:tc>
      </w:tr>
      <w:tr w:rsidR="005A2412" w:rsidRPr="00C21B27" w14:paraId="6DB6E987"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12D0C233" w14:textId="534668B3" w:rsidR="005A2412" w:rsidRPr="00C21B27" w:rsidRDefault="005A2412">
            <w:pPr>
              <w:rPr>
                <w:i/>
              </w:rPr>
            </w:pPr>
            <w:r>
              <w:t>No conditions are specified for market entry, starting a business</w:t>
            </w:r>
            <w:r w:rsidR="00387A31">
              <w:t xml:space="preserve"> or</w:t>
            </w:r>
            <w:r>
              <w:t xml:space="preserve"> market behaviour. The obligation does not lead to changes in market structure.</w:t>
            </w:r>
          </w:p>
        </w:tc>
      </w:tr>
      <w:tr w:rsidR="005A2412" w:rsidRPr="00C21B27" w14:paraId="7D3D7D49" w14:textId="77777777"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14:paraId="1D29D96E" w14:textId="6E99403E" w:rsidR="005A2412" w:rsidRPr="00C21B27" w:rsidRDefault="005A2412">
            <w:pPr>
              <w:rPr>
                <w:b/>
              </w:rPr>
            </w:pPr>
            <w:r>
              <w:rPr>
                <w:b/>
              </w:rPr>
              <w:t>3.5 Innovation</w:t>
            </w:r>
          </w:p>
          <w:p w14:paraId="69870E53" w14:textId="77777777" w:rsidR="005A2412" w:rsidRPr="00C21B27" w:rsidRDefault="005A2412" w:rsidP="00C21B27">
            <w:pPr>
              <w:ind w:left="284"/>
              <w:rPr>
                <w:b/>
                <w:sz w:val="20"/>
              </w:rPr>
            </w:pPr>
            <w:r>
              <w:rPr>
                <w:b/>
              </w:rPr>
              <w:t>– of which SMEs</w:t>
            </w:r>
          </w:p>
        </w:tc>
      </w:tr>
      <w:tr w:rsidR="005A2412" w:rsidRPr="00C21B27" w14:paraId="0F181BF7"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3AFC5261" w14:textId="77777777" w:rsidR="005A2412" w:rsidRPr="00C21B27" w:rsidRDefault="005A2412">
            <w:pPr>
              <w:rPr>
                <w:i/>
              </w:rPr>
            </w:pPr>
            <w:r>
              <w:rPr>
                <w:i/>
              </w:rPr>
              <w:t>Specify how the proposed changes promote innovation.</w:t>
            </w:r>
          </w:p>
          <w:p w14:paraId="7CF12CA0" w14:textId="77777777" w:rsidR="005A2412" w:rsidRPr="00C21B27" w:rsidRDefault="005A2412">
            <w:pPr>
              <w:rPr>
                <w:i/>
              </w:rPr>
            </w:pPr>
            <w:r>
              <w:rPr>
                <w:i/>
              </w:rPr>
              <w:t>Do they simplify the introduction or expansion of new production methods, technology and products on the market?</w:t>
            </w:r>
          </w:p>
          <w:p w14:paraId="4B49EAB7" w14:textId="77777777" w:rsidR="005A2412" w:rsidRPr="00C21B27" w:rsidRDefault="005A2412">
            <w:pPr>
              <w:rPr>
                <w:i/>
              </w:rPr>
            </w:pPr>
            <w:r>
              <w:rPr>
                <w:i/>
              </w:rPr>
              <w:t>Specify how the proposed amendments affect the individual intellectual property rights (e.g. patents, trademarks, copyright, ownership of know-how).</w:t>
            </w:r>
          </w:p>
          <w:p w14:paraId="6DBE3A3B" w14:textId="77777777" w:rsidR="005A2412" w:rsidRPr="00C21B27" w:rsidRDefault="005A2412">
            <w:pPr>
              <w:rPr>
                <w:i/>
              </w:rPr>
            </w:pPr>
            <w:r>
              <w:rPr>
                <w:i/>
              </w:rPr>
              <w:t>Do they encourage increased efficiency in production/use of resources? If so, how?</w:t>
            </w:r>
          </w:p>
          <w:p w14:paraId="35CCDBC6" w14:textId="77777777" w:rsidR="005A2412" w:rsidRPr="00C21B27" w:rsidRDefault="005A2412">
            <w:r>
              <w:rPr>
                <w:i/>
              </w:rPr>
              <w:t>Will the amendments create new research and development jobs in Slovakia?</w:t>
            </w:r>
          </w:p>
        </w:tc>
      </w:tr>
      <w:tr w:rsidR="005A2412" w:rsidRPr="00C21B27" w14:paraId="2975020E" w14:textId="77777777" w:rsidTr="00C21B27">
        <w:tc>
          <w:tcPr>
            <w:tcW w:w="9302" w:type="dxa"/>
            <w:tcBorders>
              <w:top w:val="single" w:sz="4" w:space="0" w:color="auto"/>
              <w:left w:val="single" w:sz="4" w:space="0" w:color="auto"/>
              <w:bottom w:val="single" w:sz="4" w:space="0" w:color="auto"/>
              <w:right w:val="single" w:sz="4" w:space="0" w:color="auto"/>
            </w:tcBorders>
            <w:hideMark/>
          </w:tcPr>
          <w:p w14:paraId="2AF58ED3" w14:textId="77777777" w:rsidR="005A2412" w:rsidRPr="00C21B27" w:rsidRDefault="005A2412">
            <w:r>
              <w:t>The draft document does not affect innovation.</w:t>
            </w:r>
          </w:p>
        </w:tc>
      </w:tr>
    </w:tbl>
    <w:p w14:paraId="08DC9EEB" w14:textId="77777777" w:rsidR="005A2412" w:rsidRPr="00C21B27" w:rsidRDefault="005A2412" w:rsidP="002720F0"/>
    <w:sectPr w:rsidR="005A2412" w:rsidRPr="00C21B27" w:rsidSect="005A2412">
      <w:footerReference w:type="default" r:id="rId12"/>
      <w:pgSz w:w="11906" w:h="16838"/>
      <w:pgMar w:top="1276"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5250A" w14:textId="77777777" w:rsidR="00321942" w:rsidRDefault="00321942" w:rsidP="008360EC">
      <w:r>
        <w:separator/>
      </w:r>
    </w:p>
  </w:endnote>
  <w:endnote w:type="continuationSeparator" w:id="0">
    <w:p w14:paraId="51B0CBCD" w14:textId="77777777" w:rsidR="00321942" w:rsidRDefault="00321942" w:rsidP="0083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8F348" w14:textId="77777777" w:rsidR="008360EC" w:rsidRDefault="008360EC" w:rsidP="00296C2A">
    <w:pPr>
      <w:pStyle w:val="Footer"/>
      <w:jc w:val="center"/>
    </w:pPr>
    <w:r>
      <w:fldChar w:fldCharType="begin"/>
    </w:r>
    <w:r>
      <w:instrText>PAGE   \* MERGEFORMAT</w:instrText>
    </w:r>
    <w:r>
      <w:fldChar w:fldCharType="separate"/>
    </w:r>
    <w:r w:rsidR="00387A3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E6A59" w14:textId="77777777" w:rsidR="00321942" w:rsidRDefault="00321942" w:rsidP="008360EC">
      <w:r>
        <w:separator/>
      </w:r>
    </w:p>
  </w:footnote>
  <w:footnote w:type="continuationSeparator" w:id="0">
    <w:p w14:paraId="0B47498B" w14:textId="77777777" w:rsidR="00321942" w:rsidRDefault="00321942" w:rsidP="00836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65E"/>
    <w:multiLevelType w:val="hybridMultilevel"/>
    <w:tmpl w:val="F8DCBC80"/>
    <w:lvl w:ilvl="0" w:tplc="51E0979E">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373B1548"/>
    <w:multiLevelType w:val="hybridMultilevel"/>
    <w:tmpl w:val="5A6EAA72"/>
    <w:lvl w:ilvl="0" w:tplc="685AE374">
      <w:start w:val="10"/>
      <w:numFmt w:val="decimal"/>
      <w:lvlText w:val="%1."/>
      <w:lvlJc w:val="left"/>
      <w:pPr>
        <w:ind w:left="86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0D8131E"/>
    <w:multiLevelType w:val="hybridMultilevel"/>
    <w:tmpl w:val="81AADB78"/>
    <w:lvl w:ilvl="0" w:tplc="10CCA92A">
      <w:start w:val="1"/>
      <w:numFmt w:val="lowerLetter"/>
      <w:lvlText w:val="%1)"/>
      <w:lvlJc w:val="left"/>
      <w:pPr>
        <w:ind w:left="720" w:hanging="360"/>
      </w:pPr>
      <w:rPr>
        <w:rFonts w:ascii="Times New Roman" w:eastAsia="Times New Roman" w:hAnsi="Times New Roman" w:cs="Times New Roman"/>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EC"/>
    <w:rsid w:val="000050B5"/>
    <w:rsid w:val="00015A0C"/>
    <w:rsid w:val="00032D4F"/>
    <w:rsid w:val="00041EBB"/>
    <w:rsid w:val="000810F7"/>
    <w:rsid w:val="00090E93"/>
    <w:rsid w:val="00097196"/>
    <w:rsid w:val="000B7768"/>
    <w:rsid w:val="000C5EDD"/>
    <w:rsid w:val="000D1492"/>
    <w:rsid w:val="000F6CA2"/>
    <w:rsid w:val="00104149"/>
    <w:rsid w:val="00106010"/>
    <w:rsid w:val="0011155E"/>
    <w:rsid w:val="0011478F"/>
    <w:rsid w:val="00115C81"/>
    <w:rsid w:val="00134813"/>
    <w:rsid w:val="00150387"/>
    <w:rsid w:val="00162E54"/>
    <w:rsid w:val="00164F83"/>
    <w:rsid w:val="00180D80"/>
    <w:rsid w:val="00184C78"/>
    <w:rsid w:val="0019075A"/>
    <w:rsid w:val="001A4585"/>
    <w:rsid w:val="001B0EC5"/>
    <w:rsid w:val="001B1E0A"/>
    <w:rsid w:val="001B7E87"/>
    <w:rsid w:val="001C4FD9"/>
    <w:rsid w:val="001F325A"/>
    <w:rsid w:val="00203B0B"/>
    <w:rsid w:val="00204DC5"/>
    <w:rsid w:val="002118F7"/>
    <w:rsid w:val="0021356F"/>
    <w:rsid w:val="00245881"/>
    <w:rsid w:val="00245FF2"/>
    <w:rsid w:val="00246293"/>
    <w:rsid w:val="00264825"/>
    <w:rsid w:val="002720F0"/>
    <w:rsid w:val="0027533D"/>
    <w:rsid w:val="00275ADF"/>
    <w:rsid w:val="00296C2A"/>
    <w:rsid w:val="002B6E5D"/>
    <w:rsid w:val="002D0BE1"/>
    <w:rsid w:val="00314F8B"/>
    <w:rsid w:val="00321942"/>
    <w:rsid w:val="00342101"/>
    <w:rsid w:val="00346D5B"/>
    <w:rsid w:val="003521AA"/>
    <w:rsid w:val="0035570A"/>
    <w:rsid w:val="00356FBF"/>
    <w:rsid w:val="00365854"/>
    <w:rsid w:val="00375E7F"/>
    <w:rsid w:val="00384B06"/>
    <w:rsid w:val="00387A31"/>
    <w:rsid w:val="003911D6"/>
    <w:rsid w:val="003A3447"/>
    <w:rsid w:val="003A3E8C"/>
    <w:rsid w:val="003C3245"/>
    <w:rsid w:val="003D2B03"/>
    <w:rsid w:val="003E1780"/>
    <w:rsid w:val="003E5A56"/>
    <w:rsid w:val="00411580"/>
    <w:rsid w:val="00446A9F"/>
    <w:rsid w:val="00457019"/>
    <w:rsid w:val="00471459"/>
    <w:rsid w:val="00471523"/>
    <w:rsid w:val="004B5B39"/>
    <w:rsid w:val="004C0110"/>
    <w:rsid w:val="004C267D"/>
    <w:rsid w:val="004E0B16"/>
    <w:rsid w:val="004E4D42"/>
    <w:rsid w:val="004F1F48"/>
    <w:rsid w:val="00506946"/>
    <w:rsid w:val="00522176"/>
    <w:rsid w:val="0052733E"/>
    <w:rsid w:val="00534EC1"/>
    <w:rsid w:val="00547A0F"/>
    <w:rsid w:val="00552174"/>
    <w:rsid w:val="00557689"/>
    <w:rsid w:val="00573ED1"/>
    <w:rsid w:val="00580107"/>
    <w:rsid w:val="00590877"/>
    <w:rsid w:val="005A2412"/>
    <w:rsid w:val="005A6A21"/>
    <w:rsid w:val="005B0C70"/>
    <w:rsid w:val="005C46BE"/>
    <w:rsid w:val="005D5EB5"/>
    <w:rsid w:val="005F2665"/>
    <w:rsid w:val="005F2FA5"/>
    <w:rsid w:val="005F3167"/>
    <w:rsid w:val="005F429E"/>
    <w:rsid w:val="00634468"/>
    <w:rsid w:val="00663D30"/>
    <w:rsid w:val="00675035"/>
    <w:rsid w:val="00681521"/>
    <w:rsid w:val="00687B26"/>
    <w:rsid w:val="006D3C32"/>
    <w:rsid w:val="006F5D11"/>
    <w:rsid w:val="007247CA"/>
    <w:rsid w:val="00726929"/>
    <w:rsid w:val="00775953"/>
    <w:rsid w:val="00796BCF"/>
    <w:rsid w:val="007971A1"/>
    <w:rsid w:val="007A2B6B"/>
    <w:rsid w:val="007A73A8"/>
    <w:rsid w:val="007C30E3"/>
    <w:rsid w:val="007C41E0"/>
    <w:rsid w:val="007F2BF2"/>
    <w:rsid w:val="00800D8F"/>
    <w:rsid w:val="0080165F"/>
    <w:rsid w:val="00825E0F"/>
    <w:rsid w:val="00831011"/>
    <w:rsid w:val="008360EC"/>
    <w:rsid w:val="008423D9"/>
    <w:rsid w:val="00847253"/>
    <w:rsid w:val="00872B28"/>
    <w:rsid w:val="008731CE"/>
    <w:rsid w:val="008A2153"/>
    <w:rsid w:val="008B55E7"/>
    <w:rsid w:val="008D45A9"/>
    <w:rsid w:val="008E3540"/>
    <w:rsid w:val="00912B9B"/>
    <w:rsid w:val="00917DAD"/>
    <w:rsid w:val="00917EEC"/>
    <w:rsid w:val="00925FC5"/>
    <w:rsid w:val="0093764A"/>
    <w:rsid w:val="00945F64"/>
    <w:rsid w:val="00954F9E"/>
    <w:rsid w:val="00966220"/>
    <w:rsid w:val="00967B27"/>
    <w:rsid w:val="009D097D"/>
    <w:rsid w:val="00A04401"/>
    <w:rsid w:val="00A33867"/>
    <w:rsid w:val="00A339DD"/>
    <w:rsid w:val="00A34354"/>
    <w:rsid w:val="00A532D5"/>
    <w:rsid w:val="00A72661"/>
    <w:rsid w:val="00A8202D"/>
    <w:rsid w:val="00A86E0E"/>
    <w:rsid w:val="00AA1C0F"/>
    <w:rsid w:val="00AA3666"/>
    <w:rsid w:val="00B308B4"/>
    <w:rsid w:val="00B3509B"/>
    <w:rsid w:val="00B512F3"/>
    <w:rsid w:val="00B55B33"/>
    <w:rsid w:val="00B651A2"/>
    <w:rsid w:val="00B82873"/>
    <w:rsid w:val="00BA4953"/>
    <w:rsid w:val="00BA4A2E"/>
    <w:rsid w:val="00BA6770"/>
    <w:rsid w:val="00BB4764"/>
    <w:rsid w:val="00BB4864"/>
    <w:rsid w:val="00BC19FB"/>
    <w:rsid w:val="00BD7F66"/>
    <w:rsid w:val="00BE4103"/>
    <w:rsid w:val="00C14548"/>
    <w:rsid w:val="00C21B27"/>
    <w:rsid w:val="00C31D35"/>
    <w:rsid w:val="00C3405D"/>
    <w:rsid w:val="00C677BE"/>
    <w:rsid w:val="00CB68BA"/>
    <w:rsid w:val="00CF2E80"/>
    <w:rsid w:val="00D273A7"/>
    <w:rsid w:val="00D3372A"/>
    <w:rsid w:val="00D71064"/>
    <w:rsid w:val="00DA1877"/>
    <w:rsid w:val="00DA4CBB"/>
    <w:rsid w:val="00DB50BE"/>
    <w:rsid w:val="00DD518C"/>
    <w:rsid w:val="00DF0234"/>
    <w:rsid w:val="00E35B2D"/>
    <w:rsid w:val="00E658A3"/>
    <w:rsid w:val="00EB1AC7"/>
    <w:rsid w:val="00EC25EF"/>
    <w:rsid w:val="00EE3353"/>
    <w:rsid w:val="00EE737F"/>
    <w:rsid w:val="00F07320"/>
    <w:rsid w:val="00F16A51"/>
    <w:rsid w:val="00F23105"/>
    <w:rsid w:val="00F27AF2"/>
    <w:rsid w:val="00F5011B"/>
    <w:rsid w:val="00F55B0F"/>
    <w:rsid w:val="00F637BD"/>
    <w:rsid w:val="00F75095"/>
    <w:rsid w:val="00FC4E45"/>
    <w:rsid w:val="00FC730E"/>
    <w:rsid w:val="00FE4F2D"/>
    <w:rsid w:val="00FF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D64A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EC"/>
    <w:rPr>
      <w:rFonts w:ascii="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360EC"/>
    <w:pPr>
      <w:jc w:val="center"/>
    </w:pPr>
  </w:style>
  <w:style w:type="character" w:customStyle="1" w:styleId="BodyTextChar">
    <w:name w:val="Body Text Char"/>
    <w:link w:val="BodyText"/>
    <w:uiPriority w:val="99"/>
    <w:locked/>
    <w:rsid w:val="008360EC"/>
    <w:rPr>
      <w:rFonts w:ascii="Times New Roman" w:hAnsi="Times New Roman" w:cs="Times New Roman"/>
      <w:sz w:val="24"/>
      <w:szCs w:val="24"/>
      <w:lang w:val="en-GB" w:eastAsia="cs-CZ"/>
    </w:rPr>
  </w:style>
  <w:style w:type="paragraph" w:styleId="NormalWeb">
    <w:name w:val="Normal (Web)"/>
    <w:basedOn w:val="Normal"/>
    <w:uiPriority w:val="99"/>
    <w:unhideWhenUsed/>
    <w:rsid w:val="008360EC"/>
    <w:pPr>
      <w:spacing w:before="100" w:beforeAutospacing="1" w:after="100" w:afterAutospacing="1"/>
    </w:pPr>
    <w:rPr>
      <w:lang w:eastAsia="sk-SK"/>
    </w:rPr>
  </w:style>
  <w:style w:type="paragraph" w:styleId="ListParagraph">
    <w:name w:val="List Paragraph"/>
    <w:basedOn w:val="Normal"/>
    <w:uiPriority w:val="34"/>
    <w:qFormat/>
    <w:rsid w:val="008360EC"/>
    <w:pPr>
      <w:ind w:left="720"/>
      <w:contextualSpacing/>
    </w:pPr>
  </w:style>
  <w:style w:type="paragraph" w:styleId="Header">
    <w:name w:val="header"/>
    <w:basedOn w:val="Normal"/>
    <w:link w:val="HeaderChar"/>
    <w:uiPriority w:val="99"/>
    <w:unhideWhenUsed/>
    <w:rsid w:val="008360EC"/>
    <w:pPr>
      <w:tabs>
        <w:tab w:val="center" w:pos="4536"/>
        <w:tab w:val="right" w:pos="9072"/>
      </w:tabs>
    </w:pPr>
  </w:style>
  <w:style w:type="character" w:customStyle="1" w:styleId="HeaderChar">
    <w:name w:val="Header Char"/>
    <w:link w:val="Header"/>
    <w:uiPriority w:val="99"/>
    <w:locked/>
    <w:rsid w:val="008360EC"/>
    <w:rPr>
      <w:rFonts w:ascii="Times New Roman" w:hAnsi="Times New Roman" w:cs="Times New Roman"/>
      <w:sz w:val="24"/>
      <w:szCs w:val="24"/>
      <w:lang w:val="en-GB" w:eastAsia="cs-CZ"/>
    </w:rPr>
  </w:style>
  <w:style w:type="paragraph" w:styleId="Footer">
    <w:name w:val="footer"/>
    <w:basedOn w:val="Normal"/>
    <w:link w:val="FooterChar"/>
    <w:uiPriority w:val="99"/>
    <w:unhideWhenUsed/>
    <w:rsid w:val="008360EC"/>
    <w:pPr>
      <w:tabs>
        <w:tab w:val="center" w:pos="4536"/>
        <w:tab w:val="right" w:pos="9072"/>
      </w:tabs>
    </w:pPr>
  </w:style>
  <w:style w:type="character" w:customStyle="1" w:styleId="FooterChar">
    <w:name w:val="Footer Char"/>
    <w:link w:val="Footer"/>
    <w:uiPriority w:val="99"/>
    <w:locked/>
    <w:rsid w:val="008360EC"/>
    <w:rPr>
      <w:rFonts w:ascii="Times New Roman" w:hAnsi="Times New Roman" w:cs="Times New Roman"/>
      <w:sz w:val="24"/>
      <w:szCs w:val="24"/>
      <w:lang w:val="en-GB" w:eastAsia="cs-CZ"/>
    </w:rPr>
  </w:style>
  <w:style w:type="character" w:styleId="CommentReference">
    <w:name w:val="annotation reference"/>
    <w:uiPriority w:val="99"/>
    <w:semiHidden/>
    <w:unhideWhenUsed/>
    <w:rsid w:val="003C3245"/>
    <w:rPr>
      <w:rFonts w:cs="Times New Roman"/>
      <w:sz w:val="16"/>
      <w:szCs w:val="16"/>
    </w:rPr>
  </w:style>
  <w:style w:type="paragraph" w:styleId="CommentText">
    <w:name w:val="annotation text"/>
    <w:basedOn w:val="Normal"/>
    <w:link w:val="CommentTextChar"/>
    <w:uiPriority w:val="99"/>
    <w:semiHidden/>
    <w:unhideWhenUsed/>
    <w:rsid w:val="003C3245"/>
    <w:rPr>
      <w:sz w:val="20"/>
      <w:szCs w:val="20"/>
    </w:rPr>
  </w:style>
  <w:style w:type="character" w:customStyle="1" w:styleId="CommentTextChar">
    <w:name w:val="Comment Text Char"/>
    <w:link w:val="CommentText"/>
    <w:uiPriority w:val="99"/>
    <w:semiHidden/>
    <w:locked/>
    <w:rsid w:val="003C3245"/>
    <w:rPr>
      <w:rFonts w:ascii="Times New Roman" w:hAnsi="Times New Roman" w:cs="Times New Roman"/>
      <w:sz w:val="20"/>
      <w:szCs w:val="20"/>
      <w:lang w:val="en-GB" w:eastAsia="cs-CZ"/>
    </w:rPr>
  </w:style>
  <w:style w:type="paragraph" w:styleId="CommentSubject">
    <w:name w:val="annotation subject"/>
    <w:basedOn w:val="CommentText"/>
    <w:next w:val="CommentText"/>
    <w:link w:val="CommentSubjectChar"/>
    <w:uiPriority w:val="99"/>
    <w:semiHidden/>
    <w:unhideWhenUsed/>
    <w:rsid w:val="003C3245"/>
    <w:rPr>
      <w:b/>
      <w:bCs/>
    </w:rPr>
  </w:style>
  <w:style w:type="character" w:customStyle="1" w:styleId="CommentSubjectChar">
    <w:name w:val="Comment Subject Char"/>
    <w:link w:val="CommentSubject"/>
    <w:uiPriority w:val="99"/>
    <w:semiHidden/>
    <w:locked/>
    <w:rsid w:val="003C3245"/>
    <w:rPr>
      <w:rFonts w:ascii="Times New Roman" w:hAnsi="Times New Roman" w:cs="Times New Roman"/>
      <w:b/>
      <w:bCs/>
      <w:sz w:val="20"/>
      <w:szCs w:val="20"/>
      <w:lang w:val="en-GB" w:eastAsia="cs-CZ"/>
    </w:rPr>
  </w:style>
  <w:style w:type="paragraph" w:styleId="BalloonText">
    <w:name w:val="Balloon Text"/>
    <w:basedOn w:val="Normal"/>
    <w:link w:val="BalloonTextChar"/>
    <w:uiPriority w:val="99"/>
    <w:semiHidden/>
    <w:unhideWhenUsed/>
    <w:rsid w:val="003C3245"/>
    <w:rPr>
      <w:rFonts w:ascii="Tahoma" w:hAnsi="Tahoma" w:cs="Tahoma"/>
      <w:sz w:val="16"/>
      <w:szCs w:val="16"/>
    </w:rPr>
  </w:style>
  <w:style w:type="character" w:customStyle="1" w:styleId="BalloonTextChar">
    <w:name w:val="Balloon Text Char"/>
    <w:link w:val="BalloonText"/>
    <w:uiPriority w:val="99"/>
    <w:semiHidden/>
    <w:locked/>
    <w:rsid w:val="003C3245"/>
    <w:rPr>
      <w:rFonts w:ascii="Tahoma" w:hAnsi="Tahoma" w:cs="Tahoma"/>
      <w:sz w:val="16"/>
      <w:szCs w:val="16"/>
      <w:lang w:val="en-GB" w:eastAsia="cs-CZ"/>
    </w:rPr>
  </w:style>
  <w:style w:type="table" w:styleId="TableGrid">
    <w:name w:val="Table Grid"/>
    <w:basedOn w:val="TableNormal"/>
    <w:uiPriority w:val="59"/>
    <w:rsid w:val="005908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4B5B39"/>
    <w:rPr>
      <w:rFonts w:ascii="Times New Roman" w:hAnsi="Times New Roman" w:cs="Times New Roman"/>
      <w:color w:val="000000"/>
    </w:rPr>
  </w:style>
  <w:style w:type="paragraph" w:styleId="BodyTextIndent">
    <w:name w:val="Body Text Indent"/>
    <w:basedOn w:val="Normal"/>
    <w:link w:val="BodyTextIndentChar"/>
    <w:uiPriority w:val="99"/>
    <w:unhideWhenUsed/>
    <w:rsid w:val="007C30E3"/>
    <w:pPr>
      <w:spacing w:after="120"/>
      <w:ind w:left="283"/>
    </w:pPr>
  </w:style>
  <w:style w:type="character" w:customStyle="1" w:styleId="BodyTextIndentChar">
    <w:name w:val="Body Text Indent Char"/>
    <w:link w:val="BodyTextIndent"/>
    <w:uiPriority w:val="99"/>
    <w:locked/>
    <w:rsid w:val="007C30E3"/>
    <w:rPr>
      <w:rFonts w:ascii="Times New Roman" w:hAnsi="Times New Roman" w:cs="Times New Roman"/>
      <w:sz w:val="24"/>
      <w:szCs w:val="24"/>
      <w:lang w:val="en-GB" w:eastAsia="cs-CZ"/>
    </w:rPr>
  </w:style>
  <w:style w:type="character" w:styleId="Hyperlink">
    <w:name w:val="Hyperlink"/>
    <w:uiPriority w:val="99"/>
    <w:unhideWhenUsed/>
    <w:rsid w:val="00B512F3"/>
    <w:rPr>
      <w:rFonts w:cs="Times New Roman"/>
      <w:color w:val="0000FF"/>
      <w:u w:val="single"/>
    </w:rPr>
  </w:style>
  <w:style w:type="paragraph" w:styleId="BodyText2">
    <w:name w:val="Body Text 2"/>
    <w:basedOn w:val="Normal"/>
    <w:link w:val="BodyText2Char"/>
    <w:uiPriority w:val="99"/>
    <w:semiHidden/>
    <w:unhideWhenUsed/>
    <w:rsid w:val="005C46BE"/>
    <w:pPr>
      <w:spacing w:after="120" w:line="480" w:lineRule="auto"/>
    </w:pPr>
  </w:style>
  <w:style w:type="character" w:customStyle="1" w:styleId="BodyText2Char">
    <w:name w:val="Body Text 2 Char"/>
    <w:link w:val="BodyText2"/>
    <w:uiPriority w:val="99"/>
    <w:semiHidden/>
    <w:rsid w:val="005C46BE"/>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EC"/>
    <w:rPr>
      <w:rFonts w:ascii="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360EC"/>
    <w:pPr>
      <w:jc w:val="center"/>
    </w:pPr>
  </w:style>
  <w:style w:type="character" w:customStyle="1" w:styleId="BodyTextChar">
    <w:name w:val="Body Text Char"/>
    <w:link w:val="BodyText"/>
    <w:uiPriority w:val="99"/>
    <w:locked/>
    <w:rsid w:val="008360EC"/>
    <w:rPr>
      <w:rFonts w:ascii="Times New Roman" w:hAnsi="Times New Roman" w:cs="Times New Roman"/>
      <w:sz w:val="24"/>
      <w:szCs w:val="24"/>
      <w:lang w:val="en-GB" w:eastAsia="cs-CZ"/>
    </w:rPr>
  </w:style>
  <w:style w:type="paragraph" w:styleId="NormalWeb">
    <w:name w:val="Normal (Web)"/>
    <w:basedOn w:val="Normal"/>
    <w:uiPriority w:val="99"/>
    <w:unhideWhenUsed/>
    <w:rsid w:val="008360EC"/>
    <w:pPr>
      <w:spacing w:before="100" w:beforeAutospacing="1" w:after="100" w:afterAutospacing="1"/>
    </w:pPr>
    <w:rPr>
      <w:lang w:eastAsia="sk-SK"/>
    </w:rPr>
  </w:style>
  <w:style w:type="paragraph" w:styleId="ListParagraph">
    <w:name w:val="List Paragraph"/>
    <w:basedOn w:val="Normal"/>
    <w:uiPriority w:val="34"/>
    <w:qFormat/>
    <w:rsid w:val="008360EC"/>
    <w:pPr>
      <w:ind w:left="720"/>
      <w:contextualSpacing/>
    </w:pPr>
  </w:style>
  <w:style w:type="paragraph" w:styleId="Header">
    <w:name w:val="header"/>
    <w:basedOn w:val="Normal"/>
    <w:link w:val="HeaderChar"/>
    <w:uiPriority w:val="99"/>
    <w:unhideWhenUsed/>
    <w:rsid w:val="008360EC"/>
    <w:pPr>
      <w:tabs>
        <w:tab w:val="center" w:pos="4536"/>
        <w:tab w:val="right" w:pos="9072"/>
      </w:tabs>
    </w:pPr>
  </w:style>
  <w:style w:type="character" w:customStyle="1" w:styleId="HeaderChar">
    <w:name w:val="Header Char"/>
    <w:link w:val="Header"/>
    <w:uiPriority w:val="99"/>
    <w:locked/>
    <w:rsid w:val="008360EC"/>
    <w:rPr>
      <w:rFonts w:ascii="Times New Roman" w:hAnsi="Times New Roman" w:cs="Times New Roman"/>
      <w:sz w:val="24"/>
      <w:szCs w:val="24"/>
      <w:lang w:val="en-GB" w:eastAsia="cs-CZ"/>
    </w:rPr>
  </w:style>
  <w:style w:type="paragraph" w:styleId="Footer">
    <w:name w:val="footer"/>
    <w:basedOn w:val="Normal"/>
    <w:link w:val="FooterChar"/>
    <w:uiPriority w:val="99"/>
    <w:unhideWhenUsed/>
    <w:rsid w:val="008360EC"/>
    <w:pPr>
      <w:tabs>
        <w:tab w:val="center" w:pos="4536"/>
        <w:tab w:val="right" w:pos="9072"/>
      </w:tabs>
    </w:pPr>
  </w:style>
  <w:style w:type="character" w:customStyle="1" w:styleId="FooterChar">
    <w:name w:val="Footer Char"/>
    <w:link w:val="Footer"/>
    <w:uiPriority w:val="99"/>
    <w:locked/>
    <w:rsid w:val="008360EC"/>
    <w:rPr>
      <w:rFonts w:ascii="Times New Roman" w:hAnsi="Times New Roman" w:cs="Times New Roman"/>
      <w:sz w:val="24"/>
      <w:szCs w:val="24"/>
      <w:lang w:val="en-GB" w:eastAsia="cs-CZ"/>
    </w:rPr>
  </w:style>
  <w:style w:type="character" w:styleId="CommentReference">
    <w:name w:val="annotation reference"/>
    <w:uiPriority w:val="99"/>
    <w:semiHidden/>
    <w:unhideWhenUsed/>
    <w:rsid w:val="003C3245"/>
    <w:rPr>
      <w:rFonts w:cs="Times New Roman"/>
      <w:sz w:val="16"/>
      <w:szCs w:val="16"/>
    </w:rPr>
  </w:style>
  <w:style w:type="paragraph" w:styleId="CommentText">
    <w:name w:val="annotation text"/>
    <w:basedOn w:val="Normal"/>
    <w:link w:val="CommentTextChar"/>
    <w:uiPriority w:val="99"/>
    <w:semiHidden/>
    <w:unhideWhenUsed/>
    <w:rsid w:val="003C3245"/>
    <w:rPr>
      <w:sz w:val="20"/>
      <w:szCs w:val="20"/>
    </w:rPr>
  </w:style>
  <w:style w:type="character" w:customStyle="1" w:styleId="CommentTextChar">
    <w:name w:val="Comment Text Char"/>
    <w:link w:val="CommentText"/>
    <w:uiPriority w:val="99"/>
    <w:semiHidden/>
    <w:locked/>
    <w:rsid w:val="003C3245"/>
    <w:rPr>
      <w:rFonts w:ascii="Times New Roman" w:hAnsi="Times New Roman" w:cs="Times New Roman"/>
      <w:sz w:val="20"/>
      <w:szCs w:val="20"/>
      <w:lang w:val="en-GB" w:eastAsia="cs-CZ"/>
    </w:rPr>
  </w:style>
  <w:style w:type="paragraph" w:styleId="CommentSubject">
    <w:name w:val="annotation subject"/>
    <w:basedOn w:val="CommentText"/>
    <w:next w:val="CommentText"/>
    <w:link w:val="CommentSubjectChar"/>
    <w:uiPriority w:val="99"/>
    <w:semiHidden/>
    <w:unhideWhenUsed/>
    <w:rsid w:val="003C3245"/>
    <w:rPr>
      <w:b/>
      <w:bCs/>
    </w:rPr>
  </w:style>
  <w:style w:type="character" w:customStyle="1" w:styleId="CommentSubjectChar">
    <w:name w:val="Comment Subject Char"/>
    <w:link w:val="CommentSubject"/>
    <w:uiPriority w:val="99"/>
    <w:semiHidden/>
    <w:locked/>
    <w:rsid w:val="003C3245"/>
    <w:rPr>
      <w:rFonts w:ascii="Times New Roman" w:hAnsi="Times New Roman" w:cs="Times New Roman"/>
      <w:b/>
      <w:bCs/>
      <w:sz w:val="20"/>
      <w:szCs w:val="20"/>
      <w:lang w:val="en-GB" w:eastAsia="cs-CZ"/>
    </w:rPr>
  </w:style>
  <w:style w:type="paragraph" w:styleId="BalloonText">
    <w:name w:val="Balloon Text"/>
    <w:basedOn w:val="Normal"/>
    <w:link w:val="BalloonTextChar"/>
    <w:uiPriority w:val="99"/>
    <w:semiHidden/>
    <w:unhideWhenUsed/>
    <w:rsid w:val="003C3245"/>
    <w:rPr>
      <w:rFonts w:ascii="Tahoma" w:hAnsi="Tahoma" w:cs="Tahoma"/>
      <w:sz w:val="16"/>
      <w:szCs w:val="16"/>
    </w:rPr>
  </w:style>
  <w:style w:type="character" w:customStyle="1" w:styleId="BalloonTextChar">
    <w:name w:val="Balloon Text Char"/>
    <w:link w:val="BalloonText"/>
    <w:uiPriority w:val="99"/>
    <w:semiHidden/>
    <w:locked/>
    <w:rsid w:val="003C3245"/>
    <w:rPr>
      <w:rFonts w:ascii="Tahoma" w:hAnsi="Tahoma" w:cs="Tahoma"/>
      <w:sz w:val="16"/>
      <w:szCs w:val="16"/>
      <w:lang w:val="en-GB" w:eastAsia="cs-CZ"/>
    </w:rPr>
  </w:style>
  <w:style w:type="table" w:styleId="TableGrid">
    <w:name w:val="Table Grid"/>
    <w:basedOn w:val="TableNormal"/>
    <w:uiPriority w:val="59"/>
    <w:rsid w:val="005908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4B5B39"/>
    <w:rPr>
      <w:rFonts w:ascii="Times New Roman" w:hAnsi="Times New Roman" w:cs="Times New Roman"/>
      <w:color w:val="000000"/>
    </w:rPr>
  </w:style>
  <w:style w:type="paragraph" w:styleId="BodyTextIndent">
    <w:name w:val="Body Text Indent"/>
    <w:basedOn w:val="Normal"/>
    <w:link w:val="BodyTextIndentChar"/>
    <w:uiPriority w:val="99"/>
    <w:unhideWhenUsed/>
    <w:rsid w:val="007C30E3"/>
    <w:pPr>
      <w:spacing w:after="120"/>
      <w:ind w:left="283"/>
    </w:pPr>
  </w:style>
  <w:style w:type="character" w:customStyle="1" w:styleId="BodyTextIndentChar">
    <w:name w:val="Body Text Indent Char"/>
    <w:link w:val="BodyTextIndent"/>
    <w:uiPriority w:val="99"/>
    <w:locked/>
    <w:rsid w:val="007C30E3"/>
    <w:rPr>
      <w:rFonts w:ascii="Times New Roman" w:hAnsi="Times New Roman" w:cs="Times New Roman"/>
      <w:sz w:val="24"/>
      <w:szCs w:val="24"/>
      <w:lang w:val="en-GB" w:eastAsia="cs-CZ"/>
    </w:rPr>
  </w:style>
  <w:style w:type="character" w:styleId="Hyperlink">
    <w:name w:val="Hyperlink"/>
    <w:uiPriority w:val="99"/>
    <w:unhideWhenUsed/>
    <w:rsid w:val="00B512F3"/>
    <w:rPr>
      <w:rFonts w:cs="Times New Roman"/>
      <w:color w:val="0000FF"/>
      <w:u w:val="single"/>
    </w:rPr>
  </w:style>
  <w:style w:type="paragraph" w:styleId="BodyText2">
    <w:name w:val="Body Text 2"/>
    <w:basedOn w:val="Normal"/>
    <w:link w:val="BodyText2Char"/>
    <w:uiPriority w:val="99"/>
    <w:semiHidden/>
    <w:unhideWhenUsed/>
    <w:rsid w:val="005C46BE"/>
    <w:pPr>
      <w:spacing w:after="120" w:line="480" w:lineRule="auto"/>
    </w:pPr>
  </w:style>
  <w:style w:type="character" w:customStyle="1" w:styleId="BodyText2Char">
    <w:name w:val="Body Text 2 Char"/>
    <w:link w:val="BodyText2"/>
    <w:uiPriority w:val="99"/>
    <w:semiHidden/>
    <w:rsid w:val="005C46BE"/>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7323">
      <w:marLeft w:val="0"/>
      <w:marRight w:val="0"/>
      <w:marTop w:val="0"/>
      <w:marBottom w:val="0"/>
      <w:divBdr>
        <w:top w:val="none" w:sz="0" w:space="0" w:color="auto"/>
        <w:left w:val="none" w:sz="0" w:space="0" w:color="auto"/>
        <w:bottom w:val="none" w:sz="0" w:space="0" w:color="auto"/>
        <w:right w:val="none" w:sz="0" w:space="0" w:color="auto"/>
      </w:divBdr>
    </w:div>
    <w:div w:id="1282347324">
      <w:marLeft w:val="0"/>
      <w:marRight w:val="0"/>
      <w:marTop w:val="0"/>
      <w:marBottom w:val="0"/>
      <w:divBdr>
        <w:top w:val="none" w:sz="0" w:space="0" w:color="auto"/>
        <w:left w:val="none" w:sz="0" w:space="0" w:color="auto"/>
        <w:bottom w:val="none" w:sz="0" w:space="0" w:color="auto"/>
        <w:right w:val="none" w:sz="0" w:space="0" w:color="auto"/>
      </w:divBdr>
    </w:div>
    <w:div w:id="17627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us.chochlik@mindop.sk" TargetMode="External"/><Relationship Id="rId5" Type="http://schemas.openxmlformats.org/officeDocument/2006/relationships/settings" Target="settings.xml"/><Relationship Id="rId10" Type="http://schemas.openxmlformats.org/officeDocument/2006/relationships/hyperlink" Target="mailto:bohus.chochlik@mindop.sk" TargetMode="External"/><Relationship Id="rId4" Type="http://schemas.microsoft.com/office/2007/relationships/stylesWithEffects" Target="stylesWithEffects.xml"/><Relationship Id="rId9" Type="http://schemas.openxmlformats.org/officeDocument/2006/relationships/hyperlink" Target="mailto:katarina.bzovska@mindo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dolozka_vplyvov"/>
    <f:field ref="objsubject" par="" edit="true" text=""/>
    <f:field ref="objcreatedby" par="" text="Gavalcová, Eva"/>
    <f:field ref="objcreatedat" par="" text="8.2.2019 13:02:38"/>
    <f:field ref="objchangedby" par="" text="Administrator, System"/>
    <f:field ref="objmodifiedat" par="" text="8.2.2019 13:02: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1939</Words>
  <Characters>11057</Characters>
  <Application>Microsoft Office Word</Application>
  <DocSecurity>0</DocSecurity>
  <Lines>92</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Ministerstvo dopravy a výstavby SR</Company>
  <LinksUpToDate>false</LinksUpToDate>
  <CharactersWithSpaces>12971</CharactersWithSpaces>
  <SharedDoc>false</SharedDoc>
  <HLinks>
    <vt:vector size="18" baseType="variant">
      <vt:variant>
        <vt:i4>5767216</vt:i4>
      </vt:variant>
      <vt:variant>
        <vt:i4>5</vt:i4>
      </vt:variant>
      <vt:variant>
        <vt:i4>0</vt:i4>
      </vt:variant>
      <vt:variant>
        <vt:i4>5</vt:i4>
      </vt:variant>
      <vt:variant>
        <vt:lpwstr>mailto:bohus.chochlik@mindop.sk</vt:lpwstr>
      </vt:variant>
      <vt:variant>
        <vt:lpwstr/>
      </vt:variant>
      <vt:variant>
        <vt:i4>5767216</vt:i4>
      </vt:variant>
      <vt:variant>
        <vt:i4>3</vt:i4>
      </vt:variant>
      <vt:variant>
        <vt:i4>0</vt:i4>
      </vt:variant>
      <vt:variant>
        <vt:i4>5</vt:i4>
      </vt:variant>
      <vt:variant>
        <vt:lpwstr>mailto:bohus.chochlik@mindop.sk</vt:lpwstr>
      </vt:variant>
      <vt:variant>
        <vt:lpwstr/>
      </vt:variant>
      <vt:variant>
        <vt:i4>6684703</vt:i4>
      </vt:variant>
      <vt:variant>
        <vt:i4>0</vt:i4>
      </vt:variant>
      <vt:variant>
        <vt:i4>0</vt:i4>
      </vt:variant>
      <vt:variant>
        <vt:i4>5</vt:i4>
      </vt:variant>
      <vt:variant>
        <vt:lpwstr>mailto:katarina.bzovska@mindop.sk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DA</cp:lastModifiedBy>
  <cp:revision>4</cp:revision>
  <cp:lastPrinted>2019-09-29T15:07:00Z</cp:lastPrinted>
  <dcterms:created xsi:type="dcterms:W3CDTF">2019-09-28T11:44:00Z</dcterms:created>
  <dcterms:modified xsi:type="dcterms:W3CDTF">2019-10-02T11:26:00Z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Eva Gavalcová</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ktorou sa mení a dopĺňa vyhláška Ministerstva dopravy a výstavby Slovenskej republiky č. 138/2018 Z. z., ktorou sa ustanovujú podrobnosti v oblasti emisnej kontroly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136 ods. 3 písm. h) zákona č. 106/2018 Z. z. _x000d_
o prevádzke vozidiel v cestnej premávke _x000d_
a o zmene a doplnení niektorých zákonov _x000d_
</vt:lpwstr>
  </property>
  <property fmtid="{D5CDD505-2E9C-101B-9397-08002B2CF9AE}" pid="23" name="FSC#SKEDITIONSLOVLEX@103.510:plnynazovpredpis">
    <vt:lpwstr> Vyhláška Ministerstva dopravy a výstavby Slovenskej republiky, ktorou sa mení a dopĺňa vyhláška Ministerstva dopravy a výstavby Slovenskej republiky č. 138/2018 Z. z., ktorou sa ustanovujú podrobnosti v oblasti emisnej kontroly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07711/2019/SCDPK/10419-M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LP/2019/102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8. 2. 2019</vt:lpwstr>
  </property>
  <property fmtid="{D5CDD505-2E9C-101B-9397-08002B2CF9AE}" pid="151" name="FSC#COOSYSTEM@1.1:Container">
    <vt:lpwstr>COO.2145.1000.3.3199053</vt:lpwstr>
  </property>
  <property fmtid="{D5CDD505-2E9C-101B-9397-08002B2CF9AE}" pid="152" name="FSC#FSCFOLIO@1.1001:docpropproject">
    <vt:lpwstr/>
  </property>
</Properties>
</file>