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E22" w14:textId="77777777" w:rsidR="004A4164" w:rsidRPr="00AB1247" w:rsidRDefault="004A4164" w:rsidP="004A4164">
      <w:pPr>
        <w:jc w:val="center"/>
        <w:rPr>
          <w:rFonts w:ascii="Courier New" w:hAnsi="Courier New"/>
          <w:sz w:val="20"/>
          <w:szCs w:val="20"/>
        </w:rPr>
      </w:pPr>
      <w:r w:rsidRPr="00AB1247">
        <w:rPr>
          <w:rFonts w:ascii="Courier New" w:hAnsi="Courier New"/>
          <w:sz w:val="20"/>
        </w:rPr>
        <w:t>1. ------IND- 2019 0309 HU- LV- ------ 20190703 --- --- PROJET</w:t>
      </w:r>
    </w:p>
    <w:p w14:paraId="2CBA562D" w14:textId="77777777" w:rsidR="00FC1B4C" w:rsidRPr="00AB1247" w:rsidRDefault="00FC1B4C" w:rsidP="004A4164">
      <w:pPr>
        <w:jc w:val="center"/>
        <w:rPr>
          <w:b/>
        </w:rPr>
      </w:pPr>
      <w:r w:rsidRPr="00AB1247">
        <w:rPr>
          <w:b/>
        </w:rPr>
        <w:t xml:space="preserve">Lauksaimniecības ministra </w:t>
      </w:r>
    </w:p>
    <w:p w14:paraId="0388BC31" w14:textId="77777777" w:rsidR="00FC1B4C" w:rsidRPr="00AB1247" w:rsidRDefault="00FC1B4C" w:rsidP="004A4164">
      <w:pPr>
        <w:jc w:val="center"/>
        <w:rPr>
          <w:b/>
        </w:rPr>
      </w:pPr>
    </w:p>
    <w:p w14:paraId="2FA84DFD" w14:textId="77777777" w:rsidR="00FC1B4C" w:rsidRPr="00AB1247" w:rsidRDefault="00453591" w:rsidP="004A4164">
      <w:pPr>
        <w:jc w:val="center"/>
        <w:rPr>
          <w:b/>
        </w:rPr>
      </w:pPr>
      <w:r w:rsidRPr="00AB1247">
        <w:rPr>
          <w:b/>
        </w:rPr>
        <w:t>2019. gada [datums] Dekrēts Nr. [numurs]/2019,</w:t>
      </w:r>
    </w:p>
    <w:p w14:paraId="66C4A080" w14:textId="77777777" w:rsidR="00FC1B4C" w:rsidRPr="00AB1247" w:rsidRDefault="00FC1B4C" w:rsidP="004A4164">
      <w:pPr>
        <w:jc w:val="both"/>
        <w:rPr>
          <w:b/>
          <w:bCs/>
        </w:rPr>
      </w:pPr>
    </w:p>
    <w:p w14:paraId="204E342E" w14:textId="77777777" w:rsidR="00FC1B4C" w:rsidRPr="00AB1247" w:rsidRDefault="00FC1B4C" w:rsidP="004A4164">
      <w:pPr>
        <w:jc w:val="center"/>
        <w:rPr>
          <w:rFonts w:eastAsiaTheme="minorHAnsi"/>
          <w:b/>
          <w:bCs/>
        </w:rPr>
      </w:pPr>
      <w:r w:rsidRPr="00AB1247">
        <w:rPr>
          <w:rFonts w:eastAsiaTheme="minorHAnsi"/>
          <w:b/>
        </w:rPr>
        <w:t>ar ko groza lauksaimniecības ministra 2017. gada 18. oktobra Dekrētu Nr. 53/2017 par tādu sadedzināšanas iekārtu ekspluatācijas nosacījumiem, kuru kopējā nominālā ievadītā siltumjauda ir vismaz 140 kW</w:t>
      </w:r>
      <w:r w:rsidRPr="00AB1247">
        <w:rPr>
          <w:rFonts w:eastAsiaTheme="minorHAnsi"/>
          <w:b/>
          <w:vertAlign w:val="subscript"/>
        </w:rPr>
        <w:t>th</w:t>
      </w:r>
      <w:r w:rsidRPr="00AB1247">
        <w:rPr>
          <w:rFonts w:eastAsiaTheme="minorHAnsi"/>
          <w:b/>
        </w:rPr>
        <w:t>, bet mazāka par 50 MW</w:t>
      </w:r>
      <w:r w:rsidRPr="00AB1247">
        <w:rPr>
          <w:rFonts w:eastAsiaTheme="minorHAnsi"/>
          <w:b/>
          <w:vertAlign w:val="subscript"/>
        </w:rPr>
        <w:t>th</w:t>
      </w:r>
      <w:r w:rsidRPr="00AB1247">
        <w:rPr>
          <w:rFonts w:eastAsiaTheme="minorHAnsi"/>
          <w:b/>
        </w:rPr>
        <w:t>, un par to izdalīto gaisu piesārņojošo vielu robežvērtībām</w:t>
      </w:r>
    </w:p>
    <w:p w14:paraId="73348ED7" w14:textId="77777777" w:rsidR="00FC1B4C" w:rsidRPr="00AB1247" w:rsidRDefault="00FC1B4C" w:rsidP="004A4164">
      <w:pPr>
        <w:jc w:val="both"/>
        <w:rPr>
          <w:rFonts w:eastAsiaTheme="minorHAnsi"/>
          <w:b/>
          <w:bCs/>
        </w:rPr>
      </w:pPr>
    </w:p>
    <w:p w14:paraId="4258CEE8" w14:textId="77777777" w:rsidR="00FC1B4C" w:rsidRPr="00AB1247" w:rsidRDefault="00FC1B4C" w:rsidP="004A4164">
      <w:pPr>
        <w:jc w:val="both"/>
        <w:rPr>
          <w:i/>
          <w:iCs/>
          <w:u w:val="single"/>
        </w:rPr>
      </w:pPr>
    </w:p>
    <w:p w14:paraId="64067D69" w14:textId="77777777" w:rsidR="00FC1B4C" w:rsidRPr="00AB1247" w:rsidRDefault="00FC1B4C" w:rsidP="004A4164">
      <w:pPr>
        <w:jc w:val="both"/>
        <w:rPr>
          <w:bCs/>
          <w:iCs/>
        </w:rPr>
      </w:pPr>
      <w:r w:rsidRPr="00AB1247">
        <w:t>Saskaņā ar atļauju, kas man piešķirta atbilstoši 1995. gada Likuma Nr. LIII par vides aizsardzības vispārīgajiem noteikumiem 110. panta 8. punkta g) apakšpunktam, un, pildot savus pienākumus, kuri noteikti 79. panta 9. punktā valdības 2018. gada 22. maija Dekrētā Nr. 94/2018 par valdības locekļu pienākumiem un pilnvarām, izdodu šādu dekrētu.</w:t>
      </w:r>
    </w:p>
    <w:p w14:paraId="68060AE5" w14:textId="77777777" w:rsidR="00FC1B4C" w:rsidRPr="00AB1247" w:rsidRDefault="00FC1B4C" w:rsidP="004A4164">
      <w:pPr>
        <w:jc w:val="both"/>
        <w:rPr>
          <w:i/>
        </w:rPr>
      </w:pPr>
    </w:p>
    <w:p w14:paraId="4ADCE6A8" w14:textId="77777777" w:rsidR="00287AE1" w:rsidRPr="00AB1247" w:rsidRDefault="00D606F7" w:rsidP="004A4164">
      <w:pPr>
        <w:keepNext/>
        <w:keepLines/>
        <w:jc w:val="center"/>
        <w:rPr>
          <w:b/>
        </w:rPr>
      </w:pPr>
      <w:r w:rsidRPr="00AB1247">
        <w:rPr>
          <w:b/>
        </w:rPr>
        <w:t>1. pants</w:t>
      </w:r>
    </w:p>
    <w:p w14:paraId="1789915A" w14:textId="77777777" w:rsidR="00D606F7" w:rsidRPr="00AB1247" w:rsidRDefault="00D606F7" w:rsidP="004A4164">
      <w:pPr>
        <w:keepNext/>
        <w:keepLines/>
        <w:jc w:val="center"/>
        <w:rPr>
          <w:b/>
        </w:rPr>
      </w:pPr>
    </w:p>
    <w:p w14:paraId="1399E6C4" w14:textId="77777777" w:rsidR="009F7DF7" w:rsidRPr="00AB1247" w:rsidRDefault="004A4164" w:rsidP="004A4164">
      <w:pPr>
        <w:pStyle w:val="ListParagraph"/>
        <w:autoSpaceDE w:val="0"/>
        <w:autoSpaceDN w:val="0"/>
        <w:adjustRightInd w:val="0"/>
        <w:spacing w:before="60"/>
        <w:ind w:left="0"/>
        <w:jc w:val="both"/>
        <w:rPr>
          <w:bCs/>
          <w:iCs/>
        </w:rPr>
      </w:pPr>
      <w:r w:rsidRPr="00AB1247">
        <w:t>1. Lauksaimniecības ministra 2017. gada 18. oktobra Dekrēta Nr. 53/2017 par tādu sadedzināšanas iekārtu ekspluatācijas nosacījumiem, kuru kopējā nominālā ievadītā siltumjauda ir vismaz 140 kW</w:t>
      </w:r>
      <w:r w:rsidRPr="00AB1247">
        <w:rPr>
          <w:vertAlign w:val="subscript"/>
        </w:rPr>
        <w:t>th</w:t>
      </w:r>
      <w:r w:rsidRPr="00AB1247">
        <w:t>, bet mazāka par 50 MW</w:t>
      </w:r>
      <w:r w:rsidRPr="00AB1247">
        <w:rPr>
          <w:vertAlign w:val="subscript"/>
        </w:rPr>
        <w:t>th</w:t>
      </w:r>
      <w:r w:rsidRPr="00AB1247">
        <w:t>, un par to izdalīto gaisu piesārņojošo vielu robežvērtībām (turpmāk “dekrēts”) 2. panta 1. punktam pievieno šādu 1.a punktu:</w:t>
      </w:r>
    </w:p>
    <w:p w14:paraId="1236A21B" w14:textId="77777777" w:rsidR="009F7DF7" w:rsidRPr="00AB1247" w:rsidRDefault="009F7DF7" w:rsidP="004A4164">
      <w:pPr>
        <w:autoSpaceDE w:val="0"/>
        <w:autoSpaceDN w:val="0"/>
        <w:adjustRightInd w:val="0"/>
        <w:spacing w:before="60"/>
        <w:jc w:val="both"/>
        <w:rPr>
          <w:bCs/>
          <w:i/>
          <w:iCs/>
        </w:rPr>
      </w:pPr>
      <w:r w:rsidRPr="00AB1247">
        <w:rPr>
          <w:i/>
        </w:rPr>
        <w:t>(Šajā dekrētā:)</w:t>
      </w:r>
    </w:p>
    <w:p w14:paraId="54F5A26D" w14:textId="77777777" w:rsidR="009F7DF7" w:rsidRPr="00AB1247" w:rsidRDefault="009F7DF7" w:rsidP="004A4164">
      <w:pPr>
        <w:autoSpaceDE w:val="0"/>
        <w:autoSpaceDN w:val="0"/>
        <w:adjustRightInd w:val="0"/>
        <w:spacing w:before="60"/>
        <w:jc w:val="both"/>
        <w:rPr>
          <w:bCs/>
          <w:iCs/>
        </w:rPr>
      </w:pPr>
      <w:r w:rsidRPr="00AB1247">
        <w:t>“1.a “</w:t>
      </w:r>
      <w:r w:rsidRPr="00AB1247">
        <w:rPr>
          <w:i/>
        </w:rPr>
        <w:t>gāzes pārvades sistēma</w:t>
      </w:r>
      <w:r w:rsidRPr="00AB1247">
        <w:t>” ir kopējā dabasgāzes sistēma saskaņā ar 2008. gada Likumu Nr. XL par dabasgāzes apgādi;”</w:t>
      </w:r>
    </w:p>
    <w:p w14:paraId="6E650769" w14:textId="77777777" w:rsidR="009F7DF7" w:rsidRPr="00AB1247" w:rsidRDefault="009F7DF7" w:rsidP="004A4164">
      <w:pPr>
        <w:autoSpaceDE w:val="0"/>
        <w:autoSpaceDN w:val="0"/>
        <w:adjustRightInd w:val="0"/>
        <w:spacing w:before="60"/>
        <w:jc w:val="both"/>
        <w:rPr>
          <w:bCs/>
          <w:iCs/>
        </w:rPr>
      </w:pPr>
    </w:p>
    <w:p w14:paraId="34DA42DA" w14:textId="77777777" w:rsidR="00D606F7" w:rsidRPr="00AB1247" w:rsidRDefault="009F7DF7" w:rsidP="004A4164">
      <w:pPr>
        <w:keepNext/>
        <w:keepLines/>
        <w:autoSpaceDE w:val="0"/>
        <w:autoSpaceDN w:val="0"/>
        <w:adjustRightInd w:val="0"/>
        <w:spacing w:before="60"/>
        <w:jc w:val="both"/>
        <w:rPr>
          <w:bCs/>
          <w:iCs/>
        </w:rPr>
      </w:pPr>
      <w:r w:rsidRPr="00AB1247">
        <w:t>2. Dekrēta 2. panta 1. punkta 9. apakšpunktu aizstāj ar šādu:</w:t>
      </w:r>
    </w:p>
    <w:p w14:paraId="34437AD7" w14:textId="77777777" w:rsidR="00D606F7" w:rsidRPr="00AB1247" w:rsidRDefault="00D606F7" w:rsidP="004A4164">
      <w:pPr>
        <w:autoSpaceDE w:val="0"/>
        <w:autoSpaceDN w:val="0"/>
        <w:adjustRightInd w:val="0"/>
        <w:spacing w:before="60"/>
        <w:jc w:val="both"/>
        <w:rPr>
          <w:bCs/>
          <w:iCs/>
        </w:rPr>
      </w:pPr>
      <w:r w:rsidRPr="00AB1247">
        <w:t>“9) “</w:t>
      </w:r>
      <w:r w:rsidRPr="00AB1247">
        <w:rPr>
          <w:i/>
        </w:rPr>
        <w:t>kopējā nominālā ievadītā siltumjauda</w:t>
      </w:r>
      <w:r w:rsidRPr="00AB1247">
        <w:t>” ir sadedzināšanas iekārtu nominālās ievadītās siltumjaudas summa, kas aprēķināta atbilstoši summēšanas noteikumam un kas sadedzināšanas iekārtas gadījumā ir vienāda ar tās nominālo ievadīto siltumjaudu;”</w:t>
      </w:r>
    </w:p>
    <w:p w14:paraId="1BCC5530" w14:textId="77777777" w:rsidR="00D606F7" w:rsidRPr="00AB1247" w:rsidRDefault="00D606F7" w:rsidP="004A4164">
      <w:pPr>
        <w:autoSpaceDE w:val="0"/>
        <w:autoSpaceDN w:val="0"/>
        <w:adjustRightInd w:val="0"/>
        <w:spacing w:before="60"/>
        <w:jc w:val="both"/>
        <w:rPr>
          <w:bCs/>
          <w:iCs/>
        </w:rPr>
      </w:pPr>
    </w:p>
    <w:p w14:paraId="08ECC611" w14:textId="77777777" w:rsidR="00D606F7" w:rsidRPr="00AB1247" w:rsidRDefault="00D606F7" w:rsidP="004A4164">
      <w:pPr>
        <w:keepNext/>
        <w:keepLines/>
        <w:jc w:val="center"/>
        <w:rPr>
          <w:b/>
        </w:rPr>
      </w:pPr>
      <w:r w:rsidRPr="00AB1247">
        <w:rPr>
          <w:b/>
        </w:rPr>
        <w:t>2. pants</w:t>
      </w:r>
    </w:p>
    <w:p w14:paraId="7E77336B" w14:textId="77777777" w:rsidR="00DE6CCA" w:rsidRPr="00AB1247" w:rsidRDefault="00DE6CCA" w:rsidP="004A4164">
      <w:pPr>
        <w:pStyle w:val="ListParagraph"/>
        <w:keepNext/>
        <w:keepLines/>
        <w:ind w:left="0"/>
        <w:jc w:val="center"/>
        <w:rPr>
          <w:i/>
        </w:rPr>
      </w:pPr>
    </w:p>
    <w:p w14:paraId="3DFC8762" w14:textId="77777777" w:rsidR="00F3461C" w:rsidRPr="00AB1247" w:rsidRDefault="004A4164" w:rsidP="004A4164">
      <w:pPr>
        <w:keepNext/>
        <w:keepLines/>
        <w:autoSpaceDE w:val="0"/>
        <w:autoSpaceDN w:val="0"/>
        <w:adjustRightInd w:val="0"/>
        <w:spacing w:before="60"/>
        <w:jc w:val="both"/>
        <w:rPr>
          <w:bCs/>
          <w:iCs/>
        </w:rPr>
      </w:pPr>
      <w:r w:rsidRPr="00AB1247">
        <w:t>1. Dekrēta 4. panta 6. un 7. punkts stājas spēkā šādā redakcijā:</w:t>
      </w:r>
    </w:p>
    <w:p w14:paraId="1BE289A7" w14:textId="77777777" w:rsidR="00287AE1" w:rsidRPr="00AB1247" w:rsidRDefault="00287AE1" w:rsidP="004A4164">
      <w:pPr>
        <w:autoSpaceDE w:val="0"/>
        <w:autoSpaceDN w:val="0"/>
        <w:adjustRightInd w:val="0"/>
        <w:spacing w:before="60"/>
        <w:jc w:val="both"/>
        <w:rPr>
          <w:bCs/>
          <w:iCs/>
        </w:rPr>
      </w:pPr>
      <w:r w:rsidRPr="00AB1247">
        <w:t>“6. Šā dekrēta 1. pielikumā noteiktās emisijas robežvērtības piemēro I kategorijas sadedzināšanas iekārtām, kuru kopējā nominālā ievadīta siltumjauda ir vismaz 1 MW</w:t>
      </w:r>
      <w:r w:rsidRPr="00AB1247">
        <w:rPr>
          <w:vertAlign w:val="subscript"/>
        </w:rPr>
        <w:t>th</w:t>
      </w:r>
      <w:r w:rsidRPr="00AB1247">
        <w:t xml:space="preserve"> un kuru piecu gadu slīdošais vidējais ekspluatācijas rādītājs ir ne vairāk kā 500 darbības stundas gadā, izņemot to, ka cieto materiālu emisijas robežvērtība sadedzināšanas iekārtām, kurās dedzina cietās biomasas kurināmos, ir 200 mg/Nm</w:t>
      </w:r>
      <w:r w:rsidRPr="00AB1247">
        <w:rPr>
          <w:vertAlign w:val="superscript"/>
        </w:rPr>
        <w:t>3</w:t>
      </w:r>
      <w:r w:rsidRPr="00AB1247">
        <w:t xml:space="preserve"> un oglekļa monoksīda emisijas robežvērtība ir 375 mg/Nm</w:t>
      </w:r>
      <w:r w:rsidRPr="00AB1247">
        <w:rPr>
          <w:vertAlign w:val="superscript"/>
        </w:rPr>
        <w:t>3</w:t>
      </w:r>
      <w:r w:rsidRPr="00AB1247">
        <w:t>.</w:t>
      </w:r>
    </w:p>
    <w:p w14:paraId="5CC79758" w14:textId="77777777" w:rsidR="00287AE1" w:rsidRPr="00AB1247" w:rsidRDefault="00287AE1" w:rsidP="004A4164">
      <w:pPr>
        <w:jc w:val="both"/>
        <w:rPr>
          <w:i/>
        </w:rPr>
      </w:pPr>
      <w:r w:rsidRPr="00AB1247">
        <w:t>7. Līdz 2030. gada 1. janvārim 1. pielikumā noteiktās robežvērtības piemēro I kategorijas sadedzināšanas iekārtām, kuru kopējā nominālā ievadītā siltumjauda ir lielāka par 5 MW</w:t>
      </w:r>
      <w:r w:rsidRPr="00AB1247">
        <w:rPr>
          <w:vertAlign w:val="subscript"/>
        </w:rPr>
        <w:t>th</w:t>
      </w:r>
      <w:r w:rsidRPr="00AB1247">
        <w:t>, ja 50 % no šādu iekārtu saražotā derīgā siltuma (ņemot vērā piecu gadu slīdošo vidējo rādītāju) piegādā kā tvaiku vai silto vai karsto ūdeni centralizētas siltumapgādes tīklam, izņemot to, ka sēra dioksīda emisijas robežvērtība sadedzināšanas iekārtām, kurās dedzina cieto un šķidro kurināmo, ir 1100 mg/Nm</w:t>
      </w:r>
      <w:r w:rsidRPr="00AB1247">
        <w:rPr>
          <w:vertAlign w:val="superscript"/>
        </w:rPr>
        <w:t>3</w:t>
      </w:r>
      <w:r w:rsidRPr="00AB1247">
        <w:t xml:space="preserve"> un cieto materiālu emisijas robežvērtība sadedzināšanas iekārtām, kurās dedzina </w:t>
      </w:r>
      <w:r w:rsidRPr="00AB1247">
        <w:lastRenderedPageBreak/>
        <w:t>cietos kurināmos, ir 150 mg/Nm</w:t>
      </w:r>
      <w:r w:rsidRPr="00AB1247">
        <w:rPr>
          <w:vertAlign w:val="superscript"/>
        </w:rPr>
        <w:t>3</w:t>
      </w:r>
      <w:r w:rsidRPr="00AB1247">
        <w:t>, un oglekļa monoksīda emisijas robežvērtība sadedzināšanas iekārtām, kurās dedzina cieto biomasas kurināmo, ir 375 mg/Nm</w:t>
      </w:r>
      <w:r w:rsidRPr="00AB1247">
        <w:rPr>
          <w:vertAlign w:val="superscript"/>
        </w:rPr>
        <w:t>3</w:t>
      </w:r>
      <w:r w:rsidRPr="00AB1247">
        <w:t>.”</w:t>
      </w:r>
    </w:p>
    <w:p w14:paraId="7005F657" w14:textId="77777777" w:rsidR="00FE5F56" w:rsidRPr="00AB1247" w:rsidRDefault="00FE5F56" w:rsidP="004A4164">
      <w:pPr>
        <w:autoSpaceDE w:val="0"/>
        <w:autoSpaceDN w:val="0"/>
        <w:adjustRightInd w:val="0"/>
        <w:spacing w:before="60"/>
        <w:jc w:val="both"/>
        <w:rPr>
          <w:bCs/>
          <w:iCs/>
        </w:rPr>
      </w:pPr>
    </w:p>
    <w:p w14:paraId="2FC84C9C" w14:textId="77777777" w:rsidR="004257C8" w:rsidRPr="00AB1247" w:rsidRDefault="00FC1B4C" w:rsidP="004A4164">
      <w:pPr>
        <w:keepNext/>
        <w:keepLines/>
        <w:autoSpaceDE w:val="0"/>
        <w:autoSpaceDN w:val="0"/>
        <w:adjustRightInd w:val="0"/>
        <w:spacing w:before="60"/>
        <w:jc w:val="both"/>
        <w:rPr>
          <w:bCs/>
          <w:iCs/>
        </w:rPr>
      </w:pPr>
      <w:r w:rsidRPr="00AB1247">
        <w:t>2. Dekrēta 4. panta 9. punkts stājas spēkā šādā redakcijā:</w:t>
      </w:r>
    </w:p>
    <w:p w14:paraId="322FD0D1" w14:textId="77777777" w:rsidR="004257C8" w:rsidRPr="00AB1247" w:rsidRDefault="004257C8" w:rsidP="004A4164">
      <w:pPr>
        <w:autoSpaceDE w:val="0"/>
        <w:autoSpaceDN w:val="0"/>
        <w:adjustRightInd w:val="0"/>
        <w:jc w:val="both"/>
        <w:rPr>
          <w:rFonts w:eastAsiaTheme="minorEastAsia"/>
        </w:rPr>
      </w:pPr>
      <w:r w:rsidRPr="00AB1247">
        <w:t>“9. Līdz 2030. gada 1. janvārim 1. pielikumā noteiktās emisijas robežvērtības piemēro slāpekļa oksīdiem no 1. kategorijas dzinējiem un gāzturbīnām, kuru kopējā nominālā ievadītā siltumjauda ir lielāka par 5 MW</w:t>
      </w:r>
      <w:r w:rsidRPr="00AB1247">
        <w:rPr>
          <w:vertAlign w:val="subscript"/>
        </w:rPr>
        <w:t>th</w:t>
      </w:r>
      <w:r w:rsidRPr="00AB1247">
        <w:t xml:space="preserve"> un kuras izmanto gāzes kompresoru staciju darbināšanai, kas nepieciešamas, lai nodrošinātu gāzes pārvades sistēmu drošumu un drošu ekspluatāciju, izņemot to, ka tādu gāzes dzinēju gadījumā, kuri nodoti ekspluatācijā pirms 1994. gada 1. janvāra, slāpekļa oksīdu emisijas robežvērtība ir 565 mg/Nm</w:t>
      </w:r>
      <w:r w:rsidRPr="00AB1247">
        <w:rPr>
          <w:vertAlign w:val="superscript"/>
        </w:rPr>
        <w:t>3</w:t>
      </w:r>
      <w:r w:rsidRPr="00AB1247">
        <w:t>.”</w:t>
      </w:r>
    </w:p>
    <w:p w14:paraId="6F6ABB16" w14:textId="77777777" w:rsidR="00740D2A" w:rsidRPr="00AB1247" w:rsidRDefault="00740D2A" w:rsidP="004A4164">
      <w:pPr>
        <w:autoSpaceDE w:val="0"/>
        <w:autoSpaceDN w:val="0"/>
        <w:adjustRightInd w:val="0"/>
        <w:jc w:val="both"/>
        <w:rPr>
          <w:bCs/>
          <w:iCs/>
        </w:rPr>
      </w:pPr>
    </w:p>
    <w:p w14:paraId="6C984109" w14:textId="77777777" w:rsidR="00FC1B4C" w:rsidRPr="00AB1247" w:rsidRDefault="004257C8" w:rsidP="004A4164">
      <w:pPr>
        <w:keepNext/>
        <w:keepLines/>
        <w:autoSpaceDE w:val="0"/>
        <w:autoSpaceDN w:val="0"/>
        <w:adjustRightInd w:val="0"/>
        <w:spacing w:before="60"/>
        <w:jc w:val="both"/>
        <w:rPr>
          <w:bCs/>
          <w:iCs/>
        </w:rPr>
      </w:pPr>
      <w:r w:rsidRPr="00AB1247">
        <w:t>3. Dekrēta 4. panta 10. punktu aizstāj ar šādu:</w:t>
      </w:r>
    </w:p>
    <w:p w14:paraId="2803F4D3" w14:textId="77777777" w:rsidR="00FC1B4C" w:rsidRPr="00AB1247" w:rsidRDefault="00FC1B4C" w:rsidP="004A4164">
      <w:pPr>
        <w:autoSpaceDE w:val="0"/>
        <w:autoSpaceDN w:val="0"/>
        <w:adjustRightInd w:val="0"/>
        <w:spacing w:before="60"/>
        <w:jc w:val="both"/>
        <w:rPr>
          <w:bCs/>
          <w:iCs/>
        </w:rPr>
      </w:pPr>
      <w:r w:rsidRPr="00AB1247">
        <w:t>“10. Šā dekrēta 1. pielikumā noteiktās emisijas robežvērtības piemēro II kategorijas sadedzināšanas iekārtām, kuru triju gadu slīdošais vidējais ekspluatācijas rādītājs ir ne vairāk kā 500 darbības stundas gadā, izņemot to, ka cieto materiālu emisijas robežvērtība sadedzināšanas iekārtām, kurās dedzina cietos kurināmos, ir 100 mg/Nm</w:t>
      </w:r>
      <w:r w:rsidRPr="00AB1247">
        <w:rPr>
          <w:vertAlign w:val="superscript"/>
        </w:rPr>
        <w:t>3</w:t>
      </w:r>
      <w:r w:rsidRPr="00AB1247">
        <w:t xml:space="preserve"> un oglekļa monoksīda emisijas robežvērtība sadedzināšanas iekārtām, kuru kopējā nominālā ievadīta siltumjauda ir vismaz 1 MW</w:t>
      </w:r>
      <w:r w:rsidRPr="00AB1247">
        <w:rPr>
          <w:vertAlign w:val="subscript"/>
        </w:rPr>
        <w:t>th</w:t>
      </w:r>
      <w:r w:rsidRPr="00AB1247">
        <w:t xml:space="preserve"> un kurās dedzina cietās biomasas kurināmo, ir 375 mg/Nm</w:t>
      </w:r>
      <w:r w:rsidRPr="00AB1247">
        <w:rPr>
          <w:vertAlign w:val="superscript"/>
        </w:rPr>
        <w:t>3</w:t>
      </w:r>
      <w:r w:rsidRPr="00AB1247">
        <w:t>.”</w:t>
      </w:r>
    </w:p>
    <w:p w14:paraId="3AD4148D" w14:textId="77777777" w:rsidR="00DE6CCA" w:rsidRPr="00AB1247" w:rsidRDefault="00DE6CCA" w:rsidP="004A4164">
      <w:pPr>
        <w:autoSpaceDE w:val="0"/>
        <w:autoSpaceDN w:val="0"/>
        <w:adjustRightInd w:val="0"/>
        <w:spacing w:before="60"/>
        <w:jc w:val="both"/>
        <w:rPr>
          <w:bCs/>
          <w:iCs/>
        </w:rPr>
      </w:pPr>
    </w:p>
    <w:p w14:paraId="75252D27" w14:textId="77777777" w:rsidR="00DE6CCA" w:rsidRPr="00AB1247" w:rsidRDefault="004916B6" w:rsidP="004A4164">
      <w:pPr>
        <w:pStyle w:val="ListParagraph"/>
        <w:keepNext/>
        <w:keepLines/>
        <w:autoSpaceDE w:val="0"/>
        <w:autoSpaceDN w:val="0"/>
        <w:adjustRightInd w:val="0"/>
        <w:spacing w:before="60"/>
        <w:ind w:left="0"/>
        <w:jc w:val="both"/>
        <w:rPr>
          <w:bCs/>
          <w:iCs/>
        </w:rPr>
      </w:pPr>
      <w:r w:rsidRPr="00AB1247">
        <w:t>4. Dekrēta 4. panta 13. punktu aizstāj ar šādu:</w:t>
      </w:r>
    </w:p>
    <w:p w14:paraId="2E421965" w14:textId="77777777" w:rsidR="00DE6CCA" w:rsidRPr="00AB1247" w:rsidRDefault="00DE6CCA" w:rsidP="004A4164">
      <w:pPr>
        <w:keepNext/>
        <w:keepLines/>
        <w:autoSpaceDE w:val="0"/>
        <w:autoSpaceDN w:val="0"/>
        <w:adjustRightInd w:val="0"/>
        <w:jc w:val="both"/>
        <w:rPr>
          <w:bCs/>
          <w:iCs/>
        </w:rPr>
      </w:pPr>
      <w:r w:rsidRPr="00AB1247">
        <w:t>“13. Attiecībā uz stacionāriem dzinējiem emisijas robežvērtības nepiemēro:</w:t>
      </w:r>
    </w:p>
    <w:p w14:paraId="38D504A5" w14:textId="77777777" w:rsidR="00DE6CCA" w:rsidRPr="00AB1247" w:rsidRDefault="00DE6CCA" w:rsidP="004A4164">
      <w:pPr>
        <w:autoSpaceDE w:val="0"/>
        <w:autoSpaceDN w:val="0"/>
        <w:adjustRightInd w:val="0"/>
        <w:jc w:val="both"/>
      </w:pPr>
      <w:r w:rsidRPr="00AB1247">
        <w:rPr>
          <w:i/>
        </w:rPr>
        <w:t>a)</w:t>
      </w:r>
      <w:r w:rsidRPr="00AB1247">
        <w:t xml:space="preserve"> dzinējiem, kuru nominālā ievadītā siltumjauda ir mazāka par 1 MW</w:t>
      </w:r>
      <w:r w:rsidRPr="00AB1247">
        <w:rPr>
          <w:vertAlign w:val="subscript"/>
        </w:rPr>
        <w:t>th</w:t>
      </w:r>
      <w:r w:rsidRPr="00AB1247">
        <w:t xml:space="preserve"> un kuri patērē kurināmo mazāk par 50 kg/h;</w:t>
      </w:r>
    </w:p>
    <w:p w14:paraId="5F1FF652" w14:textId="77777777" w:rsidR="00DE6CCA" w:rsidRPr="00AB1247" w:rsidRDefault="00DE6CCA" w:rsidP="004A4164">
      <w:pPr>
        <w:autoSpaceDE w:val="0"/>
        <w:autoSpaceDN w:val="0"/>
        <w:adjustRightInd w:val="0"/>
        <w:jc w:val="both"/>
      </w:pPr>
      <w:r w:rsidRPr="00AB1247">
        <w:rPr>
          <w:i/>
        </w:rPr>
        <w:t>b)</w:t>
      </w:r>
      <w:r w:rsidRPr="00AB1247">
        <w:t xml:space="preserve"> tādiem stacionāriem dzinējiem ar avārijas elektroapgādi, kuri darbojas mazāk par 50 stundām gadā.”</w:t>
      </w:r>
    </w:p>
    <w:p w14:paraId="68399375" w14:textId="77777777" w:rsidR="00DE6CCA" w:rsidRPr="00AB1247" w:rsidRDefault="00DE6CCA" w:rsidP="004A4164">
      <w:pPr>
        <w:pStyle w:val="ListParagraph"/>
        <w:autoSpaceDE w:val="0"/>
        <w:autoSpaceDN w:val="0"/>
        <w:adjustRightInd w:val="0"/>
        <w:spacing w:before="60"/>
        <w:ind w:left="0"/>
        <w:jc w:val="both"/>
        <w:rPr>
          <w:bCs/>
          <w:iCs/>
        </w:rPr>
      </w:pPr>
    </w:p>
    <w:p w14:paraId="03DAF062" w14:textId="77777777" w:rsidR="00FC1B4C" w:rsidRPr="00AB1247" w:rsidRDefault="00D606F7" w:rsidP="004A4164">
      <w:pPr>
        <w:keepNext/>
        <w:keepLines/>
        <w:autoSpaceDE w:val="0"/>
        <w:autoSpaceDN w:val="0"/>
        <w:adjustRightInd w:val="0"/>
        <w:jc w:val="center"/>
        <w:rPr>
          <w:b/>
          <w:bCs/>
          <w:iCs/>
        </w:rPr>
      </w:pPr>
      <w:r w:rsidRPr="00AB1247">
        <w:rPr>
          <w:b/>
        </w:rPr>
        <w:t>3. pants</w:t>
      </w:r>
    </w:p>
    <w:p w14:paraId="0144A344" w14:textId="77777777" w:rsidR="00D26C98" w:rsidRPr="00AB1247" w:rsidRDefault="00D26C98" w:rsidP="004A4164">
      <w:pPr>
        <w:keepNext/>
        <w:keepLines/>
        <w:autoSpaceDE w:val="0"/>
        <w:autoSpaceDN w:val="0"/>
        <w:adjustRightInd w:val="0"/>
        <w:jc w:val="center"/>
        <w:rPr>
          <w:bCs/>
          <w:iCs/>
        </w:rPr>
      </w:pPr>
    </w:p>
    <w:p w14:paraId="41381C01" w14:textId="77777777" w:rsidR="00FC1B4C" w:rsidRPr="00AB1247" w:rsidRDefault="00FC1B4C" w:rsidP="004A4164">
      <w:pPr>
        <w:keepNext/>
        <w:keepLines/>
        <w:autoSpaceDE w:val="0"/>
        <w:autoSpaceDN w:val="0"/>
        <w:adjustRightInd w:val="0"/>
        <w:jc w:val="both"/>
      </w:pPr>
      <w:r w:rsidRPr="00AB1247">
        <w:t>Dekrēta 12. panta 2. un 3. punktu aizstāj ar šādiem punktiem:</w:t>
      </w:r>
    </w:p>
    <w:p w14:paraId="209723F7" w14:textId="77777777" w:rsidR="00D26C98" w:rsidRPr="00AB1247" w:rsidRDefault="00D26C98" w:rsidP="004A4164">
      <w:pPr>
        <w:keepNext/>
        <w:keepLines/>
        <w:autoSpaceDE w:val="0"/>
        <w:autoSpaceDN w:val="0"/>
        <w:adjustRightInd w:val="0"/>
        <w:jc w:val="both"/>
      </w:pPr>
    </w:p>
    <w:p w14:paraId="614B7240" w14:textId="77777777" w:rsidR="006B0CC9" w:rsidRPr="00AB1247" w:rsidRDefault="00FC1B4C" w:rsidP="004A4164">
      <w:pPr>
        <w:autoSpaceDE w:val="0"/>
        <w:autoSpaceDN w:val="0"/>
        <w:adjustRightInd w:val="0"/>
        <w:spacing w:before="60"/>
        <w:jc w:val="both"/>
      </w:pPr>
      <w:r w:rsidRPr="00AB1247">
        <w:t>“2. I kategorijas sadedzināšanas iekārtām, kuru kopējā nominālā ievadītā siltumjauda ir vismaz 1 MW</w:t>
      </w:r>
      <w:r w:rsidRPr="00AB1247">
        <w:rPr>
          <w:vertAlign w:val="subscript"/>
        </w:rPr>
        <w:t>th</w:t>
      </w:r>
      <w:r w:rsidRPr="00AB1247">
        <w:t>, bet mazāka par 5 MW</w:t>
      </w:r>
      <w:r w:rsidRPr="00AB1247">
        <w:rPr>
          <w:vertAlign w:val="subscript"/>
        </w:rPr>
        <w:t>th</w:t>
      </w:r>
      <w:r w:rsidRPr="00AB1247">
        <w:t xml:space="preserve">, līdz 2029. gada 31. decembrim piemēro šā dekrēta 1. pielikumā noteiktās emisijas robežvērtības, izņemot turpmāk minēto: </w:t>
      </w:r>
    </w:p>
    <w:p w14:paraId="266AF1F2" w14:textId="77777777" w:rsidR="00FC1B4C" w:rsidRPr="00AB1247" w:rsidRDefault="00FC1B4C" w:rsidP="004A4164">
      <w:pPr>
        <w:pStyle w:val="ListParagraph"/>
        <w:numPr>
          <w:ilvl w:val="0"/>
          <w:numId w:val="50"/>
        </w:numPr>
        <w:autoSpaceDE w:val="0"/>
        <w:autoSpaceDN w:val="0"/>
        <w:adjustRightInd w:val="0"/>
        <w:spacing w:before="60"/>
        <w:ind w:left="426" w:hanging="426"/>
        <w:jc w:val="both"/>
      </w:pPr>
      <w:r w:rsidRPr="00AB1247">
        <w:t>cietās biomasas sadedzināšanas gadījumā oglekļa monoksīda emisijas robežvērtība ir 375 mg/Nm</w:t>
      </w:r>
      <w:r w:rsidRPr="00AB1247">
        <w:rPr>
          <w:vertAlign w:val="superscript"/>
        </w:rPr>
        <w:t>3</w:t>
      </w:r>
      <w:r w:rsidRPr="00AB1247">
        <w:t>;</w:t>
      </w:r>
    </w:p>
    <w:p w14:paraId="6FD08B95" w14:textId="77777777" w:rsidR="006B0CC9" w:rsidRPr="00AB1247" w:rsidRDefault="006B0CC9" w:rsidP="004A4164">
      <w:pPr>
        <w:pStyle w:val="ListParagraph"/>
        <w:numPr>
          <w:ilvl w:val="0"/>
          <w:numId w:val="50"/>
        </w:numPr>
        <w:autoSpaceDE w:val="0"/>
        <w:autoSpaceDN w:val="0"/>
        <w:adjustRightInd w:val="0"/>
        <w:spacing w:before="60"/>
        <w:ind w:left="426" w:hanging="426"/>
        <w:jc w:val="both"/>
      </w:pPr>
      <w:r w:rsidRPr="00AB1247">
        <w:t>gāzes dzinējiem, kuri nodoti ekspluatācijā pirms 1994. gada 1. janvāra un kuru kopējā nominālā ievadītā siltumjauda ir lielāka par 3 MW</w:t>
      </w:r>
      <w:r w:rsidRPr="00AB1247">
        <w:rPr>
          <w:vertAlign w:val="subscript"/>
        </w:rPr>
        <w:t>th</w:t>
      </w:r>
      <w:r w:rsidRPr="00AB1247">
        <w:t>, slāpekļa oksīdu emisijas robežvērtība ir 565 mg/Nm</w:t>
      </w:r>
      <w:r w:rsidRPr="00AB1247">
        <w:rPr>
          <w:vertAlign w:val="superscript"/>
        </w:rPr>
        <w:t>3</w:t>
      </w:r>
      <w:r w:rsidRPr="00AB1247">
        <w:t>, CO emisijas robežvērtība četrtaktu dzinējiem ir 375 mg/Nm</w:t>
      </w:r>
      <w:r w:rsidRPr="00AB1247">
        <w:rPr>
          <w:vertAlign w:val="superscript"/>
        </w:rPr>
        <w:t>3</w:t>
      </w:r>
      <w:r w:rsidRPr="00AB1247">
        <w:t>, divtaktu dzinējiem tā ir 320 mg/Nm</w:t>
      </w:r>
      <w:r w:rsidRPr="00AB1247">
        <w:rPr>
          <w:vertAlign w:val="superscript"/>
        </w:rPr>
        <w:t>3</w:t>
      </w:r>
      <w:r w:rsidRPr="00AB1247">
        <w:t xml:space="preserve"> un kopējo organisko savienojumu, kas izteikti kā C (ogleklis), izņemot metānu, emisijas robežvērtība ir 115 mg/Nm</w:t>
      </w:r>
      <w:r w:rsidRPr="00AB1247">
        <w:rPr>
          <w:vertAlign w:val="superscript"/>
        </w:rPr>
        <w:t>3</w:t>
      </w:r>
      <w:r w:rsidRPr="00AB1247">
        <w:t>.</w:t>
      </w:r>
    </w:p>
    <w:p w14:paraId="2E87B596" w14:textId="77777777" w:rsidR="006B0CC9" w:rsidRPr="00AB1247" w:rsidRDefault="00115E21" w:rsidP="004A4164">
      <w:pPr>
        <w:autoSpaceDE w:val="0"/>
        <w:autoSpaceDN w:val="0"/>
        <w:adjustRightInd w:val="0"/>
        <w:jc w:val="both"/>
      </w:pPr>
      <w:r w:rsidRPr="00AB1247">
        <w:t>3. I kategorijas sadedzināšanas iekārtām, kuru kopējā nominālā ievadītā siltumjauda ir lielāka par 5 MW</w:t>
      </w:r>
      <w:r w:rsidRPr="00AB1247">
        <w:rPr>
          <w:vertAlign w:val="subscript"/>
        </w:rPr>
        <w:t>th</w:t>
      </w:r>
      <w:r w:rsidRPr="00AB1247">
        <w:t>, līdz 2024. gada 31. decembrim piemēro šā dekrēta 1. pielikumā noteiktās emisijas robežvērtības, izņemot turpmāk minēto:</w:t>
      </w:r>
    </w:p>
    <w:p w14:paraId="274E090B" w14:textId="77777777" w:rsidR="006B0CC9" w:rsidRPr="00AB1247" w:rsidRDefault="00FC1B4C" w:rsidP="004A4164">
      <w:pPr>
        <w:pStyle w:val="ListParagraph"/>
        <w:numPr>
          <w:ilvl w:val="0"/>
          <w:numId w:val="55"/>
        </w:numPr>
        <w:autoSpaceDE w:val="0"/>
        <w:autoSpaceDN w:val="0"/>
        <w:adjustRightInd w:val="0"/>
        <w:spacing w:before="60"/>
        <w:ind w:left="426" w:hanging="426"/>
        <w:jc w:val="both"/>
      </w:pPr>
      <w:r w:rsidRPr="00AB1247">
        <w:t>cietās biomasas sadedzināšanas gadījumā oglekļa monoksīda emisijas robežvērtība ir 375 mg/Nm</w:t>
      </w:r>
      <w:r w:rsidRPr="00AB1247">
        <w:rPr>
          <w:vertAlign w:val="superscript"/>
        </w:rPr>
        <w:t>3</w:t>
      </w:r>
      <w:r w:rsidRPr="00AB1247">
        <w:t>;</w:t>
      </w:r>
    </w:p>
    <w:p w14:paraId="77BDC4C2" w14:textId="77777777" w:rsidR="00FC1B4C" w:rsidRPr="00AB1247" w:rsidRDefault="006B0CC9" w:rsidP="004A4164">
      <w:pPr>
        <w:pStyle w:val="ListParagraph"/>
        <w:numPr>
          <w:ilvl w:val="0"/>
          <w:numId w:val="55"/>
        </w:numPr>
        <w:autoSpaceDE w:val="0"/>
        <w:autoSpaceDN w:val="0"/>
        <w:adjustRightInd w:val="0"/>
        <w:spacing w:before="60"/>
        <w:ind w:left="426" w:hanging="426"/>
        <w:jc w:val="both"/>
      </w:pPr>
      <w:r w:rsidRPr="00AB1247">
        <w:lastRenderedPageBreak/>
        <w:t>gāzes dzinējiem, kuri nodoti ekspluatācijā pirms 1994. gada 1. janvāra, slāpekļa oksīdu emisijas robežvērtība ir 565 mg/Nm</w:t>
      </w:r>
      <w:r w:rsidRPr="00AB1247">
        <w:rPr>
          <w:vertAlign w:val="superscript"/>
        </w:rPr>
        <w:t>3</w:t>
      </w:r>
      <w:r w:rsidRPr="00AB1247">
        <w:t>, oglekļa monoksīda emisijas robežvērtība četrtaktu dzinējiem ir 375 mg/Nm</w:t>
      </w:r>
      <w:r w:rsidRPr="00AB1247">
        <w:rPr>
          <w:vertAlign w:val="superscript"/>
        </w:rPr>
        <w:t>3</w:t>
      </w:r>
      <w:r w:rsidRPr="00AB1247">
        <w:t>, divtaktu dzinējiem tā ir 320 mg/Nm</w:t>
      </w:r>
      <w:r w:rsidRPr="00AB1247">
        <w:rPr>
          <w:vertAlign w:val="superscript"/>
        </w:rPr>
        <w:t>3</w:t>
      </w:r>
      <w:r w:rsidRPr="00AB1247">
        <w:t xml:space="preserve"> un kopējo organisko savienojumu, kas izteikti kā C (ogleklis), izņemot metānu, emisijas robežvērtība ir 115 mg/Nm</w:t>
      </w:r>
      <w:r w:rsidRPr="00AB1247">
        <w:rPr>
          <w:vertAlign w:val="superscript"/>
        </w:rPr>
        <w:t>3</w:t>
      </w:r>
      <w:r w:rsidRPr="00AB1247">
        <w:t>.”</w:t>
      </w:r>
    </w:p>
    <w:p w14:paraId="4632378B" w14:textId="77777777" w:rsidR="00115E21" w:rsidRPr="00AB1247" w:rsidRDefault="00115E21" w:rsidP="004A4164">
      <w:pPr>
        <w:autoSpaceDE w:val="0"/>
        <w:autoSpaceDN w:val="0"/>
        <w:adjustRightInd w:val="0"/>
        <w:jc w:val="both"/>
      </w:pPr>
    </w:p>
    <w:p w14:paraId="0F89AD16" w14:textId="77777777" w:rsidR="00115E21" w:rsidRPr="00AB1247" w:rsidRDefault="00D606F7" w:rsidP="004A4164">
      <w:pPr>
        <w:keepNext/>
        <w:keepLines/>
        <w:autoSpaceDE w:val="0"/>
        <w:autoSpaceDN w:val="0"/>
        <w:adjustRightInd w:val="0"/>
        <w:jc w:val="center"/>
        <w:rPr>
          <w:b/>
        </w:rPr>
      </w:pPr>
      <w:r w:rsidRPr="00AB1247">
        <w:rPr>
          <w:b/>
        </w:rPr>
        <w:t>4. pants</w:t>
      </w:r>
    </w:p>
    <w:p w14:paraId="2FC1D373" w14:textId="77777777" w:rsidR="00FC1B4C" w:rsidRPr="00AB1247" w:rsidRDefault="00FC1B4C" w:rsidP="004A4164">
      <w:pPr>
        <w:keepNext/>
        <w:keepLines/>
        <w:autoSpaceDE w:val="0"/>
        <w:autoSpaceDN w:val="0"/>
        <w:adjustRightInd w:val="0"/>
      </w:pPr>
    </w:p>
    <w:p w14:paraId="39D9ADEE" w14:textId="77777777" w:rsidR="00C77639" w:rsidRPr="00AB1247" w:rsidRDefault="00C77639" w:rsidP="004A4164">
      <w:pPr>
        <w:autoSpaceDE w:val="0"/>
        <w:autoSpaceDN w:val="0"/>
        <w:adjustRightInd w:val="0"/>
      </w:pPr>
      <w:r w:rsidRPr="00AB1247">
        <w:t>1. Dekrēta 1. pielikumu groza saskaņā ar 1. pielikumu.</w:t>
      </w:r>
    </w:p>
    <w:p w14:paraId="6EF2646A" w14:textId="77777777" w:rsidR="00C77639" w:rsidRPr="00AB1247" w:rsidRDefault="00C77639" w:rsidP="004A4164">
      <w:pPr>
        <w:autoSpaceDE w:val="0"/>
        <w:autoSpaceDN w:val="0"/>
        <w:adjustRightInd w:val="0"/>
      </w:pPr>
    </w:p>
    <w:p w14:paraId="6403385B" w14:textId="77777777" w:rsidR="00C77639" w:rsidRPr="00AB1247" w:rsidRDefault="00C77639" w:rsidP="004A4164">
      <w:pPr>
        <w:autoSpaceDE w:val="0"/>
        <w:autoSpaceDN w:val="0"/>
        <w:adjustRightInd w:val="0"/>
      </w:pPr>
      <w:r w:rsidRPr="00AB1247">
        <w:t>2. Dekrēta 2. pielikums stājas spēkā 2. pielikumā norādītajā redakcijā.</w:t>
      </w:r>
    </w:p>
    <w:p w14:paraId="6A95F304" w14:textId="77777777" w:rsidR="00C77639" w:rsidRPr="00AB1247" w:rsidRDefault="00C77639" w:rsidP="004A4164">
      <w:pPr>
        <w:autoSpaceDE w:val="0"/>
        <w:autoSpaceDN w:val="0"/>
        <w:adjustRightInd w:val="0"/>
      </w:pPr>
    </w:p>
    <w:p w14:paraId="1598D93E" w14:textId="77777777" w:rsidR="00C77639" w:rsidRPr="00AB1247" w:rsidRDefault="00C77639" w:rsidP="004A4164">
      <w:pPr>
        <w:autoSpaceDE w:val="0"/>
        <w:autoSpaceDN w:val="0"/>
        <w:adjustRightInd w:val="0"/>
      </w:pPr>
      <w:r w:rsidRPr="00AB1247">
        <w:t>3. Dekrēta 3. pielikums stājas spēkā 3. pielikumā norādītajā redakcijā.</w:t>
      </w:r>
    </w:p>
    <w:p w14:paraId="23D2CB82" w14:textId="77777777" w:rsidR="00462608" w:rsidRPr="00AB1247" w:rsidRDefault="00462608" w:rsidP="004A4164">
      <w:pPr>
        <w:autoSpaceDE w:val="0"/>
        <w:autoSpaceDN w:val="0"/>
        <w:adjustRightInd w:val="0"/>
      </w:pPr>
    </w:p>
    <w:p w14:paraId="68D6059A" w14:textId="77777777" w:rsidR="00462608" w:rsidRPr="00AB1247" w:rsidRDefault="00462608" w:rsidP="004A4164">
      <w:pPr>
        <w:autoSpaceDE w:val="0"/>
        <w:autoSpaceDN w:val="0"/>
        <w:adjustRightInd w:val="0"/>
      </w:pPr>
      <w:r w:rsidRPr="00AB1247">
        <w:t>4. Dekrēta 4. pielikumu groza saskaņā ar 4. pielikumu.</w:t>
      </w:r>
    </w:p>
    <w:p w14:paraId="75A1DACE" w14:textId="77777777" w:rsidR="00462608" w:rsidRPr="00AB1247" w:rsidRDefault="00462608" w:rsidP="004A4164">
      <w:pPr>
        <w:autoSpaceDE w:val="0"/>
        <w:autoSpaceDN w:val="0"/>
        <w:adjustRightInd w:val="0"/>
      </w:pPr>
    </w:p>
    <w:p w14:paraId="5D540652" w14:textId="77777777" w:rsidR="00462608" w:rsidRPr="00AB1247" w:rsidRDefault="00462608" w:rsidP="004A4164">
      <w:pPr>
        <w:autoSpaceDE w:val="0"/>
        <w:autoSpaceDN w:val="0"/>
        <w:adjustRightInd w:val="0"/>
      </w:pPr>
      <w:r w:rsidRPr="00AB1247">
        <w:t>5. Dekrēta 5. pielikumu groza saskaņā ar 5. pielikumu.</w:t>
      </w:r>
    </w:p>
    <w:p w14:paraId="7B8370CC" w14:textId="77777777" w:rsidR="00C77639" w:rsidRPr="00AB1247" w:rsidRDefault="00C77639" w:rsidP="004A4164">
      <w:pPr>
        <w:autoSpaceDE w:val="0"/>
        <w:autoSpaceDN w:val="0"/>
        <w:adjustRightInd w:val="0"/>
      </w:pPr>
    </w:p>
    <w:p w14:paraId="7C8B295B" w14:textId="77777777" w:rsidR="00052A46" w:rsidRPr="00AB1247" w:rsidRDefault="00D606F7" w:rsidP="004A4164">
      <w:pPr>
        <w:keepNext/>
        <w:keepLines/>
        <w:autoSpaceDE w:val="0"/>
        <w:autoSpaceDN w:val="0"/>
        <w:adjustRightInd w:val="0"/>
        <w:jc w:val="center"/>
        <w:rPr>
          <w:b/>
        </w:rPr>
      </w:pPr>
      <w:r w:rsidRPr="00AB1247">
        <w:rPr>
          <w:b/>
        </w:rPr>
        <w:t>5. pants</w:t>
      </w:r>
    </w:p>
    <w:p w14:paraId="01BE93F4" w14:textId="77777777" w:rsidR="00052A46" w:rsidRPr="00AB1247" w:rsidRDefault="00052A46" w:rsidP="004A4164">
      <w:pPr>
        <w:keepNext/>
        <w:keepLines/>
        <w:autoSpaceDE w:val="0"/>
        <w:autoSpaceDN w:val="0"/>
        <w:adjustRightInd w:val="0"/>
      </w:pPr>
    </w:p>
    <w:p w14:paraId="073EAFEA" w14:textId="09564D01" w:rsidR="00052A46" w:rsidRPr="00AB1247" w:rsidRDefault="00CB2663" w:rsidP="004A4164">
      <w:pPr>
        <w:autoSpaceDE w:val="0"/>
        <w:autoSpaceDN w:val="0"/>
        <w:adjustRightInd w:val="0"/>
      </w:pPr>
      <w:r>
        <w:t>Dekrēta 4. pielikuma 3</w:t>
      </w:r>
      <w:r w:rsidR="00052A46" w:rsidRPr="00AB1247">
        <w:t>. punkta 3.4. apakšpunktu svītro.</w:t>
      </w:r>
    </w:p>
    <w:p w14:paraId="0AEF674D" w14:textId="77777777" w:rsidR="00052A46" w:rsidRPr="00AB1247" w:rsidRDefault="00052A46" w:rsidP="004A4164">
      <w:pPr>
        <w:autoSpaceDE w:val="0"/>
        <w:autoSpaceDN w:val="0"/>
        <w:adjustRightInd w:val="0"/>
      </w:pPr>
    </w:p>
    <w:p w14:paraId="1D5A9D6D" w14:textId="77777777" w:rsidR="00C77639" w:rsidRPr="00AB1247" w:rsidRDefault="00D606F7" w:rsidP="004A4164">
      <w:pPr>
        <w:keepNext/>
        <w:keepLines/>
        <w:autoSpaceDE w:val="0"/>
        <w:autoSpaceDN w:val="0"/>
        <w:adjustRightInd w:val="0"/>
        <w:jc w:val="center"/>
        <w:rPr>
          <w:b/>
        </w:rPr>
      </w:pPr>
      <w:r w:rsidRPr="00AB1247">
        <w:rPr>
          <w:b/>
        </w:rPr>
        <w:t>6. pants</w:t>
      </w:r>
    </w:p>
    <w:p w14:paraId="38562C7A" w14:textId="77777777" w:rsidR="00C77639" w:rsidRPr="00AB1247" w:rsidRDefault="00C77639" w:rsidP="004A4164">
      <w:pPr>
        <w:keepNext/>
        <w:keepLines/>
        <w:autoSpaceDE w:val="0"/>
        <w:autoSpaceDN w:val="0"/>
        <w:adjustRightInd w:val="0"/>
      </w:pPr>
    </w:p>
    <w:p w14:paraId="5CF51B03" w14:textId="77777777" w:rsidR="00FC1B4C" w:rsidRPr="00AB1247" w:rsidRDefault="00FC1B4C" w:rsidP="004A4164">
      <w:pPr>
        <w:autoSpaceDE w:val="0"/>
        <w:autoSpaceDN w:val="0"/>
        <w:adjustRightInd w:val="0"/>
        <w:jc w:val="both"/>
      </w:pPr>
      <w:r w:rsidRPr="00AB1247">
        <w:t>1. Šis dekrēts, izņemot šā panta 2. un 3. punktā noteiktos izņēmumus, stājas spēkā 15. dienā pēc tā publicēšanas.</w:t>
      </w:r>
    </w:p>
    <w:p w14:paraId="421A2200" w14:textId="77777777" w:rsidR="004916B6" w:rsidRPr="00AB1247" w:rsidRDefault="004916B6" w:rsidP="004A4164">
      <w:pPr>
        <w:autoSpaceDE w:val="0"/>
        <w:autoSpaceDN w:val="0"/>
        <w:adjustRightInd w:val="0"/>
        <w:jc w:val="both"/>
      </w:pPr>
    </w:p>
    <w:p w14:paraId="7F9720A7" w14:textId="77777777" w:rsidR="004916B6" w:rsidRPr="00AB1247" w:rsidRDefault="004A4164" w:rsidP="004A4164">
      <w:pPr>
        <w:pStyle w:val="ListParagraph"/>
        <w:autoSpaceDE w:val="0"/>
        <w:autoSpaceDN w:val="0"/>
        <w:adjustRightInd w:val="0"/>
        <w:ind w:left="0"/>
        <w:jc w:val="both"/>
      </w:pPr>
      <w:r w:rsidRPr="00AB1247">
        <w:t>2. Dekrēta 2. panta 1. un 2. punkts, 4. panta 3. punkts un 3. pielikums stājas spēkā 2025. gada 1. janvārī.</w:t>
      </w:r>
    </w:p>
    <w:p w14:paraId="63CCB1E2" w14:textId="77777777" w:rsidR="00567A90" w:rsidRPr="00AB1247" w:rsidRDefault="00567A90" w:rsidP="004A4164">
      <w:pPr>
        <w:pStyle w:val="ListParagraph"/>
        <w:autoSpaceDE w:val="0"/>
        <w:autoSpaceDN w:val="0"/>
        <w:adjustRightInd w:val="0"/>
        <w:ind w:left="0"/>
        <w:jc w:val="both"/>
      </w:pPr>
    </w:p>
    <w:p w14:paraId="3ED117D3" w14:textId="77777777" w:rsidR="00767D9D" w:rsidRPr="00AB1247" w:rsidRDefault="004A4164" w:rsidP="004A4164">
      <w:pPr>
        <w:pStyle w:val="ListParagraph"/>
        <w:autoSpaceDE w:val="0"/>
        <w:autoSpaceDN w:val="0"/>
        <w:adjustRightInd w:val="0"/>
        <w:ind w:left="0"/>
        <w:jc w:val="both"/>
      </w:pPr>
      <w:r w:rsidRPr="00AB1247">
        <w:t>3. Dekrēta 4. panta 2. punkts un 2. pielikums stājas spēkā 2030. gada 1. janvārī.</w:t>
      </w:r>
    </w:p>
    <w:p w14:paraId="768BC2A1" w14:textId="77777777" w:rsidR="00567A90" w:rsidRPr="00AB1247" w:rsidRDefault="00567A90" w:rsidP="004A4164">
      <w:pPr>
        <w:pStyle w:val="ListParagraph"/>
        <w:autoSpaceDE w:val="0"/>
        <w:autoSpaceDN w:val="0"/>
        <w:adjustRightInd w:val="0"/>
        <w:ind w:left="0"/>
        <w:jc w:val="both"/>
        <w:rPr>
          <w:rFonts w:eastAsiaTheme="minorHAnsi"/>
        </w:rPr>
      </w:pPr>
    </w:p>
    <w:p w14:paraId="6AB6978B" w14:textId="77777777" w:rsidR="00767D9D" w:rsidRPr="00AB1247" w:rsidRDefault="001F134F" w:rsidP="004A4164">
      <w:pPr>
        <w:keepNext/>
        <w:keepLines/>
        <w:jc w:val="center"/>
        <w:rPr>
          <w:b/>
        </w:rPr>
      </w:pPr>
      <w:r w:rsidRPr="00AB1247">
        <w:rPr>
          <w:b/>
        </w:rPr>
        <w:t>7. pants</w:t>
      </w:r>
    </w:p>
    <w:p w14:paraId="79E08F7A" w14:textId="77777777" w:rsidR="00716094" w:rsidRPr="00AB1247" w:rsidRDefault="00716094" w:rsidP="004A4164">
      <w:pPr>
        <w:keepNext/>
        <w:keepLines/>
      </w:pPr>
      <w:bookmarkStart w:id="0" w:name="_GoBack"/>
    </w:p>
    <w:bookmarkEnd w:id="0"/>
    <w:p w14:paraId="36ED2F4F" w14:textId="77777777" w:rsidR="00716094" w:rsidRPr="00AB1247" w:rsidRDefault="00716094" w:rsidP="004A4164">
      <w:pPr>
        <w:autoSpaceDE w:val="0"/>
        <w:autoSpaceDN w:val="0"/>
        <w:adjustRightInd w:val="0"/>
        <w:jc w:val="both"/>
        <w:rPr>
          <w:rFonts w:eastAsiaTheme="minorEastAsia"/>
        </w:rPr>
      </w:pPr>
      <w:r w:rsidRPr="00AB1247">
        <w:t>1. Ar šo dekrētu nodrošina atbilstību Eiropas Parlamenta un Padomes 2015. gada 25. novembra Direktīvai (ES) 2015/2193 par ierobežojumiem attiecībā uz dažu piesārņojošu vielu emisiju gaisā no vidējas jaudas sadedzināšanas iekārtām.</w:t>
      </w:r>
    </w:p>
    <w:p w14:paraId="443CCA6F" w14:textId="77777777" w:rsidR="00716094" w:rsidRPr="00AB1247" w:rsidRDefault="00716094" w:rsidP="004A4164">
      <w:pPr>
        <w:autoSpaceDE w:val="0"/>
        <w:autoSpaceDN w:val="0"/>
        <w:adjustRightInd w:val="0"/>
        <w:jc w:val="both"/>
        <w:rPr>
          <w:rFonts w:eastAsiaTheme="minorEastAsia"/>
        </w:rPr>
      </w:pPr>
    </w:p>
    <w:p w14:paraId="6B2ECAE8" w14:textId="77777777" w:rsidR="00716094" w:rsidRPr="00AB1247" w:rsidRDefault="00716094" w:rsidP="004A4164">
      <w:pPr>
        <w:autoSpaceDE w:val="0"/>
        <w:autoSpaceDN w:val="0"/>
        <w:adjustRightInd w:val="0"/>
        <w:jc w:val="both"/>
        <w:rPr>
          <w:rFonts w:eastAsiaTheme="minorEastAsia"/>
        </w:rPr>
      </w:pPr>
      <w:r w:rsidRPr="00AB1247">
        <w:t>2. Par šo dekrēta projektu ir iepriekš paziņots atbilstoši 5.–7. pantam Eiropas Parlamenta un Padomes 2015. gada 9. septembra Direktīvā (ES) 2015/1535, ar ko nosaka informācijas sniegšanas kārtību tehnisko noteikumu un Informācijas sabiedrības pakalpojumu noteikumu jomā.</w:t>
      </w:r>
    </w:p>
    <w:p w14:paraId="7D2B042A" w14:textId="77777777" w:rsidR="00716094" w:rsidRPr="00AB1247" w:rsidRDefault="00716094" w:rsidP="004A4164"/>
    <w:p w14:paraId="764BB006" w14:textId="77777777" w:rsidR="00115E21" w:rsidRPr="00AB1247" w:rsidRDefault="00115E21" w:rsidP="004A4164">
      <w:r w:rsidRPr="00AB1247">
        <w:t>Budapeštā, 2019. gada [datums]. jūnijā.</w:t>
      </w:r>
    </w:p>
    <w:p w14:paraId="50ACBE41" w14:textId="77777777" w:rsidR="00115E21" w:rsidRPr="00AB1247" w:rsidRDefault="00115E21" w:rsidP="004A4164"/>
    <w:p w14:paraId="0E0BA8FF" w14:textId="77777777" w:rsidR="004A4164" w:rsidRPr="00AB1247" w:rsidRDefault="002125C2" w:rsidP="004A4164">
      <w:pPr>
        <w:ind w:left="6379"/>
      </w:pPr>
      <w:r w:rsidRPr="00AB1247">
        <w:rPr>
          <w:i/>
        </w:rPr>
        <w:t>Dr. István Nagy</w:t>
      </w:r>
    </w:p>
    <w:p w14:paraId="705EE8E5" w14:textId="77777777" w:rsidR="004A4164" w:rsidRPr="00AB1247" w:rsidRDefault="004A4164" w:rsidP="004A4164">
      <w:pPr>
        <w:ind w:left="6379"/>
      </w:pPr>
      <w:r w:rsidRPr="00AB1247">
        <w:rPr>
          <w:i/>
        </w:rPr>
        <w:t>Lauksaimniecības ministrs</w:t>
      </w:r>
    </w:p>
    <w:p w14:paraId="0419841E" w14:textId="77777777" w:rsidR="00FC1B4C" w:rsidRPr="00AB1247" w:rsidRDefault="00FC1B4C" w:rsidP="004A4164">
      <w:pPr>
        <w:keepNext/>
        <w:keepLines/>
        <w:pageBreakBefore/>
        <w:autoSpaceDE w:val="0"/>
        <w:autoSpaceDN w:val="0"/>
        <w:adjustRightInd w:val="0"/>
        <w:jc w:val="right"/>
        <w:rPr>
          <w:i/>
        </w:rPr>
      </w:pPr>
      <w:r w:rsidRPr="00AB1247">
        <w:rPr>
          <w:i/>
        </w:rPr>
        <w:lastRenderedPageBreak/>
        <w:t>1. pielikums lauksaimniecības ministra 2019. gada [datums] Dekrētam Nr. [numurs]/2019</w:t>
      </w:r>
    </w:p>
    <w:p w14:paraId="61EE2E2A" w14:textId="77777777" w:rsidR="00FC1B4C" w:rsidRPr="00AB1247" w:rsidRDefault="00FC1B4C" w:rsidP="004A4164">
      <w:pPr>
        <w:keepNext/>
        <w:keepLines/>
        <w:autoSpaceDE w:val="0"/>
        <w:autoSpaceDN w:val="0"/>
        <w:adjustRightInd w:val="0"/>
      </w:pPr>
    </w:p>
    <w:p w14:paraId="096DF51A" w14:textId="77777777" w:rsidR="004A4164" w:rsidRPr="00AB1247" w:rsidRDefault="004A4164" w:rsidP="004A4164">
      <w:pPr>
        <w:keepNext/>
        <w:keepLines/>
        <w:autoSpaceDE w:val="0"/>
        <w:autoSpaceDN w:val="0"/>
        <w:adjustRightInd w:val="0"/>
      </w:pPr>
    </w:p>
    <w:p w14:paraId="5A6092E0" w14:textId="77777777" w:rsidR="00FC1B4C" w:rsidRPr="00AB1247" w:rsidRDefault="00FC1B4C" w:rsidP="004A4164">
      <w:pPr>
        <w:keepNext/>
        <w:keepLines/>
        <w:autoSpaceDE w:val="0"/>
        <w:autoSpaceDN w:val="0"/>
        <w:adjustRightInd w:val="0"/>
      </w:pPr>
      <w:r w:rsidRPr="00AB1247">
        <w:t>1. Dekrēta 1. pielikuma 2. punkta 2.3. apakšpunktu aizstāj ar šādu:</w:t>
      </w:r>
    </w:p>
    <w:p w14:paraId="45EF9090" w14:textId="77777777" w:rsidR="00FC1B4C" w:rsidRPr="00AB1247" w:rsidRDefault="00FC1B4C" w:rsidP="004A4164">
      <w:pPr>
        <w:keepNext/>
        <w:keepLines/>
        <w:autoSpaceDE w:val="0"/>
        <w:autoSpaceDN w:val="0"/>
        <w:adjustRightInd w:val="0"/>
      </w:pPr>
    </w:p>
    <w:p w14:paraId="1289C174" w14:textId="77777777" w:rsidR="00FC1B4C" w:rsidRPr="00AB1247" w:rsidRDefault="00FC1B4C" w:rsidP="004A4164">
      <w:pPr>
        <w:autoSpaceDE w:val="0"/>
        <w:autoSpaceDN w:val="0"/>
        <w:adjustRightInd w:val="0"/>
        <w:jc w:val="both"/>
      </w:pPr>
      <w:r w:rsidRPr="00AB1247">
        <w:t>“2.3. NOx emisijas robežvērtība attiecībā uz lignīta dedzināšanu ir 320 mg/m</w:t>
      </w:r>
      <w:r w:rsidRPr="00AB1247">
        <w:rPr>
          <w:vertAlign w:val="superscript"/>
        </w:rPr>
        <w:t>3</w:t>
      </w:r>
      <w:r w:rsidRPr="00AB1247">
        <w:t>, šķidrā kurināmā katliem, kuros dedzina cietās biomasas kurināmos, ir 300 mg/m</w:t>
      </w:r>
      <w:r w:rsidRPr="00AB1247">
        <w:rPr>
          <w:vertAlign w:val="superscript"/>
        </w:rPr>
        <w:t>3</w:t>
      </w:r>
      <w:r w:rsidRPr="00AB1247">
        <w:t>, bet attiecībā uz šķidrā kurināmā katliem, kuros dedzina citus cietos kurināmos, ir 210 mg/m</w:t>
      </w:r>
      <w:r w:rsidRPr="00AB1247">
        <w:rPr>
          <w:vertAlign w:val="superscript"/>
        </w:rPr>
        <w:t>3</w:t>
      </w:r>
      <w:r w:rsidRPr="00AB1247">
        <w:t>.”</w:t>
      </w:r>
    </w:p>
    <w:p w14:paraId="49CF2A26" w14:textId="77777777" w:rsidR="00FC1B4C" w:rsidRPr="00AB1247" w:rsidRDefault="00FC1B4C" w:rsidP="004A4164">
      <w:pPr>
        <w:autoSpaceDE w:val="0"/>
        <w:autoSpaceDN w:val="0"/>
        <w:adjustRightInd w:val="0"/>
        <w:jc w:val="both"/>
      </w:pPr>
    </w:p>
    <w:p w14:paraId="2B90D7B0" w14:textId="77777777" w:rsidR="00462608" w:rsidRPr="00AB1247" w:rsidRDefault="00462608" w:rsidP="004A4164">
      <w:pPr>
        <w:autoSpaceDE w:val="0"/>
        <w:autoSpaceDN w:val="0"/>
        <w:adjustRightInd w:val="0"/>
        <w:jc w:val="both"/>
      </w:pPr>
    </w:p>
    <w:p w14:paraId="6EAF3348" w14:textId="77777777" w:rsidR="00462608" w:rsidRPr="00AB1247" w:rsidRDefault="00462608" w:rsidP="004A4164">
      <w:pPr>
        <w:keepNext/>
        <w:keepLines/>
        <w:autoSpaceDE w:val="0"/>
        <w:autoSpaceDN w:val="0"/>
        <w:adjustRightInd w:val="0"/>
        <w:jc w:val="both"/>
      </w:pPr>
      <w:r w:rsidRPr="00AB1247">
        <w:t>2. Dekrēta 1. pielikuma 3. punkta 3.1. apakšpunktu aizstāj ar šādu:</w:t>
      </w:r>
    </w:p>
    <w:p w14:paraId="524F41C6" w14:textId="77777777" w:rsidR="00462608" w:rsidRPr="00AB1247" w:rsidRDefault="00462608" w:rsidP="004A4164">
      <w:pPr>
        <w:keepNext/>
        <w:keepLines/>
        <w:autoSpaceDE w:val="0"/>
        <w:autoSpaceDN w:val="0"/>
        <w:adjustRightInd w:val="0"/>
        <w:jc w:val="both"/>
      </w:pPr>
    </w:p>
    <w:p w14:paraId="459B2312" w14:textId="77777777" w:rsidR="00462608" w:rsidRPr="00AB1247" w:rsidRDefault="00462608" w:rsidP="004A4164">
      <w:pPr>
        <w:autoSpaceDE w:val="0"/>
        <w:autoSpaceDN w:val="0"/>
        <w:adjustRightInd w:val="0"/>
        <w:jc w:val="both"/>
      </w:pPr>
      <w:r w:rsidRPr="00AB1247">
        <w:t>“3.1. NOx emisijas robežvērtība divtaktu dzinējiem ir 300 mg/m</w:t>
      </w:r>
      <w:r w:rsidRPr="00AB1247">
        <w:rPr>
          <w:vertAlign w:val="superscript"/>
        </w:rPr>
        <w:t>3</w:t>
      </w:r>
      <w:r w:rsidRPr="00AB1247">
        <w:t>, četrtaktu gāzes dzinējiem, kuros dedzina biogāzi un atkritumu poligona gāzi, ir 225 mg/m</w:t>
      </w:r>
      <w:r w:rsidRPr="00AB1247">
        <w:rPr>
          <w:vertAlign w:val="superscript"/>
        </w:rPr>
        <w:t>3</w:t>
      </w:r>
      <w:r w:rsidRPr="00AB1247">
        <w:t>, dīzeļdzinējiem, ko izmanto tikai izpētes urbumiem, ir 1650 mg/m</w:t>
      </w:r>
      <w:r w:rsidRPr="00AB1247">
        <w:rPr>
          <w:vertAlign w:val="superscript"/>
        </w:rPr>
        <w:t>3</w:t>
      </w:r>
      <w:r w:rsidRPr="00AB1247">
        <w:t>, bet citiem dīzeļdzinējiem ir 1500 mg/m</w:t>
      </w:r>
      <w:r w:rsidRPr="00AB1247">
        <w:rPr>
          <w:vertAlign w:val="superscript"/>
        </w:rPr>
        <w:t>3</w:t>
      </w:r>
      <w:r w:rsidRPr="00AB1247">
        <w:t>.”</w:t>
      </w:r>
    </w:p>
    <w:p w14:paraId="6B9D30B8" w14:textId="77777777" w:rsidR="00C060D9" w:rsidRPr="00AB1247" w:rsidRDefault="00C060D9" w:rsidP="004A4164">
      <w:pPr>
        <w:autoSpaceDE w:val="0"/>
        <w:autoSpaceDN w:val="0"/>
        <w:adjustRightInd w:val="0"/>
        <w:jc w:val="both"/>
      </w:pPr>
    </w:p>
    <w:p w14:paraId="0862F21E" w14:textId="77777777" w:rsidR="004A4164" w:rsidRPr="00AB1247" w:rsidRDefault="004A4164" w:rsidP="004A4164">
      <w:pPr>
        <w:autoSpaceDE w:val="0"/>
        <w:autoSpaceDN w:val="0"/>
        <w:adjustRightInd w:val="0"/>
        <w:jc w:val="both"/>
      </w:pPr>
    </w:p>
    <w:p w14:paraId="56EF1255" w14:textId="77777777" w:rsidR="00C060D9" w:rsidRPr="00AB1247" w:rsidRDefault="00C060D9" w:rsidP="004A4164">
      <w:pPr>
        <w:keepNext/>
        <w:keepLines/>
        <w:autoSpaceDE w:val="0"/>
        <w:autoSpaceDN w:val="0"/>
        <w:adjustRightInd w:val="0"/>
        <w:jc w:val="both"/>
      </w:pPr>
      <w:r w:rsidRPr="00AB1247">
        <w:t xml:space="preserve">3. Dekrēta 1. pielikuma 3. punktam pievieno šādu 3.4. apakšpunktu: </w:t>
      </w:r>
    </w:p>
    <w:p w14:paraId="2C9F31E1" w14:textId="77777777" w:rsidR="00C060D9" w:rsidRPr="00AB1247" w:rsidRDefault="00C060D9" w:rsidP="004A4164">
      <w:pPr>
        <w:keepNext/>
        <w:keepLines/>
        <w:autoSpaceDE w:val="0"/>
        <w:autoSpaceDN w:val="0"/>
        <w:adjustRightInd w:val="0"/>
        <w:jc w:val="both"/>
      </w:pPr>
    </w:p>
    <w:p w14:paraId="724946E6" w14:textId="77777777" w:rsidR="00C060D9" w:rsidRPr="00AB1247" w:rsidRDefault="00C060D9" w:rsidP="004A4164">
      <w:pPr>
        <w:autoSpaceDE w:val="0"/>
        <w:autoSpaceDN w:val="0"/>
        <w:adjustRightInd w:val="0"/>
        <w:jc w:val="both"/>
      </w:pPr>
      <w:r w:rsidRPr="00AB1247">
        <w:t>“3.4. TOC emisijas robežvērtība gāzes dzinējiem, kuros izmanto dabasgāzi, kam etāna saturs pārsniedz 5 %, ir 95 mg/m</w:t>
      </w:r>
      <w:r w:rsidRPr="00AB1247">
        <w:rPr>
          <w:vertAlign w:val="superscript"/>
        </w:rPr>
        <w:t>3</w:t>
      </w:r>
      <w:r w:rsidRPr="00AB1247">
        <w:t>.”</w:t>
      </w:r>
    </w:p>
    <w:p w14:paraId="0031CE4F" w14:textId="77777777" w:rsidR="00FC1B4C" w:rsidRPr="00AB1247" w:rsidRDefault="006B7400" w:rsidP="004A4164">
      <w:pPr>
        <w:keepNext/>
        <w:keepLines/>
        <w:pageBreakBefore/>
        <w:autoSpaceDE w:val="0"/>
        <w:autoSpaceDN w:val="0"/>
        <w:adjustRightInd w:val="0"/>
        <w:jc w:val="right"/>
        <w:rPr>
          <w:i/>
        </w:rPr>
      </w:pPr>
      <w:r w:rsidRPr="00AB1247">
        <w:rPr>
          <w:i/>
        </w:rPr>
        <w:lastRenderedPageBreak/>
        <w:t>2. pielikums lauksaimniecības ministra 2019. gada [datums] Dekrētam Nr. [numurs]/2019</w:t>
      </w:r>
    </w:p>
    <w:p w14:paraId="11C45DC8" w14:textId="77777777" w:rsidR="00FC1B4C" w:rsidRPr="00AB1247" w:rsidRDefault="00FC1B4C" w:rsidP="004A4164">
      <w:pPr>
        <w:keepNext/>
        <w:keepLines/>
        <w:autoSpaceDE w:val="0"/>
        <w:autoSpaceDN w:val="0"/>
        <w:adjustRightInd w:val="0"/>
      </w:pPr>
    </w:p>
    <w:p w14:paraId="354E7429" w14:textId="77777777" w:rsidR="004A4164" w:rsidRPr="00AB1247" w:rsidRDefault="004A4164" w:rsidP="004A4164">
      <w:pPr>
        <w:keepNext/>
        <w:keepLines/>
        <w:autoSpaceDE w:val="0"/>
        <w:autoSpaceDN w:val="0"/>
        <w:adjustRightInd w:val="0"/>
      </w:pPr>
    </w:p>
    <w:p w14:paraId="1DCB1B13" w14:textId="77777777" w:rsidR="00FC1B4C" w:rsidRPr="00AB1247" w:rsidRDefault="00FC1B4C" w:rsidP="004A4164">
      <w:pPr>
        <w:autoSpaceDE w:val="0"/>
        <w:autoSpaceDN w:val="0"/>
        <w:adjustRightInd w:val="0"/>
        <w:jc w:val="both"/>
      </w:pPr>
      <w:r w:rsidRPr="00AB1247">
        <w:t>1. Dekrēta 2. pielikuma 2. punkta tabulas B:5. šūnā ciparu “1500” aizstāj ar ciparu “375”.</w:t>
      </w:r>
    </w:p>
    <w:p w14:paraId="13DA6D37" w14:textId="77777777" w:rsidR="00FC1B4C" w:rsidRPr="00AB1247" w:rsidRDefault="00FC1B4C" w:rsidP="004A4164">
      <w:pPr>
        <w:autoSpaceDE w:val="0"/>
        <w:autoSpaceDN w:val="0"/>
        <w:adjustRightInd w:val="0"/>
        <w:jc w:val="both"/>
      </w:pPr>
    </w:p>
    <w:p w14:paraId="3D9C8B22" w14:textId="77777777" w:rsidR="004A4164" w:rsidRPr="00AB1247" w:rsidRDefault="004A4164" w:rsidP="004A4164">
      <w:pPr>
        <w:autoSpaceDE w:val="0"/>
        <w:autoSpaceDN w:val="0"/>
        <w:adjustRightInd w:val="0"/>
        <w:jc w:val="both"/>
      </w:pPr>
    </w:p>
    <w:p w14:paraId="39925B03" w14:textId="77777777" w:rsidR="00FC1B4C" w:rsidRPr="00AB1247" w:rsidRDefault="00FC1B4C" w:rsidP="004A4164">
      <w:pPr>
        <w:keepNext/>
        <w:keepLines/>
        <w:autoSpaceDE w:val="0"/>
        <w:autoSpaceDN w:val="0"/>
        <w:adjustRightInd w:val="0"/>
      </w:pPr>
      <w:r w:rsidRPr="00AB1247">
        <w:t>2. Dekrēta 2. pielikuma 2. punkta 2.5. apakšpunkts stājas spēkā šādā redakcijā:</w:t>
      </w:r>
    </w:p>
    <w:p w14:paraId="3EBA5CC1" w14:textId="77777777" w:rsidR="00FC1B4C" w:rsidRPr="00AB1247" w:rsidRDefault="00FC1B4C" w:rsidP="004A4164">
      <w:pPr>
        <w:keepNext/>
        <w:keepLines/>
        <w:autoSpaceDE w:val="0"/>
        <w:autoSpaceDN w:val="0"/>
        <w:adjustRightInd w:val="0"/>
      </w:pPr>
    </w:p>
    <w:p w14:paraId="0E8529B7" w14:textId="77777777" w:rsidR="00FC1B4C" w:rsidRPr="00AB1247" w:rsidRDefault="00FC1B4C" w:rsidP="004A4164">
      <w:pPr>
        <w:autoSpaceDE w:val="0"/>
        <w:autoSpaceDN w:val="0"/>
        <w:adjustRightInd w:val="0"/>
        <w:jc w:val="both"/>
      </w:pPr>
      <w:r w:rsidRPr="00AB1247">
        <w:t>“2.5. NOx emisijas robežvērtība attiecībā uz lignīta dedzināšanu ir 320 mg/Nm</w:t>
      </w:r>
      <w:r w:rsidRPr="00AB1247">
        <w:rPr>
          <w:vertAlign w:val="superscript"/>
        </w:rPr>
        <w:t>3</w:t>
      </w:r>
      <w:r w:rsidRPr="00AB1247">
        <w:t>, šķidrā kurināmā katliem, kuros dedzina cietās biomasas kurināmos, ir 300 mg/Nm</w:t>
      </w:r>
      <w:r w:rsidRPr="00AB1247">
        <w:rPr>
          <w:vertAlign w:val="superscript"/>
        </w:rPr>
        <w:t>3</w:t>
      </w:r>
      <w:r w:rsidRPr="00AB1247">
        <w:t>, bet attiecībā uz šķidrā kurināmā katliem, kuros dedzina citus cietos kurināmos, ir 210 mg/Nm</w:t>
      </w:r>
      <w:r w:rsidRPr="00AB1247">
        <w:rPr>
          <w:vertAlign w:val="superscript"/>
        </w:rPr>
        <w:t>3</w:t>
      </w:r>
      <w:r w:rsidRPr="00AB1247">
        <w:t>.”</w:t>
      </w:r>
    </w:p>
    <w:p w14:paraId="259DFD8A" w14:textId="77777777" w:rsidR="00FC1B4C" w:rsidRPr="00AB1247" w:rsidRDefault="00FC1B4C" w:rsidP="004A4164">
      <w:pPr>
        <w:autoSpaceDE w:val="0"/>
        <w:autoSpaceDN w:val="0"/>
        <w:adjustRightInd w:val="0"/>
        <w:jc w:val="both"/>
      </w:pPr>
    </w:p>
    <w:p w14:paraId="3914697B" w14:textId="77777777" w:rsidR="004A4164" w:rsidRPr="00AB1247" w:rsidRDefault="004A4164" w:rsidP="004A4164">
      <w:pPr>
        <w:autoSpaceDE w:val="0"/>
        <w:autoSpaceDN w:val="0"/>
        <w:adjustRightInd w:val="0"/>
        <w:jc w:val="both"/>
      </w:pPr>
    </w:p>
    <w:p w14:paraId="5F1F5F0F" w14:textId="77777777" w:rsidR="00DD14C1" w:rsidRPr="00AB1247" w:rsidRDefault="00C060D9" w:rsidP="004A4164">
      <w:pPr>
        <w:keepNext/>
        <w:keepLines/>
        <w:autoSpaceDE w:val="0"/>
        <w:autoSpaceDN w:val="0"/>
        <w:adjustRightInd w:val="0"/>
        <w:jc w:val="both"/>
      </w:pPr>
      <w:r w:rsidRPr="00AB1247">
        <w:t>3. Dekrēta 2. pielikuma 3. punkta 3.3. apakšpunkts stājas spēkā šādā redakcijā:</w:t>
      </w:r>
    </w:p>
    <w:p w14:paraId="518EB850" w14:textId="77777777" w:rsidR="00DD14C1" w:rsidRPr="00AB1247" w:rsidRDefault="00DD14C1" w:rsidP="004A4164">
      <w:pPr>
        <w:keepNext/>
        <w:keepLines/>
        <w:autoSpaceDE w:val="0"/>
        <w:autoSpaceDN w:val="0"/>
        <w:adjustRightInd w:val="0"/>
        <w:jc w:val="both"/>
      </w:pPr>
    </w:p>
    <w:p w14:paraId="6B41A42F" w14:textId="77777777" w:rsidR="00DD14C1" w:rsidRPr="00AB1247" w:rsidRDefault="00DD14C1" w:rsidP="004A4164">
      <w:pPr>
        <w:autoSpaceDE w:val="0"/>
        <w:autoSpaceDN w:val="0"/>
        <w:adjustRightInd w:val="0"/>
        <w:jc w:val="both"/>
      </w:pPr>
      <w:r w:rsidRPr="00AB1247">
        <w:t>“3.3. NOx emisijas robežvērtība ir 1500 mg/Nm</w:t>
      </w:r>
      <w:r w:rsidRPr="00AB1247">
        <w:rPr>
          <w:vertAlign w:val="superscript"/>
        </w:rPr>
        <w:t>3</w:t>
      </w:r>
      <w:r w:rsidRPr="00AB1247">
        <w:t xml:space="preserve"> šādos gadījumos:</w:t>
      </w:r>
    </w:p>
    <w:p w14:paraId="50449815" w14:textId="77777777" w:rsidR="00DD14C1" w:rsidRPr="00AB1247" w:rsidRDefault="00DD14C1" w:rsidP="004A4164">
      <w:pPr>
        <w:autoSpaceDE w:val="0"/>
        <w:autoSpaceDN w:val="0"/>
        <w:adjustRightInd w:val="0"/>
        <w:jc w:val="both"/>
      </w:pPr>
      <w:r w:rsidRPr="00AB1247">
        <w:t>a)</w:t>
      </w:r>
      <w:r w:rsidRPr="00AB1247">
        <w:tab/>
        <w:t>attiecībā uz dīzeļdzinējiem, kuru būvniecība sākās pirms 2006. gada 18. maija;</w:t>
      </w:r>
    </w:p>
    <w:p w14:paraId="728B44F4" w14:textId="77777777" w:rsidR="00FC1B4C" w:rsidRPr="00AB1247" w:rsidRDefault="00DD14C1" w:rsidP="004A4164">
      <w:pPr>
        <w:autoSpaceDE w:val="0"/>
        <w:autoSpaceDN w:val="0"/>
        <w:adjustRightInd w:val="0"/>
        <w:jc w:val="both"/>
      </w:pPr>
      <w:r w:rsidRPr="00AB1247">
        <w:t>b)</w:t>
      </w:r>
      <w:r w:rsidRPr="00AB1247">
        <w:tab/>
        <w:t>attiecībā uz divu kurināmo dzinējiem šķidrā kurināmā režīmā.”</w:t>
      </w:r>
    </w:p>
    <w:p w14:paraId="63E130FC" w14:textId="77777777" w:rsidR="00400308" w:rsidRPr="00AB1247" w:rsidRDefault="00400308" w:rsidP="004A4164"/>
    <w:p w14:paraId="51212690" w14:textId="77777777" w:rsidR="004A4164" w:rsidRPr="00AB1247" w:rsidRDefault="004A4164" w:rsidP="004A4164"/>
    <w:p w14:paraId="7FD1352E" w14:textId="77777777" w:rsidR="00400308" w:rsidRPr="00AB1247" w:rsidRDefault="00400308" w:rsidP="004A4164">
      <w:pPr>
        <w:keepNext/>
        <w:keepLines/>
        <w:autoSpaceDE w:val="0"/>
        <w:autoSpaceDN w:val="0"/>
        <w:adjustRightInd w:val="0"/>
        <w:jc w:val="both"/>
      </w:pPr>
      <w:r w:rsidRPr="00AB1247">
        <w:t xml:space="preserve">4. Dekrēta 2. pielikuma 3. punktam pievieno šādu 3.8. apakšpunktu: </w:t>
      </w:r>
    </w:p>
    <w:p w14:paraId="17F221DF" w14:textId="77777777" w:rsidR="00400308" w:rsidRPr="00AB1247" w:rsidRDefault="00400308" w:rsidP="004A4164">
      <w:pPr>
        <w:keepNext/>
        <w:keepLines/>
        <w:autoSpaceDE w:val="0"/>
        <w:autoSpaceDN w:val="0"/>
        <w:adjustRightInd w:val="0"/>
        <w:jc w:val="both"/>
      </w:pPr>
    </w:p>
    <w:p w14:paraId="3F0A1ABD" w14:textId="77777777" w:rsidR="00400308" w:rsidRPr="00AB1247" w:rsidRDefault="00400308" w:rsidP="004A4164">
      <w:pPr>
        <w:autoSpaceDE w:val="0"/>
        <w:autoSpaceDN w:val="0"/>
        <w:adjustRightInd w:val="0"/>
        <w:jc w:val="both"/>
      </w:pPr>
      <w:r w:rsidRPr="00AB1247">
        <w:t>“3.8. TOC emisijas robežvērtība gāzes dzinējiem, kuros izmanto dabasgāzi, kam etāna saturs pārsniedz 5 %, ir 95 mg/m</w:t>
      </w:r>
      <w:r w:rsidRPr="00AB1247">
        <w:rPr>
          <w:vertAlign w:val="superscript"/>
        </w:rPr>
        <w:t>3</w:t>
      </w:r>
      <w:r w:rsidRPr="00AB1247">
        <w:t>.”</w:t>
      </w:r>
    </w:p>
    <w:p w14:paraId="01B09D61" w14:textId="77777777" w:rsidR="00FC1B4C" w:rsidRPr="00AB1247" w:rsidRDefault="006B7400" w:rsidP="004A4164">
      <w:pPr>
        <w:keepNext/>
        <w:keepLines/>
        <w:pageBreakBefore/>
        <w:autoSpaceDE w:val="0"/>
        <w:autoSpaceDN w:val="0"/>
        <w:adjustRightInd w:val="0"/>
        <w:jc w:val="right"/>
        <w:rPr>
          <w:i/>
        </w:rPr>
      </w:pPr>
      <w:r w:rsidRPr="00AB1247">
        <w:rPr>
          <w:i/>
        </w:rPr>
        <w:lastRenderedPageBreak/>
        <w:t>3. pielikums lauksaimniecības ministra 2019. gada [datums] Dekrētam Nr. [numurs]/2019</w:t>
      </w:r>
    </w:p>
    <w:p w14:paraId="6F92481C" w14:textId="77777777" w:rsidR="00FC1B4C" w:rsidRPr="00AB1247" w:rsidRDefault="00FC1B4C" w:rsidP="004A4164">
      <w:pPr>
        <w:keepNext/>
        <w:keepLines/>
        <w:autoSpaceDE w:val="0"/>
        <w:autoSpaceDN w:val="0"/>
        <w:adjustRightInd w:val="0"/>
        <w:jc w:val="both"/>
      </w:pPr>
    </w:p>
    <w:p w14:paraId="59E54B04" w14:textId="77777777" w:rsidR="004A4164" w:rsidRPr="00AB1247" w:rsidRDefault="004A4164" w:rsidP="004A4164">
      <w:pPr>
        <w:keepNext/>
        <w:keepLines/>
        <w:autoSpaceDE w:val="0"/>
        <w:autoSpaceDN w:val="0"/>
        <w:adjustRightInd w:val="0"/>
        <w:jc w:val="both"/>
      </w:pPr>
    </w:p>
    <w:p w14:paraId="4C7BB823" w14:textId="77777777" w:rsidR="00FC1B4C" w:rsidRPr="00AB1247" w:rsidRDefault="00FC1B4C" w:rsidP="004A4164">
      <w:pPr>
        <w:autoSpaceDE w:val="0"/>
        <w:autoSpaceDN w:val="0"/>
        <w:adjustRightInd w:val="0"/>
        <w:jc w:val="both"/>
      </w:pPr>
      <w:r w:rsidRPr="00AB1247">
        <w:t>1. Dekrēta 3. pielikuma 2. punkta tabulas B:5. šūnā ciparu “1500” aizstāj ar ciparu “375”.</w:t>
      </w:r>
    </w:p>
    <w:p w14:paraId="4153EED5" w14:textId="77777777" w:rsidR="00FC1B4C" w:rsidRPr="00AB1247" w:rsidRDefault="00FC1B4C" w:rsidP="004A4164">
      <w:pPr>
        <w:autoSpaceDE w:val="0"/>
        <w:autoSpaceDN w:val="0"/>
        <w:adjustRightInd w:val="0"/>
        <w:jc w:val="both"/>
      </w:pPr>
    </w:p>
    <w:p w14:paraId="4BFE2C3B" w14:textId="77777777" w:rsidR="004A4164" w:rsidRPr="00AB1247" w:rsidRDefault="004A4164" w:rsidP="004A4164">
      <w:pPr>
        <w:autoSpaceDE w:val="0"/>
        <w:autoSpaceDN w:val="0"/>
        <w:adjustRightInd w:val="0"/>
        <w:jc w:val="both"/>
      </w:pPr>
    </w:p>
    <w:p w14:paraId="70F3BEE1" w14:textId="77777777" w:rsidR="00FC1B4C" w:rsidRPr="00AB1247" w:rsidRDefault="00FC1B4C" w:rsidP="004A4164">
      <w:pPr>
        <w:keepNext/>
        <w:keepLines/>
        <w:autoSpaceDE w:val="0"/>
        <w:autoSpaceDN w:val="0"/>
        <w:adjustRightInd w:val="0"/>
        <w:jc w:val="both"/>
      </w:pPr>
      <w:r w:rsidRPr="00AB1247">
        <w:t>2. Dekrēta 3. pielikuma 2. punkta 2.6. apakšpunkts stājas spēkā šādā redakcijā:</w:t>
      </w:r>
    </w:p>
    <w:p w14:paraId="51EEA9B6" w14:textId="77777777" w:rsidR="00FC1B4C" w:rsidRPr="00AB1247" w:rsidRDefault="00FC1B4C" w:rsidP="004A4164">
      <w:pPr>
        <w:keepNext/>
        <w:keepLines/>
        <w:autoSpaceDE w:val="0"/>
        <w:autoSpaceDN w:val="0"/>
        <w:adjustRightInd w:val="0"/>
        <w:jc w:val="both"/>
      </w:pPr>
    </w:p>
    <w:p w14:paraId="4BF17B37" w14:textId="77777777" w:rsidR="00FC1B4C" w:rsidRPr="00AB1247" w:rsidRDefault="00FC1B4C" w:rsidP="004A4164">
      <w:pPr>
        <w:autoSpaceDE w:val="0"/>
        <w:autoSpaceDN w:val="0"/>
        <w:adjustRightInd w:val="0"/>
        <w:jc w:val="both"/>
      </w:pPr>
      <w:r w:rsidRPr="00AB1247">
        <w:t>“2.6. NOx emisijas robežvērtība attiecībā uz lignīta dedzināšanu ir 320 mg/m</w:t>
      </w:r>
      <w:r w:rsidRPr="00AB1247">
        <w:rPr>
          <w:vertAlign w:val="superscript"/>
        </w:rPr>
        <w:t>3</w:t>
      </w:r>
      <w:r w:rsidRPr="00AB1247">
        <w:t>, šķidrā kurināmā katliem, kuros dedzina cietās biomasas kurināmos, ir 300 mg/m</w:t>
      </w:r>
      <w:r w:rsidRPr="00AB1247">
        <w:rPr>
          <w:vertAlign w:val="superscript"/>
        </w:rPr>
        <w:t>3</w:t>
      </w:r>
      <w:r w:rsidRPr="00AB1247">
        <w:t>, bet attiecībā uz šķidrā kurināmā katliem, kuros dedzina citus cietos kurināmos, ir 210 mg/m</w:t>
      </w:r>
      <w:r w:rsidRPr="00AB1247">
        <w:rPr>
          <w:vertAlign w:val="superscript"/>
        </w:rPr>
        <w:t>3</w:t>
      </w:r>
      <w:r w:rsidRPr="00AB1247">
        <w:t>.”</w:t>
      </w:r>
    </w:p>
    <w:p w14:paraId="0A10CD7E" w14:textId="77777777" w:rsidR="00FC1B4C" w:rsidRPr="00AB1247" w:rsidRDefault="00FC1B4C" w:rsidP="004A4164">
      <w:pPr>
        <w:autoSpaceDE w:val="0"/>
        <w:autoSpaceDN w:val="0"/>
        <w:adjustRightInd w:val="0"/>
        <w:jc w:val="both"/>
      </w:pPr>
    </w:p>
    <w:p w14:paraId="41A80C73" w14:textId="77777777" w:rsidR="004A4164" w:rsidRPr="00AB1247" w:rsidRDefault="004A4164" w:rsidP="004A4164">
      <w:pPr>
        <w:autoSpaceDE w:val="0"/>
        <w:autoSpaceDN w:val="0"/>
        <w:adjustRightInd w:val="0"/>
        <w:jc w:val="both"/>
      </w:pPr>
    </w:p>
    <w:p w14:paraId="66F28206" w14:textId="77777777" w:rsidR="00FC1B4C" w:rsidRPr="00AB1247" w:rsidRDefault="00A00383" w:rsidP="004A4164">
      <w:pPr>
        <w:keepNext/>
        <w:keepLines/>
        <w:autoSpaceDE w:val="0"/>
        <w:autoSpaceDN w:val="0"/>
        <w:adjustRightInd w:val="0"/>
        <w:jc w:val="both"/>
      </w:pPr>
      <w:r w:rsidRPr="00AB1247">
        <w:t>3. Dekrēta 3. pielikuma 3. punkta 3.2. apakšpunkts stājas spēkā šādā redakcijā:</w:t>
      </w:r>
    </w:p>
    <w:p w14:paraId="00730FC1" w14:textId="77777777" w:rsidR="00F86AAE" w:rsidRPr="00AB1247" w:rsidRDefault="00F86AAE" w:rsidP="004A4164">
      <w:pPr>
        <w:keepNext/>
        <w:keepLines/>
      </w:pPr>
    </w:p>
    <w:p w14:paraId="592FFDFC" w14:textId="77777777" w:rsidR="00F86AAE" w:rsidRPr="00AB1247" w:rsidRDefault="00F86AAE" w:rsidP="004A4164">
      <w:r w:rsidRPr="00AB1247">
        <w:t>“3.2. NOx emisijas robežvērtība ir 1500 mg/Nm</w:t>
      </w:r>
      <w:r w:rsidRPr="00AB1247">
        <w:rPr>
          <w:vertAlign w:val="superscript"/>
        </w:rPr>
        <w:t>3</w:t>
      </w:r>
      <w:r w:rsidRPr="00AB1247">
        <w:t xml:space="preserve"> šādos gadījumos:</w:t>
      </w:r>
    </w:p>
    <w:p w14:paraId="212F8018" w14:textId="77777777" w:rsidR="00F86AAE" w:rsidRPr="00AB1247" w:rsidRDefault="00F86AAE" w:rsidP="004A4164">
      <w:r w:rsidRPr="00AB1247">
        <w:t>a)</w:t>
      </w:r>
      <w:r w:rsidRPr="00AB1247">
        <w:tab/>
        <w:t>attiecībā uz dīzeļdzinējiem, kuru būvniecība sākās pirms 2006. gada 18. maija;</w:t>
      </w:r>
    </w:p>
    <w:p w14:paraId="3651EBF7" w14:textId="77777777" w:rsidR="00A00383" w:rsidRPr="00AB1247" w:rsidRDefault="00F86AAE" w:rsidP="004A4164">
      <w:r w:rsidRPr="00AB1247">
        <w:t>b)</w:t>
      </w:r>
      <w:r w:rsidRPr="00AB1247">
        <w:tab/>
        <w:t>attiecībā uz divu kurināmo dzinējiem šķidrā kurināmā režīmā.”</w:t>
      </w:r>
    </w:p>
    <w:p w14:paraId="7FD63500" w14:textId="77777777" w:rsidR="00A00383" w:rsidRPr="00AB1247" w:rsidRDefault="00A00383" w:rsidP="004A4164"/>
    <w:p w14:paraId="57BC2BC6" w14:textId="77777777" w:rsidR="004A4164" w:rsidRPr="00AB1247" w:rsidRDefault="004A4164" w:rsidP="004A4164"/>
    <w:p w14:paraId="68E81E9F" w14:textId="77777777" w:rsidR="00A00383" w:rsidRPr="00AB1247" w:rsidRDefault="00A00383" w:rsidP="004A4164">
      <w:pPr>
        <w:keepNext/>
        <w:keepLines/>
        <w:autoSpaceDE w:val="0"/>
        <w:autoSpaceDN w:val="0"/>
        <w:adjustRightInd w:val="0"/>
        <w:jc w:val="both"/>
      </w:pPr>
      <w:r w:rsidRPr="00AB1247">
        <w:t xml:space="preserve">4. Dekrēta 3. pielikuma 3. punktam pievieno šādu 3.9. un 3.10. apakšpunktu: </w:t>
      </w:r>
    </w:p>
    <w:p w14:paraId="2BEBB5D8" w14:textId="77777777" w:rsidR="00A00383" w:rsidRPr="00AB1247" w:rsidRDefault="00A00383" w:rsidP="004A4164">
      <w:pPr>
        <w:keepNext/>
        <w:keepLines/>
        <w:autoSpaceDE w:val="0"/>
        <w:autoSpaceDN w:val="0"/>
        <w:adjustRightInd w:val="0"/>
        <w:jc w:val="both"/>
      </w:pPr>
    </w:p>
    <w:p w14:paraId="0CABF185" w14:textId="77777777" w:rsidR="00D4046D" w:rsidRPr="00AB1247" w:rsidRDefault="00A00383" w:rsidP="004A4164">
      <w:pPr>
        <w:autoSpaceDE w:val="0"/>
        <w:autoSpaceDN w:val="0"/>
        <w:adjustRightInd w:val="0"/>
        <w:jc w:val="both"/>
      </w:pPr>
      <w:r w:rsidRPr="00AB1247">
        <w:t>“3.9. TOC emisijas robežvērtība gāzes dzinējiem, kuros izmanto dabasgāzi, kam etāna saturs pārsniedz 5 %, ir 95 mg/m</w:t>
      </w:r>
      <w:r w:rsidRPr="00AB1247">
        <w:rPr>
          <w:vertAlign w:val="superscript"/>
        </w:rPr>
        <w:t>3</w:t>
      </w:r>
      <w:r w:rsidRPr="00AB1247">
        <w:t>.</w:t>
      </w:r>
    </w:p>
    <w:p w14:paraId="3B5D2AD2" w14:textId="77777777" w:rsidR="00380F30" w:rsidRPr="00AB1247" w:rsidRDefault="00380F30" w:rsidP="004A4164">
      <w:pPr>
        <w:autoSpaceDE w:val="0"/>
        <w:autoSpaceDN w:val="0"/>
        <w:adjustRightInd w:val="0"/>
        <w:jc w:val="both"/>
        <w:rPr>
          <w:rFonts w:eastAsiaTheme="minorEastAsia"/>
        </w:rPr>
      </w:pPr>
      <w:r w:rsidRPr="00AB1247">
        <w:t>3.10. Gāzes dzinējiem, kuri nodoti ekspluatācijā pirms 1994. gada 1. janvāra un kurus izmanto tādu gāzes kompresoru staciju darbināšanai, kas nepieciešamas, lai nodrošinātu gāzes pārvades sistēmu drošumu un drošu ekspluatāciju, CO emisijas robežvērtība četrtaktu dzinējiem ir 375 mg/m</w:t>
      </w:r>
      <w:r w:rsidRPr="00AB1247">
        <w:rPr>
          <w:rFonts w:eastAsiaTheme="minorEastAsia"/>
          <w:vertAlign w:val="superscript"/>
        </w:rPr>
        <w:t>3</w:t>
      </w:r>
      <w:r w:rsidRPr="00AB1247">
        <w:t>, divtaktu dzinējiem ir 320 mg/m</w:t>
      </w:r>
      <w:r w:rsidRPr="00AB1247">
        <w:rPr>
          <w:rFonts w:eastAsiaTheme="minorEastAsia"/>
          <w:vertAlign w:val="superscript"/>
        </w:rPr>
        <w:t>3</w:t>
      </w:r>
      <w:r w:rsidRPr="00AB1247">
        <w:t>, un TOC emisijas robežvērtība ir 115 mg/m</w:t>
      </w:r>
      <w:r w:rsidRPr="00AB1247">
        <w:rPr>
          <w:rFonts w:eastAsiaTheme="minorEastAsia"/>
          <w:vertAlign w:val="superscript"/>
        </w:rPr>
        <w:t>3</w:t>
      </w:r>
      <w:r w:rsidRPr="00AB1247">
        <w:t xml:space="preserve"> līdz 2030. gada 1. janvārim.”</w:t>
      </w:r>
    </w:p>
    <w:p w14:paraId="00409A47" w14:textId="77777777" w:rsidR="00F94FF8" w:rsidRPr="00AB1247" w:rsidRDefault="00F94FF8" w:rsidP="004A4164">
      <w:pPr>
        <w:keepNext/>
        <w:keepLines/>
        <w:pageBreakBefore/>
        <w:autoSpaceDE w:val="0"/>
        <w:autoSpaceDN w:val="0"/>
        <w:adjustRightInd w:val="0"/>
        <w:jc w:val="right"/>
        <w:rPr>
          <w:i/>
        </w:rPr>
      </w:pPr>
      <w:r w:rsidRPr="00AB1247">
        <w:rPr>
          <w:i/>
        </w:rPr>
        <w:lastRenderedPageBreak/>
        <w:t>4. pielikums lauksaimniecības ministra 2019. gada [datums] Dekrētam Nr. [numurs]/2019</w:t>
      </w:r>
    </w:p>
    <w:p w14:paraId="496B3D0E" w14:textId="77777777" w:rsidR="00846AD7" w:rsidRPr="00AB1247" w:rsidRDefault="00846AD7" w:rsidP="004A4164">
      <w:pPr>
        <w:keepNext/>
        <w:keepLines/>
      </w:pPr>
    </w:p>
    <w:p w14:paraId="321222D2" w14:textId="77777777" w:rsidR="00F94FF8" w:rsidRPr="00AB1247" w:rsidRDefault="00F94FF8" w:rsidP="004A4164">
      <w:pPr>
        <w:keepNext/>
        <w:keepLines/>
      </w:pPr>
    </w:p>
    <w:p w14:paraId="7CCEA741" w14:textId="77777777" w:rsidR="00F94FF8" w:rsidRPr="00AB1247" w:rsidRDefault="00F94FF8" w:rsidP="004A4164">
      <w:pPr>
        <w:keepNext/>
        <w:keepLines/>
        <w:autoSpaceDE w:val="0"/>
        <w:autoSpaceDN w:val="0"/>
        <w:adjustRightInd w:val="0"/>
      </w:pPr>
      <w:r w:rsidRPr="00AB1247">
        <w:t>1. Dekrēta 4. pielikuma 2. punkta 2.5. apakšpunktu aizstāj ar šādu:</w:t>
      </w:r>
    </w:p>
    <w:p w14:paraId="1EF36812" w14:textId="77777777" w:rsidR="00F94FF8" w:rsidRPr="00AB1247" w:rsidRDefault="00F94FF8" w:rsidP="004A4164">
      <w:pPr>
        <w:keepNext/>
        <w:keepLines/>
        <w:autoSpaceDE w:val="0"/>
        <w:autoSpaceDN w:val="0"/>
        <w:adjustRightInd w:val="0"/>
      </w:pPr>
    </w:p>
    <w:p w14:paraId="7AEC2CF6" w14:textId="77777777" w:rsidR="00F94FF8" w:rsidRPr="00AB1247" w:rsidRDefault="00F94FF8" w:rsidP="004A4164">
      <w:pPr>
        <w:autoSpaceDE w:val="0"/>
        <w:autoSpaceDN w:val="0"/>
        <w:adjustRightInd w:val="0"/>
        <w:jc w:val="both"/>
      </w:pPr>
      <w:r w:rsidRPr="00AB1247">
        <w:t>“2.5. NOx emisijas robežvērtība attiecībā uz lignīta dedzināšanu ir 320 mg/m</w:t>
      </w:r>
      <w:r w:rsidRPr="00AB1247">
        <w:rPr>
          <w:vertAlign w:val="superscript"/>
        </w:rPr>
        <w:t>3</w:t>
      </w:r>
      <w:r w:rsidRPr="00AB1247">
        <w:t>, šķidrā kurināmā katliem, kuros dedzina cietās biomasas kurināmos, ir 300 mg/m</w:t>
      </w:r>
      <w:r w:rsidRPr="00AB1247">
        <w:rPr>
          <w:vertAlign w:val="superscript"/>
        </w:rPr>
        <w:t>3</w:t>
      </w:r>
      <w:r w:rsidRPr="00AB1247">
        <w:t>, bet attiecībā uz šķidrā kurināmā katliem, kuros dedzina citus cietos kurināmos, ir 210 mg/m</w:t>
      </w:r>
      <w:r w:rsidRPr="00AB1247">
        <w:rPr>
          <w:vertAlign w:val="superscript"/>
        </w:rPr>
        <w:t>3</w:t>
      </w:r>
      <w:r w:rsidRPr="00AB1247">
        <w:t>.”</w:t>
      </w:r>
    </w:p>
    <w:p w14:paraId="5185E2EF" w14:textId="77777777" w:rsidR="00F94FF8" w:rsidRPr="00AB1247" w:rsidRDefault="00F94FF8" w:rsidP="004A4164">
      <w:pPr>
        <w:autoSpaceDE w:val="0"/>
        <w:autoSpaceDN w:val="0"/>
        <w:adjustRightInd w:val="0"/>
        <w:jc w:val="both"/>
      </w:pPr>
    </w:p>
    <w:p w14:paraId="185FD78C" w14:textId="77777777" w:rsidR="004A4164" w:rsidRPr="00AB1247" w:rsidRDefault="004A4164" w:rsidP="004A4164">
      <w:pPr>
        <w:autoSpaceDE w:val="0"/>
        <w:autoSpaceDN w:val="0"/>
        <w:adjustRightInd w:val="0"/>
        <w:jc w:val="both"/>
      </w:pPr>
    </w:p>
    <w:p w14:paraId="2FDCDED7" w14:textId="77777777" w:rsidR="00F94FF8" w:rsidRPr="00AB1247" w:rsidRDefault="00F94FF8" w:rsidP="004A4164">
      <w:pPr>
        <w:keepNext/>
        <w:keepLines/>
        <w:autoSpaceDE w:val="0"/>
        <w:autoSpaceDN w:val="0"/>
        <w:adjustRightInd w:val="0"/>
        <w:jc w:val="both"/>
      </w:pPr>
      <w:r w:rsidRPr="00AB1247">
        <w:t>2. Dekrēta 4. pielikuma 3. punkta 3.3. apakšpunktu aizstāj ar šādu:</w:t>
      </w:r>
    </w:p>
    <w:p w14:paraId="475DB4CC" w14:textId="77777777" w:rsidR="00F94FF8" w:rsidRPr="00AB1247" w:rsidRDefault="00F94FF8" w:rsidP="004A4164">
      <w:pPr>
        <w:keepNext/>
        <w:keepLines/>
        <w:autoSpaceDE w:val="0"/>
        <w:autoSpaceDN w:val="0"/>
        <w:adjustRightInd w:val="0"/>
        <w:jc w:val="both"/>
      </w:pPr>
    </w:p>
    <w:p w14:paraId="70EDD604" w14:textId="77777777" w:rsidR="00D92A3F" w:rsidRPr="00AB1247" w:rsidRDefault="00FE7228" w:rsidP="004A4164">
      <w:pPr>
        <w:autoSpaceDE w:val="0"/>
        <w:autoSpaceDN w:val="0"/>
        <w:adjustRightInd w:val="0"/>
        <w:jc w:val="both"/>
      </w:pPr>
      <w:r w:rsidRPr="00AB1247">
        <w:t>“3.3. NOx emisijas robežvērtība dīzeļdzinējiem, ja to NOx emisijas ir ierobežotas primāro pasākumu dēļ, ir 1650 mg/m</w:t>
      </w:r>
      <w:r w:rsidRPr="00AB1247">
        <w:rPr>
          <w:vertAlign w:val="superscript"/>
        </w:rPr>
        <w:t>3</w:t>
      </w:r>
      <w:r w:rsidRPr="00AB1247">
        <w:t xml:space="preserve"> attiecībā uz dīzeļdzinējiem, kurus izmanto tikai izpētes urbumiem, un 1500 mg/m</w:t>
      </w:r>
      <w:r w:rsidRPr="00AB1247">
        <w:rPr>
          <w:vertAlign w:val="superscript"/>
        </w:rPr>
        <w:t>3</w:t>
      </w:r>
      <w:r w:rsidRPr="00AB1247">
        <w:t xml:space="preserve"> attiecībā uz citiem dīzeļdzinējiem.”</w:t>
      </w:r>
    </w:p>
    <w:p w14:paraId="6F384479" w14:textId="77777777" w:rsidR="00D92A3F" w:rsidRPr="00AB1247" w:rsidRDefault="00D92A3F" w:rsidP="004A4164">
      <w:pPr>
        <w:autoSpaceDE w:val="0"/>
        <w:autoSpaceDN w:val="0"/>
        <w:adjustRightInd w:val="0"/>
        <w:jc w:val="both"/>
      </w:pPr>
    </w:p>
    <w:p w14:paraId="5CA7BAE2" w14:textId="77777777" w:rsidR="004A4164" w:rsidRPr="00AB1247" w:rsidRDefault="004A4164" w:rsidP="004A4164">
      <w:pPr>
        <w:autoSpaceDE w:val="0"/>
        <w:autoSpaceDN w:val="0"/>
        <w:adjustRightInd w:val="0"/>
        <w:jc w:val="both"/>
      </w:pPr>
    </w:p>
    <w:p w14:paraId="29B963B8" w14:textId="77777777" w:rsidR="003758D5" w:rsidRPr="00AB1247" w:rsidRDefault="003758D5" w:rsidP="004A4164">
      <w:pPr>
        <w:keepNext/>
        <w:keepLines/>
        <w:autoSpaceDE w:val="0"/>
        <w:autoSpaceDN w:val="0"/>
        <w:adjustRightInd w:val="0"/>
        <w:jc w:val="both"/>
      </w:pPr>
      <w:r w:rsidRPr="00AB1247">
        <w:t>3. Dekrēta 4. pielikuma 3. punktam pievieno šādu 3.8. apakšpunktu:</w:t>
      </w:r>
    </w:p>
    <w:p w14:paraId="483347BC" w14:textId="77777777" w:rsidR="003758D5" w:rsidRPr="00AB1247" w:rsidRDefault="003758D5" w:rsidP="004A4164">
      <w:pPr>
        <w:keepNext/>
        <w:keepLines/>
        <w:autoSpaceDE w:val="0"/>
        <w:autoSpaceDN w:val="0"/>
        <w:adjustRightInd w:val="0"/>
        <w:jc w:val="both"/>
      </w:pPr>
    </w:p>
    <w:p w14:paraId="7253D27B" w14:textId="77777777" w:rsidR="00D92A3F" w:rsidRPr="00AB1247" w:rsidRDefault="003758D5" w:rsidP="004A4164">
      <w:pPr>
        <w:autoSpaceDE w:val="0"/>
        <w:autoSpaceDN w:val="0"/>
        <w:adjustRightInd w:val="0"/>
        <w:jc w:val="both"/>
      </w:pPr>
      <w:r w:rsidRPr="00AB1247">
        <w:t>“3.8. TOC emisijas robežvērtība gāzes dzinējiem, kuros izmanto dabasgāzi, kam etāna saturs pārsniedz 5 %, ir 95 mg/m</w:t>
      </w:r>
      <w:r w:rsidRPr="00AB1247">
        <w:rPr>
          <w:vertAlign w:val="superscript"/>
        </w:rPr>
        <w:t>3</w:t>
      </w:r>
      <w:r w:rsidRPr="00AB1247">
        <w:t>.”</w:t>
      </w:r>
    </w:p>
    <w:p w14:paraId="14BEBB10" w14:textId="77777777" w:rsidR="001733D0" w:rsidRPr="00AB1247" w:rsidRDefault="001733D0" w:rsidP="004A4164">
      <w:pPr>
        <w:keepNext/>
        <w:keepLines/>
        <w:pageBreakBefore/>
        <w:jc w:val="right"/>
        <w:rPr>
          <w:i/>
        </w:rPr>
      </w:pPr>
      <w:r w:rsidRPr="00AB1247">
        <w:rPr>
          <w:i/>
        </w:rPr>
        <w:lastRenderedPageBreak/>
        <w:t>5. pielikums lauksaimniecības ministra 2019. gada [datums] Dekrētam Nr. [numurs]/2019</w:t>
      </w:r>
    </w:p>
    <w:p w14:paraId="741B0A62" w14:textId="77777777" w:rsidR="001733D0" w:rsidRPr="00AB1247" w:rsidRDefault="001733D0" w:rsidP="004A4164">
      <w:pPr>
        <w:keepNext/>
        <w:keepLines/>
        <w:autoSpaceDE w:val="0"/>
        <w:autoSpaceDN w:val="0"/>
        <w:adjustRightInd w:val="0"/>
        <w:jc w:val="both"/>
      </w:pPr>
    </w:p>
    <w:p w14:paraId="4C6A4CEF" w14:textId="77777777" w:rsidR="001733D0" w:rsidRPr="00AB1247" w:rsidRDefault="001733D0" w:rsidP="004A4164">
      <w:pPr>
        <w:keepNext/>
        <w:keepLines/>
        <w:autoSpaceDE w:val="0"/>
        <w:autoSpaceDN w:val="0"/>
        <w:adjustRightInd w:val="0"/>
        <w:jc w:val="both"/>
      </w:pPr>
    </w:p>
    <w:p w14:paraId="25164611" w14:textId="77777777" w:rsidR="00F94FF8" w:rsidRPr="00AB1247" w:rsidRDefault="001733D0" w:rsidP="004A4164">
      <w:pPr>
        <w:autoSpaceDE w:val="0"/>
        <w:autoSpaceDN w:val="0"/>
        <w:adjustRightInd w:val="0"/>
        <w:jc w:val="both"/>
      </w:pPr>
      <w:r w:rsidRPr="00AB1247">
        <w:t xml:space="preserve">1. Dekrēta 5. pielikuma 2. punkta tabulas B:5. šūnā ciparu “1500” aizstāj ar ciparu “375”. </w:t>
      </w:r>
    </w:p>
    <w:p w14:paraId="628ABA76" w14:textId="77777777" w:rsidR="00F94FF8" w:rsidRPr="00AB1247" w:rsidRDefault="00F94FF8" w:rsidP="004A4164">
      <w:pPr>
        <w:autoSpaceDE w:val="0"/>
        <w:autoSpaceDN w:val="0"/>
        <w:adjustRightInd w:val="0"/>
      </w:pPr>
    </w:p>
    <w:p w14:paraId="7F203B39" w14:textId="77777777" w:rsidR="004A4164" w:rsidRPr="00AB1247" w:rsidRDefault="004A4164" w:rsidP="004A4164">
      <w:pPr>
        <w:autoSpaceDE w:val="0"/>
        <w:autoSpaceDN w:val="0"/>
        <w:adjustRightInd w:val="0"/>
      </w:pPr>
    </w:p>
    <w:p w14:paraId="128CEB4D" w14:textId="77777777" w:rsidR="00F94FF8" w:rsidRPr="00AB1247" w:rsidRDefault="001733D0" w:rsidP="004A4164">
      <w:pPr>
        <w:keepNext/>
        <w:keepLines/>
        <w:autoSpaceDE w:val="0"/>
        <w:autoSpaceDN w:val="0"/>
        <w:adjustRightInd w:val="0"/>
      </w:pPr>
      <w:r w:rsidRPr="00AB1247">
        <w:t>2. Dekrēta 5. pielikuma 2. punkta 2.3. un 2.4. apakšpunktu aizstāj ar šādu:</w:t>
      </w:r>
    </w:p>
    <w:p w14:paraId="432BAA89" w14:textId="77777777" w:rsidR="00F94FF8" w:rsidRPr="00AB1247" w:rsidRDefault="00F94FF8" w:rsidP="004A4164">
      <w:pPr>
        <w:keepNext/>
        <w:keepLines/>
        <w:autoSpaceDE w:val="0"/>
        <w:autoSpaceDN w:val="0"/>
        <w:adjustRightInd w:val="0"/>
      </w:pPr>
    </w:p>
    <w:p w14:paraId="7D3A2122" w14:textId="77777777" w:rsidR="00F94FF8" w:rsidRPr="00AB1247" w:rsidRDefault="00F94FF8" w:rsidP="004A4164">
      <w:pPr>
        <w:autoSpaceDE w:val="0"/>
        <w:autoSpaceDN w:val="0"/>
        <w:adjustRightInd w:val="0"/>
        <w:jc w:val="both"/>
      </w:pPr>
      <w:r w:rsidRPr="00AB1247">
        <w:t>“2.3. NOx emisijas robežvērtība attiecībā uz sadedzināšanas iekārtām, kurās dedzina cietos kurināmos un kuru kopējā nominālā ievadīta siltumjauda ir vismaz 1 MW</w:t>
      </w:r>
      <w:r w:rsidRPr="00AB1247">
        <w:rPr>
          <w:vertAlign w:val="subscript"/>
        </w:rPr>
        <w:t>th</w:t>
      </w:r>
      <w:r w:rsidRPr="00AB1247">
        <w:t>, bet mazāka par 5 MW</w:t>
      </w:r>
      <w:r w:rsidRPr="00AB1247">
        <w:rPr>
          <w:vertAlign w:val="subscript"/>
        </w:rPr>
        <w:t>th</w:t>
      </w:r>
      <w:r w:rsidRPr="00AB1247">
        <w:t>, ir 500 mg/Nm</w:t>
      </w:r>
      <w:r w:rsidRPr="00AB1247">
        <w:rPr>
          <w:vertAlign w:val="superscript"/>
        </w:rPr>
        <w:t>3</w:t>
      </w:r>
      <w:r w:rsidRPr="00AB1247">
        <w:t>, ar izņēmumu, ka attiecībā uz lignīta dedzināšanu šī vērtība ir 320 mg/Nm</w:t>
      </w:r>
      <w:r w:rsidRPr="00AB1247">
        <w:rPr>
          <w:vertAlign w:val="superscript"/>
        </w:rPr>
        <w:t>3</w:t>
      </w:r>
      <w:r w:rsidRPr="00AB1247">
        <w:t>, bet šķidrā kurināmā katliem, kuros dedzina cietās biomasas kurināmos, tā ir 300 mg/Nm</w:t>
      </w:r>
      <w:r w:rsidRPr="00AB1247">
        <w:rPr>
          <w:vertAlign w:val="superscript"/>
        </w:rPr>
        <w:t>3</w:t>
      </w:r>
      <w:r w:rsidRPr="00AB1247">
        <w:t>.</w:t>
      </w:r>
    </w:p>
    <w:p w14:paraId="3A160D9D" w14:textId="77777777" w:rsidR="00F94FF8" w:rsidRPr="00AB1247" w:rsidRDefault="00F94FF8" w:rsidP="004A4164">
      <w:pPr>
        <w:autoSpaceDE w:val="0"/>
        <w:autoSpaceDN w:val="0"/>
        <w:adjustRightInd w:val="0"/>
        <w:jc w:val="both"/>
      </w:pPr>
      <w:r w:rsidRPr="00AB1247">
        <w:t>2.4. NOx emisijas robežvērtība attiecībā uz šķidrā kurināmā katliem, kuros dedzina citus cietos kurināmos, ir 210 mg/Nm</w:t>
      </w:r>
      <w:r w:rsidRPr="00AB1247">
        <w:rPr>
          <w:vertAlign w:val="superscript"/>
        </w:rPr>
        <w:t>3</w:t>
      </w:r>
      <w:r w:rsidRPr="00AB1247">
        <w:t>.”</w:t>
      </w:r>
    </w:p>
    <w:p w14:paraId="7B15080A" w14:textId="77777777" w:rsidR="001733D0" w:rsidRPr="00AB1247" w:rsidRDefault="001733D0" w:rsidP="004A4164"/>
    <w:p w14:paraId="70E256D3" w14:textId="77777777" w:rsidR="004A4164" w:rsidRPr="00AB1247" w:rsidRDefault="004A4164" w:rsidP="004A4164"/>
    <w:p w14:paraId="3629CBC6" w14:textId="77777777" w:rsidR="001733D0" w:rsidRPr="00AB1247" w:rsidRDefault="001733D0" w:rsidP="004A4164">
      <w:pPr>
        <w:keepNext/>
        <w:keepLines/>
        <w:autoSpaceDE w:val="0"/>
        <w:autoSpaceDN w:val="0"/>
        <w:adjustRightInd w:val="0"/>
      </w:pPr>
      <w:r w:rsidRPr="00AB1247">
        <w:t>3. Dekrēta 5. pielikuma 3. punkta 3.2. apakšpunktu aizstāj ar šādu:</w:t>
      </w:r>
    </w:p>
    <w:p w14:paraId="7C7B2CCA" w14:textId="77777777" w:rsidR="001733D0" w:rsidRPr="00AB1247" w:rsidRDefault="001733D0" w:rsidP="004A4164">
      <w:pPr>
        <w:keepNext/>
        <w:keepLines/>
      </w:pPr>
    </w:p>
    <w:p w14:paraId="1C7234A0" w14:textId="77777777" w:rsidR="001733D0" w:rsidRPr="00AB1247" w:rsidRDefault="001733D0" w:rsidP="004A4164">
      <w:pPr>
        <w:jc w:val="both"/>
      </w:pPr>
      <w:r w:rsidRPr="00AB1247">
        <w:t>“3.2. Dzinējiem, kuri darbojas 500–1500 stundas gadā, ja to NOx emisijas ir ierobežotas primāro pasākumu dēļ, piemēro šādas NOx emisijas robežvērtības:</w:t>
      </w:r>
    </w:p>
    <w:p w14:paraId="64599FAF" w14:textId="77777777" w:rsidR="001733D0" w:rsidRPr="00AB1247" w:rsidRDefault="001733D0" w:rsidP="004A4164">
      <w:pPr>
        <w:jc w:val="both"/>
      </w:pPr>
      <w:r w:rsidRPr="00AB1247">
        <w:t>a) 1300 mg/Nm</w:t>
      </w:r>
      <w:r w:rsidRPr="00AB1247">
        <w:rPr>
          <w:vertAlign w:val="superscript"/>
        </w:rPr>
        <w:t xml:space="preserve">3 </w:t>
      </w:r>
      <w:r w:rsidRPr="00AB1247">
        <w:t>dīzeļdzinējiem, kuru kopējā nominālā ievadītā siltumjauda nepārsniedz 20 MW</w:t>
      </w:r>
      <w:r w:rsidRPr="00AB1247">
        <w:rPr>
          <w:vertAlign w:val="subscript"/>
        </w:rPr>
        <w:t>th</w:t>
      </w:r>
      <w:r w:rsidRPr="00AB1247">
        <w:t>, ar ≤ 1200 r/min;</w:t>
      </w:r>
    </w:p>
    <w:p w14:paraId="5D4FFA4D" w14:textId="77777777" w:rsidR="001733D0" w:rsidRPr="00AB1247" w:rsidRDefault="001733D0" w:rsidP="004A4164">
      <w:pPr>
        <w:jc w:val="both"/>
      </w:pPr>
      <w:r w:rsidRPr="00AB1247">
        <w:t>b) 1500 mg/Nm</w:t>
      </w:r>
      <w:r w:rsidRPr="00AB1247">
        <w:rPr>
          <w:vertAlign w:val="superscript"/>
        </w:rPr>
        <w:t xml:space="preserve">3 </w:t>
      </w:r>
      <w:r w:rsidRPr="00AB1247">
        <w:t>dīzeļdzinējiem, kuru kopējā nominālā ievadītā siltumjauda pārsniedz 20 MW</w:t>
      </w:r>
      <w:r w:rsidRPr="00AB1247">
        <w:rPr>
          <w:vertAlign w:val="subscript"/>
        </w:rPr>
        <w:t>th</w:t>
      </w:r>
      <w:r w:rsidRPr="00AB1247">
        <w:t>, un divu kurināmo dzinējiem šķidrā kurināmā režīmā;</w:t>
      </w:r>
    </w:p>
    <w:p w14:paraId="6042543B" w14:textId="77777777" w:rsidR="007A2FAA" w:rsidRPr="00AB1247" w:rsidRDefault="001733D0" w:rsidP="004A4164">
      <w:pPr>
        <w:jc w:val="both"/>
      </w:pPr>
      <w:r w:rsidRPr="00AB1247">
        <w:t>c) 750 mg/Nm</w:t>
      </w:r>
      <w:r w:rsidRPr="00AB1247">
        <w:rPr>
          <w:vertAlign w:val="superscript"/>
        </w:rPr>
        <w:t>3</w:t>
      </w:r>
      <w:r w:rsidRPr="00AB1247">
        <w:t xml:space="preserve"> dīzeļdzinējiem ar &gt; 1200 r/min;</w:t>
      </w:r>
    </w:p>
    <w:p w14:paraId="6BA649BA" w14:textId="77777777" w:rsidR="00F94FF8" w:rsidRPr="00AB1247" w:rsidRDefault="007A2FAA" w:rsidP="004A4164">
      <w:pPr>
        <w:jc w:val="both"/>
      </w:pPr>
      <w:r w:rsidRPr="00AB1247">
        <w:t>d) 380 mg/Nm</w:t>
      </w:r>
      <w:r w:rsidRPr="00AB1247">
        <w:rPr>
          <w:vertAlign w:val="superscript"/>
        </w:rPr>
        <w:t>3</w:t>
      </w:r>
      <w:r w:rsidRPr="00AB1247">
        <w:t xml:space="preserve"> divu kurināmo dzinējiem gāzveida kurināmā režīmā.”</w:t>
      </w:r>
    </w:p>
    <w:p w14:paraId="65674CCB" w14:textId="77777777" w:rsidR="00C828A5" w:rsidRPr="00AB1247" w:rsidRDefault="00C828A5" w:rsidP="004A4164">
      <w:pPr>
        <w:jc w:val="both"/>
      </w:pPr>
    </w:p>
    <w:p w14:paraId="46F9FB10" w14:textId="77777777" w:rsidR="004A4164" w:rsidRPr="00AB1247" w:rsidRDefault="004A4164" w:rsidP="004A4164">
      <w:pPr>
        <w:jc w:val="both"/>
      </w:pPr>
    </w:p>
    <w:p w14:paraId="7F215D31" w14:textId="77777777" w:rsidR="003758D5" w:rsidRPr="00AB1247" w:rsidRDefault="003758D5" w:rsidP="004A4164">
      <w:pPr>
        <w:keepNext/>
        <w:keepLines/>
      </w:pPr>
      <w:r w:rsidRPr="00AB1247">
        <w:t>4. Dekrēta 5. pielikuma 3. punktam pievieno šādu 3.9. apakšpunktu:</w:t>
      </w:r>
    </w:p>
    <w:p w14:paraId="3E010C79" w14:textId="77777777" w:rsidR="003758D5" w:rsidRPr="00AB1247" w:rsidRDefault="003758D5" w:rsidP="004A4164">
      <w:pPr>
        <w:keepNext/>
        <w:keepLines/>
      </w:pPr>
    </w:p>
    <w:p w14:paraId="4948588C" w14:textId="77777777" w:rsidR="00C828A5" w:rsidRPr="00AB1247" w:rsidRDefault="003758D5" w:rsidP="004A4164">
      <w:pPr>
        <w:rPr>
          <w:rFonts w:eastAsiaTheme="minorHAnsi"/>
        </w:rPr>
      </w:pPr>
      <w:r w:rsidRPr="00AB1247">
        <w:t>“3.9. TOC emisijas robežvērtība gāzes dzinējiem, kuros izmanto dabasgāzi, kam etāna saturs pārsniedz 5 %, ir 95 mg/m</w:t>
      </w:r>
      <w:r w:rsidRPr="00AB1247">
        <w:rPr>
          <w:vertAlign w:val="superscript"/>
        </w:rPr>
        <w:t>3</w:t>
      </w:r>
      <w:r w:rsidRPr="00AB1247">
        <w:t>.”</w:t>
      </w:r>
    </w:p>
    <w:sectPr w:rsidR="00C828A5" w:rsidRPr="00AB1247"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06337" w14:textId="77777777" w:rsidR="003D5343" w:rsidRDefault="003D5343">
      <w:r>
        <w:separator/>
      </w:r>
    </w:p>
  </w:endnote>
  <w:endnote w:type="continuationSeparator" w:id="0">
    <w:p w14:paraId="489C7D0B" w14:textId="77777777" w:rsidR="003D5343" w:rsidRDefault="003D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2988"/>
      <w:gridCol w:w="4235"/>
      <w:gridCol w:w="2685"/>
    </w:tblGrid>
    <w:tr w:rsidR="00F80E39" w:rsidRPr="008430F8" w14:paraId="7970B6A6" w14:textId="77777777" w:rsidTr="004A4164">
      <w:trPr>
        <w:cantSplit/>
      </w:trPr>
      <w:tc>
        <w:tcPr>
          <w:tcW w:w="1508" w:type="pct"/>
          <w:hideMark/>
        </w:tcPr>
        <w:p w14:paraId="7CD37ACD" w14:textId="77777777" w:rsidR="00F80E39" w:rsidRPr="008430F8" w:rsidRDefault="00F80E39" w:rsidP="00A00383">
          <w:pPr>
            <w:pStyle w:val="Footer"/>
            <w:jc w:val="center"/>
            <w:rPr>
              <w:sz w:val="16"/>
              <w:szCs w:val="16"/>
            </w:rPr>
          </w:pPr>
          <w:r>
            <w:rPr>
              <w:sz w:val="16"/>
            </w:rPr>
            <w:t>Izstrādāja:</w:t>
          </w:r>
        </w:p>
        <w:p w14:paraId="581B134A" w14:textId="77777777" w:rsidR="00F80E39" w:rsidRPr="008430F8" w:rsidRDefault="00F80E39" w:rsidP="00A00383">
          <w:pPr>
            <w:pStyle w:val="Footer"/>
            <w:jc w:val="center"/>
            <w:rPr>
              <w:sz w:val="16"/>
              <w:szCs w:val="16"/>
            </w:rPr>
          </w:pPr>
          <w:r>
            <w:rPr>
              <w:i/>
              <w:sz w:val="16"/>
            </w:rPr>
            <w:t>Dr.</w:t>
          </w:r>
          <w:r>
            <w:rPr>
              <w:sz w:val="16"/>
            </w:rPr>
            <w:t xml:space="preserve"> </w:t>
          </w:r>
          <w:r>
            <w:rPr>
              <w:i/>
              <w:sz w:val="16"/>
            </w:rPr>
            <w:t>Hunor Orban</w:t>
          </w:r>
        </w:p>
        <w:p w14:paraId="21BFF1CD" w14:textId="77777777" w:rsidR="00F80E39" w:rsidRPr="008430F8" w:rsidRDefault="00F80E39" w:rsidP="00A00383">
          <w:pPr>
            <w:pStyle w:val="Footer"/>
            <w:jc w:val="center"/>
            <w:rPr>
              <w:i/>
              <w:sz w:val="16"/>
              <w:szCs w:val="16"/>
            </w:rPr>
          </w:pPr>
          <w:r>
            <w:rPr>
              <w:i/>
              <w:sz w:val="16"/>
            </w:rPr>
            <w:t>departamenta vadītājs</w:t>
          </w:r>
        </w:p>
        <w:p w14:paraId="5BABF8DF" w14:textId="77777777" w:rsidR="00F80E39" w:rsidRPr="008430F8" w:rsidRDefault="00F80E39" w:rsidP="00A00383">
          <w:pPr>
            <w:pStyle w:val="Footer"/>
            <w:jc w:val="center"/>
            <w:rPr>
              <w:sz w:val="16"/>
              <w:szCs w:val="16"/>
            </w:rPr>
          </w:pPr>
          <w:r>
            <w:rPr>
              <w:sz w:val="16"/>
            </w:rPr>
            <w:t>+36 (1) 795 5859</w:t>
          </w:r>
        </w:p>
        <w:p w14:paraId="6F777413" w14:textId="77777777" w:rsidR="00F80E39" w:rsidRPr="008430F8" w:rsidRDefault="00CB2663" w:rsidP="00A00383">
          <w:pPr>
            <w:pStyle w:val="Footer"/>
            <w:jc w:val="center"/>
            <w:rPr>
              <w:i/>
              <w:sz w:val="16"/>
              <w:szCs w:val="16"/>
            </w:rPr>
          </w:pPr>
          <w:hyperlink r:id="rId1">
            <w:r w:rsidR="002125C2">
              <w:rPr>
                <w:rStyle w:val="Hyperlink"/>
                <w:i/>
                <w:sz w:val="16"/>
              </w:rPr>
              <w:t>hunor.orban@am.gov.hu</w:t>
            </w:r>
          </w:hyperlink>
        </w:p>
        <w:p w14:paraId="54AD00C6" w14:textId="77777777" w:rsidR="00F80E39" w:rsidRDefault="00F80E39" w:rsidP="00A00383">
          <w:pPr>
            <w:pStyle w:val="Footer"/>
            <w:jc w:val="center"/>
            <w:rPr>
              <w:sz w:val="16"/>
              <w:szCs w:val="16"/>
            </w:rPr>
          </w:pPr>
        </w:p>
        <w:p w14:paraId="0C03A026" w14:textId="77777777" w:rsidR="00F80E39" w:rsidRPr="008430F8" w:rsidRDefault="00F80E39" w:rsidP="00A00383">
          <w:pPr>
            <w:tabs>
              <w:tab w:val="center" w:pos="4536"/>
              <w:tab w:val="right" w:pos="9072"/>
            </w:tabs>
            <w:jc w:val="center"/>
            <w:rPr>
              <w:sz w:val="16"/>
              <w:szCs w:val="16"/>
            </w:rPr>
          </w:pPr>
          <w:r>
            <w:rPr>
              <w:i/>
              <w:sz w:val="16"/>
            </w:rPr>
            <w:t>Dr. Tamás Andréka</w:t>
          </w:r>
        </w:p>
        <w:p w14:paraId="02237AB8" w14:textId="77777777" w:rsidR="00F80E39" w:rsidRPr="008430F8" w:rsidRDefault="00F80E39" w:rsidP="00A00383">
          <w:pPr>
            <w:tabs>
              <w:tab w:val="center" w:pos="4536"/>
              <w:tab w:val="right" w:pos="9072"/>
            </w:tabs>
            <w:jc w:val="center"/>
            <w:rPr>
              <w:i/>
              <w:sz w:val="16"/>
              <w:szCs w:val="16"/>
            </w:rPr>
          </w:pPr>
          <w:r>
            <w:rPr>
              <w:i/>
              <w:sz w:val="16"/>
            </w:rPr>
            <w:t>departamenta vadītājs</w:t>
          </w:r>
        </w:p>
        <w:p w14:paraId="26279F11" w14:textId="77777777" w:rsidR="00F80E39" w:rsidRPr="008430F8" w:rsidRDefault="00F80E39" w:rsidP="00A00383">
          <w:pPr>
            <w:tabs>
              <w:tab w:val="center" w:pos="4536"/>
              <w:tab w:val="right" w:pos="9072"/>
            </w:tabs>
            <w:jc w:val="center"/>
            <w:rPr>
              <w:i/>
              <w:sz w:val="16"/>
              <w:szCs w:val="16"/>
            </w:rPr>
          </w:pPr>
          <w:r>
            <w:rPr>
              <w:i/>
              <w:sz w:val="16"/>
            </w:rPr>
            <w:t>+36 (1) 795 3801</w:t>
          </w:r>
        </w:p>
        <w:p w14:paraId="590E07D3" w14:textId="77777777" w:rsidR="00F80E39" w:rsidRPr="008430F8" w:rsidRDefault="00CB2663" w:rsidP="00A00383">
          <w:pPr>
            <w:tabs>
              <w:tab w:val="center" w:pos="4536"/>
              <w:tab w:val="right" w:pos="9072"/>
            </w:tabs>
            <w:jc w:val="center"/>
            <w:rPr>
              <w:i/>
              <w:sz w:val="16"/>
              <w:szCs w:val="16"/>
            </w:rPr>
          </w:pPr>
          <w:hyperlink r:id="rId2">
            <w:r w:rsidR="002125C2">
              <w:rPr>
                <w:rStyle w:val="Hyperlink"/>
                <w:i/>
                <w:sz w:val="16"/>
              </w:rPr>
              <w:t>tamas.andreka@am.gov.hu</w:t>
            </w:r>
          </w:hyperlink>
        </w:p>
      </w:tc>
      <w:tc>
        <w:tcPr>
          <w:tcW w:w="2137" w:type="pct"/>
          <w:hideMark/>
        </w:tcPr>
        <w:p w14:paraId="0A4F006C" w14:textId="77777777" w:rsidR="00F80E39" w:rsidRPr="008430F8" w:rsidRDefault="00F80E39" w:rsidP="00A00383">
          <w:pPr>
            <w:pStyle w:val="Footer"/>
            <w:jc w:val="center"/>
            <w:rPr>
              <w:sz w:val="16"/>
              <w:szCs w:val="16"/>
            </w:rPr>
          </w:pPr>
          <w:r>
            <w:rPr>
              <w:sz w:val="16"/>
            </w:rPr>
            <w:t>Pārskatīja:</w:t>
          </w:r>
        </w:p>
        <w:p w14:paraId="13CFEFC0" w14:textId="77777777" w:rsidR="00F80E39" w:rsidRPr="008430F8" w:rsidRDefault="00F80E39" w:rsidP="00A00383">
          <w:pPr>
            <w:pStyle w:val="Footer"/>
            <w:jc w:val="center"/>
            <w:rPr>
              <w:sz w:val="16"/>
              <w:szCs w:val="16"/>
            </w:rPr>
          </w:pPr>
          <w:r>
            <w:rPr>
              <w:i/>
              <w:sz w:val="16"/>
            </w:rPr>
            <w:t>Tibor Zoltán László</w:t>
          </w:r>
        </w:p>
        <w:p w14:paraId="2B2D5B4A" w14:textId="77777777" w:rsidR="00F80E39" w:rsidRPr="008430F8" w:rsidRDefault="00F80E39" w:rsidP="00A00383">
          <w:pPr>
            <w:pStyle w:val="Footer"/>
            <w:jc w:val="center"/>
            <w:rPr>
              <w:i/>
              <w:sz w:val="16"/>
              <w:szCs w:val="16"/>
            </w:rPr>
          </w:pPr>
          <w:r>
            <w:rPr>
              <w:i/>
              <w:sz w:val="16"/>
            </w:rPr>
            <w:t xml:space="preserve">valsts ministra vietnieks </w:t>
          </w:r>
        </w:p>
        <w:p w14:paraId="0613E4C0" w14:textId="77777777" w:rsidR="00F80E39" w:rsidRPr="008430F8" w:rsidRDefault="00F80E39" w:rsidP="00A00383">
          <w:pPr>
            <w:pStyle w:val="Footer"/>
            <w:jc w:val="center"/>
            <w:rPr>
              <w:sz w:val="16"/>
              <w:szCs w:val="16"/>
            </w:rPr>
          </w:pPr>
        </w:p>
        <w:p w14:paraId="443B5C70" w14:textId="77777777" w:rsidR="00F80E39" w:rsidRPr="008430F8" w:rsidRDefault="00F80E39" w:rsidP="00A00383">
          <w:pPr>
            <w:pStyle w:val="Footer"/>
            <w:jc w:val="center"/>
            <w:rPr>
              <w:sz w:val="16"/>
              <w:szCs w:val="16"/>
            </w:rPr>
          </w:pPr>
          <w:r>
            <w:rPr>
              <w:i/>
              <w:sz w:val="16"/>
            </w:rPr>
            <w:t>Dr. András Rácz</w:t>
          </w:r>
        </w:p>
        <w:p w14:paraId="3456017D" w14:textId="77777777" w:rsidR="00F80E39" w:rsidRPr="008430F8" w:rsidRDefault="00F80E39" w:rsidP="00A00383">
          <w:pPr>
            <w:pStyle w:val="Footer"/>
            <w:jc w:val="center"/>
            <w:rPr>
              <w:i/>
              <w:sz w:val="16"/>
              <w:szCs w:val="16"/>
            </w:rPr>
          </w:pPr>
          <w:r>
            <w:rPr>
              <w:i/>
              <w:sz w:val="16"/>
            </w:rPr>
            <w:t xml:space="preserve">valsts sekretārs </w:t>
          </w:r>
        </w:p>
        <w:p w14:paraId="6283F937" w14:textId="77777777" w:rsidR="00F80E39" w:rsidRPr="008430F8" w:rsidRDefault="00F80E39" w:rsidP="00A00383">
          <w:pPr>
            <w:pStyle w:val="Footer"/>
            <w:jc w:val="center"/>
            <w:rPr>
              <w:sz w:val="16"/>
              <w:szCs w:val="16"/>
            </w:rPr>
          </w:pPr>
        </w:p>
        <w:p w14:paraId="7BFCA6E4" w14:textId="77777777" w:rsidR="00F80E39" w:rsidRPr="008430F8" w:rsidRDefault="00F80E39" w:rsidP="00A00383">
          <w:pPr>
            <w:pStyle w:val="Footer"/>
            <w:jc w:val="center"/>
            <w:rPr>
              <w:sz w:val="16"/>
              <w:szCs w:val="16"/>
            </w:rPr>
          </w:pPr>
          <w:r>
            <w:rPr>
              <w:i/>
              <w:sz w:val="16"/>
            </w:rPr>
            <w:t>Dr. István Tomasitz</w:t>
          </w:r>
        </w:p>
        <w:p w14:paraId="269B78F5" w14:textId="77777777" w:rsidR="00F80E39" w:rsidRPr="008430F8" w:rsidRDefault="00F80E39" w:rsidP="00A00383">
          <w:pPr>
            <w:pStyle w:val="Footer"/>
            <w:jc w:val="center"/>
            <w:rPr>
              <w:i/>
              <w:sz w:val="16"/>
              <w:szCs w:val="16"/>
              <w:highlight w:val="yellow"/>
            </w:rPr>
          </w:pPr>
          <w:r>
            <w:rPr>
              <w:i/>
              <w:sz w:val="16"/>
            </w:rPr>
            <w:t>valsts sekretārs</w:t>
          </w:r>
        </w:p>
      </w:tc>
      <w:tc>
        <w:tcPr>
          <w:tcW w:w="1355" w:type="pct"/>
          <w:hideMark/>
        </w:tcPr>
        <w:p w14:paraId="357C19DC" w14:textId="77777777" w:rsidR="00F80E39" w:rsidRPr="001F2F45" w:rsidRDefault="00F80E39" w:rsidP="00A00383">
          <w:pPr>
            <w:pStyle w:val="Footer"/>
            <w:jc w:val="center"/>
            <w:rPr>
              <w:sz w:val="16"/>
              <w:szCs w:val="16"/>
            </w:rPr>
          </w:pPr>
          <w:r>
            <w:rPr>
              <w:sz w:val="16"/>
            </w:rPr>
            <w:t>Apstiprināja:</w:t>
          </w:r>
        </w:p>
        <w:p w14:paraId="74F8D201" w14:textId="77777777" w:rsidR="00F80E39" w:rsidRDefault="00F80E39" w:rsidP="00A00383">
          <w:pPr>
            <w:pStyle w:val="Footer"/>
            <w:jc w:val="center"/>
            <w:rPr>
              <w:sz w:val="16"/>
              <w:szCs w:val="16"/>
              <w:highlight w:val="yellow"/>
            </w:rPr>
          </w:pPr>
        </w:p>
        <w:p w14:paraId="089D5C57" w14:textId="77777777" w:rsidR="00F80E39" w:rsidRDefault="00F80E39" w:rsidP="00A00383">
          <w:pPr>
            <w:pStyle w:val="Footer"/>
            <w:jc w:val="center"/>
            <w:rPr>
              <w:sz w:val="16"/>
              <w:szCs w:val="16"/>
              <w:highlight w:val="yellow"/>
            </w:rPr>
          </w:pPr>
        </w:p>
        <w:p w14:paraId="17EC1F58" w14:textId="77777777" w:rsidR="00F80E39" w:rsidRDefault="00F80E39" w:rsidP="00A00383">
          <w:pPr>
            <w:pStyle w:val="Footer"/>
            <w:jc w:val="center"/>
            <w:rPr>
              <w:sz w:val="16"/>
              <w:szCs w:val="16"/>
              <w:highlight w:val="yellow"/>
            </w:rPr>
          </w:pPr>
        </w:p>
        <w:p w14:paraId="587B2D1D" w14:textId="77777777" w:rsidR="00F80E39" w:rsidRPr="008430F8" w:rsidRDefault="00F80E39" w:rsidP="00A00383">
          <w:pPr>
            <w:pStyle w:val="Footer"/>
            <w:jc w:val="center"/>
            <w:rPr>
              <w:sz w:val="16"/>
              <w:szCs w:val="16"/>
            </w:rPr>
          </w:pPr>
          <w:r>
            <w:rPr>
              <w:i/>
              <w:sz w:val="16"/>
            </w:rPr>
            <w:t>Dr. István Nagy</w:t>
          </w:r>
        </w:p>
        <w:p w14:paraId="087E8994" w14:textId="77777777" w:rsidR="00F80E39" w:rsidRPr="008430F8" w:rsidRDefault="00F80E39" w:rsidP="004A4164">
          <w:pPr>
            <w:pStyle w:val="Footer"/>
            <w:jc w:val="center"/>
            <w:rPr>
              <w:sz w:val="16"/>
              <w:szCs w:val="16"/>
              <w:highlight w:val="yellow"/>
            </w:rPr>
          </w:pPr>
          <w:r>
            <w:rPr>
              <w:i/>
              <w:sz w:val="16"/>
            </w:rPr>
            <w:t>ministrs</w:t>
          </w:r>
        </w:p>
      </w:tc>
    </w:tr>
  </w:tbl>
  <w:p w14:paraId="741BEDDF" w14:textId="77777777" w:rsidR="00F80E39" w:rsidRPr="00BE1C91" w:rsidRDefault="00F80E39" w:rsidP="00BE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5B152" w14:textId="77777777" w:rsidR="003D5343" w:rsidRDefault="003D5343">
      <w:r>
        <w:separator/>
      </w:r>
    </w:p>
  </w:footnote>
  <w:footnote w:type="continuationSeparator" w:id="0">
    <w:p w14:paraId="5BF8CEF3" w14:textId="77777777" w:rsidR="003D5343" w:rsidRDefault="003D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1031" w14:textId="77777777" w:rsidR="00F80E39" w:rsidRDefault="00F80E39">
    <w:pPr>
      <w:pStyle w:val="Header"/>
      <w:jc w:val="center"/>
    </w:pPr>
    <w:r>
      <w:fldChar w:fldCharType="begin"/>
    </w:r>
    <w:r>
      <w:instrText>PAGE   \* MERGEFORMAT</w:instrText>
    </w:r>
    <w:r>
      <w:fldChar w:fldCharType="separate"/>
    </w:r>
    <w:r w:rsidR="00CB2663">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15:restartNumberingAfterBreak="0">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15:restartNumberingAfterBreak="0">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15:restartNumberingAfterBreak="0">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15:restartNumberingAfterBreak="0">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343"/>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247"/>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663"/>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F03AF4"/>
  <w15:docId w15:val="{CAC12FBB-53F7-4C63-84A9-209E1B68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
    <w:name w:val="Absatz-Standardschriftart"/>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lv-LV" w:eastAsia="lv-LV" w:bidi="lv-LV"/>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1">
    <w:name w:val="Élőláb Char1"/>
    <w:uiPriority w:val="99"/>
    <w:rsid w:val="00EB07AE"/>
    <w:rPr>
      <w:sz w:val="24"/>
      <w:szCs w:val="24"/>
      <w:lang w:val="lv-LV" w:eastAsia="lv-LV"/>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007615"/>
    <w:rPr>
      <w:rFonts w:ascii="Calibri" w:eastAsia="Calibri" w:hAnsi="Calibri"/>
      <w:lang w:eastAsia="lv-LV"/>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w:type="paragraph" w:styleId="NoSpacing">
    <w:name w:val="No Spacing"/>
    <w:link w:val="NoSpacingChar"/>
    <w:uiPriority w:val="1"/>
    <w:qFormat/>
    <w:rsid w:val="00007615"/>
    <w:rPr>
      <w:rFonts w:ascii="Calibri" w:eastAsia="Calibri" w:hAnsi="Calibri"/>
      <w:sz w:val="22"/>
      <w:szCs w:val="22"/>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am.gov.hu" TargetMode="External"/><Relationship Id="rId1" Type="http://schemas.openxmlformats.org/officeDocument/2006/relationships/hyperlink" Target="mailto:hunor.orban@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FE99-DBDC-488E-A834-FDDB09108CD1}">
  <ds:schemaRefs>
    <ds:schemaRef ds:uri="http://schemas.openxmlformats.org/officeDocument/2006/bibliography"/>
  </ds:schemaRefs>
</ds:datastoreItem>
</file>

<file path=customXml/itemProps2.xml><?xml version="1.0" encoding="utf-8"?>
<ds:datastoreItem xmlns:ds="http://schemas.openxmlformats.org/officeDocument/2006/customXml" ds:itemID="{30832CE2-A5DD-4919-A201-A39ECAD2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1924</Words>
  <Characters>10967</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VERNERA, Malvine</cp:lastModifiedBy>
  <cp:revision>7</cp:revision>
  <cp:lastPrinted>2019-06-12T12:18:00Z</cp:lastPrinted>
  <dcterms:created xsi:type="dcterms:W3CDTF">2019-06-25T07:45:00Z</dcterms:created>
  <dcterms:modified xsi:type="dcterms:W3CDTF">2019-07-03T10:38:00Z</dcterms:modified>
</cp:coreProperties>
</file>