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6FE" w:rsidRPr="00F91869" w:rsidRDefault="00EA16FE" w:rsidP="009333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1. ---</w:t>
      </w:r>
      <w:r w:rsidR="003C1DCA">
        <w:rPr>
          <w:rFonts w:ascii="Courier New" w:hAnsi="Courier New" w:cs="Courier New"/>
          <w:sz w:val="20"/>
          <w:szCs w:val="20"/>
        </w:rPr>
        <w:t>-</w:t>
      </w:r>
      <w:bookmarkStart w:id="0" w:name="_GoBack"/>
      <w:bookmarkEnd w:id="0"/>
      <w:r>
        <w:rPr>
          <w:rFonts w:ascii="Courier New" w:hAnsi="Courier New" w:cs="Courier New"/>
          <w:sz w:val="20"/>
          <w:szCs w:val="20"/>
        </w:rPr>
        <w:t xml:space="preserve">--IND- 2019 0309 HU- LT- ------ </w:t>
      </w:r>
      <w:r>
        <w:rPr>
          <w:rFonts w:ascii="Segoe UI" w:hAnsi="Segoe UI" w:cs="Segoe UI"/>
          <w:color w:val="000000"/>
          <w:sz w:val="20"/>
          <w:szCs w:val="20"/>
        </w:rPr>
        <w:t>20201130</w:t>
      </w:r>
      <w:r>
        <w:rPr>
          <w:sz w:val="20"/>
          <w:szCs w:val="20"/>
        </w:rPr>
        <w:t xml:space="preserve"> </w:t>
      </w:r>
      <w:r>
        <w:rPr>
          <w:rFonts w:ascii="Courier New" w:hAnsi="Courier New" w:cs="Courier New"/>
          <w:sz w:val="20"/>
          <w:szCs w:val="20"/>
        </w:rPr>
        <w:t>--- --- FINAL</w:t>
      </w:r>
    </w:p>
    <w:p w:rsidR="00EA16FE" w:rsidRPr="00F91869" w:rsidRDefault="00EA16FE"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cs="Times New Roman"/>
          <w:b/>
          <w:bCs/>
          <w:sz w:val="28"/>
          <w:szCs w:val="28"/>
        </w:rPr>
        <w:t>2019 m. spalio 28 d. Žemės ūkio ministro dekretas Nr. 51/2019,</w:t>
      </w:r>
    </w:p>
    <w:p w:rsidR="00EA16FE" w:rsidRPr="00F91869" w:rsidRDefault="00EA16FE"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cs="Times New Roman"/>
          <w:b/>
          <w:bCs/>
          <w:sz w:val="28"/>
          <w:szCs w:val="28"/>
        </w:rPr>
        <w:t>kuriuo iš dalies keičiamas 2017 m. spalio 18 d. Žemės ūkio ministro dekretas Nr. 53/2017 dėl kurą deginančių įrenginių, kurių bendra nurodytoji šiluminė imamoji galia yra 140 kWth arba didesnė, bet mažesnė nei 50 MWth, eksploatavimo sąlygų ir jų išmetamų oro teršalų ribinių verčių</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 xml:space="preserve">Remdamasis įgaliojimu, suteiktu pagal 1995 m. Įstatymo Nr. 53 dėl bendrųjų aplinkos apsaugos taisyklių 110 straipsnio 8 dalies </w:t>
      </w:r>
      <w:r>
        <w:rPr>
          <w:rFonts w:ascii="Times New Roman" w:hAnsi="Times New Roman" w:cs="Times New Roman"/>
          <w:i/>
          <w:iCs/>
          <w:sz w:val="24"/>
          <w:szCs w:val="24"/>
        </w:rPr>
        <w:t>g</w:t>
      </w:r>
      <w:r>
        <w:rPr>
          <w:rFonts w:ascii="Times New Roman" w:hAnsi="Times New Roman" w:cs="Times New Roman"/>
          <w:sz w:val="24"/>
          <w:szCs w:val="24"/>
        </w:rPr>
        <w:t xml:space="preserve"> punktą, veikdamas pagal savo kompetenciją, kaip apibrėžta 2018 m. gegužės 22 d. Vyriausybės dekreto Nr. 94/2018 dėl Vyriausybės narių pareigų ir įgaliojimų 79 straipsnio 9 dalyje, nutariu tai, kas nurodyta toliau.</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b/>
          <w:bCs/>
          <w:sz w:val="24"/>
          <w:szCs w:val="24"/>
        </w:rPr>
        <w:t>1 straipsnis.</w:t>
      </w:r>
      <w:r>
        <w:rPr>
          <w:rFonts w:ascii="Times New Roman" w:hAnsi="Times New Roman" w:cs="Times New Roman"/>
          <w:sz w:val="24"/>
          <w:szCs w:val="24"/>
        </w:rPr>
        <w:t xml:space="preserve"> 1. 2017 m. spalio 18 d. Žemės ūkio ministro dekreto Nr. 53/2017 dėl kurą deginančių įrenginių, kurių bendra nurodytoji šiluminė imamoji galia yra 140 kWth arba didesnė, bet mažesnė nei 50 MWth, eksploatavimo sąlygų ir jų išmetamų oro teršalų (toliau – dekretas) ribinių verčių 2 straipsnio 1 dalyje įterpiamas šis 1a punktas: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(Šiame dekrete)</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 xml:space="preserve">„1a) </w:t>
      </w:r>
      <w:r>
        <w:rPr>
          <w:rFonts w:ascii="Times New Roman" w:hAnsi="Times New Roman" w:cs="Times New Roman"/>
          <w:i/>
          <w:iCs/>
          <w:sz w:val="24"/>
          <w:szCs w:val="24"/>
        </w:rPr>
        <w:t>dujų perdavimo sistema</w:t>
      </w:r>
      <w:r>
        <w:rPr>
          <w:rFonts w:ascii="Times New Roman" w:hAnsi="Times New Roman" w:cs="Times New Roman"/>
          <w:sz w:val="24"/>
          <w:szCs w:val="24"/>
        </w:rPr>
        <w:t xml:space="preserve"> – sąveikaujanti gamtinių dujų sistema pagal 2008 m. Įstatymą Nr. 40 dėl gamtinių dujų tiekimo;“.</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 Dekreto 2 straipsnio 1 dalies 9 punktas pakeičiamas taip:</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i/>
          <w:iCs/>
          <w:sz w:val="24"/>
          <w:szCs w:val="24"/>
        </w:rPr>
        <w:t>bendra nurodytoji šiluminė imamoji galia</w:t>
      </w:r>
      <w:r>
        <w:rPr>
          <w:rFonts w:ascii="Times New Roman" w:hAnsi="Times New Roman" w:cs="Times New Roman"/>
          <w:sz w:val="24"/>
          <w:szCs w:val="24"/>
        </w:rPr>
        <w:t xml:space="preserve"> – kurą deginančių įrenginių nurodytųjų šiluminių imamųjų galių suma, apskaičiuota pagal sumavimo taisyklę ir kurą deginančio įrenginio atveju yra lygi jo nurodytajai imamajai šiluminei galiai;“.</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b/>
          <w:bCs/>
          <w:sz w:val="24"/>
          <w:szCs w:val="24"/>
        </w:rPr>
        <w:t>2 straipsnis.</w:t>
      </w:r>
      <w:r>
        <w:rPr>
          <w:rFonts w:ascii="Times New Roman" w:hAnsi="Times New Roman" w:cs="Times New Roman"/>
          <w:sz w:val="24"/>
          <w:szCs w:val="24"/>
        </w:rPr>
        <w:t xml:space="preserve"> 1. Dekreto 4 straipsnio 6 ir 7 dalys įsigalioja ir yra išdėstomo</w:t>
      </w:r>
      <w:r w:rsidRPr="00F92DAB">
        <w:rPr>
          <w:rFonts w:ascii="Times New Roman" w:hAnsi="Times New Roman" w:cs="Times New Roman"/>
          <w:sz w:val="24"/>
          <w:szCs w:val="24"/>
        </w:rPr>
        <w:t>s taip</w:t>
      </w:r>
      <w:r>
        <w:rPr>
          <w:rFonts w:ascii="Times New Roman" w:hAnsi="Times New Roman" w:cs="Times New Roman"/>
          <w:sz w:val="24"/>
          <w:szCs w:val="24"/>
        </w:rPr>
        <w:t>:</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„6. 1 priede nurodytos išmetamųjų teršalų ribinės vertės taikomos I kategorijos kurą deginantiems įrenginiams, kurių bendra nurodytoji šiluminė imamoji galia yra daugiau kaip arba lygi 1 MWth ir kurie veikia ne daugiau kaip 500 veikimo valandų per metus, taikant slenkantį penkerių metų vidurkį, išskyrus tai, kad kietąjį biomasės kurą deginančių įrenginių kietosios medžiagos išmetamųjų teršalų ribinė vertė yra 200 mg/Nm3, o anglies monoksido išmetamųjų teršalų ribinė vertė yra 375 mg/Nm3.</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7. Iki 2030 m. sausio 1 d. ribinės vertės, nurodytos 1 priede, taikomos I kategorijos kurą deginantiems įrenginiams, kurių bendra nurodytoji šiluminė imamoji galia yra daugiau kaip 5 MWth, jei tokių įrenginių 50 % naudingosios šilumos gamybos, taikant slenkantį penkerių metų vidurkį, pateikiama centralizuoto šilumos tiekimo viešajam tinklui garų arba šilto ar karšto vandens pavidalu, išskyrus tai, kad kietąjį ir skystąjį kurą deginančių įrenginių sieros dioksido išmetamųjų teršalų ribinė vertė yra 1 100 mg/Nm3, kietąjį kurą deginančių įrenginių išmetamųjų teršalų ribinė vertė yra 150 mg/Nm3, o anglies monoksido išmetamųjų teršalų ribinė vertė kietąjį biomasės kurą deginančių įrenginių atveju yra 375 mg/Nm3.“</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 xml:space="preserve">2. Dekreto 4 straipsnio 9 dalis </w:t>
      </w:r>
      <w:r w:rsidRPr="00F92DAB">
        <w:rPr>
          <w:rFonts w:ascii="Times New Roman" w:hAnsi="Times New Roman" w:cs="Times New Roman"/>
          <w:sz w:val="24"/>
          <w:szCs w:val="24"/>
        </w:rPr>
        <w:t>įsigalioja ir yra išdėstoma taip</w:t>
      </w:r>
      <w:r>
        <w:rPr>
          <w:rFonts w:ascii="Times New Roman" w:hAnsi="Times New Roman" w:cs="Times New Roman"/>
          <w:sz w:val="24"/>
          <w:szCs w:val="24"/>
        </w:rPr>
        <w:t>:</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„9. Iki 2030 m. sausio 1 d. 1 priede nurodytos išmetamųjų teršalų ribinės vertės taikomos 1 kategorijos variklių azoto oksidams ir dujų turbinoms, kurių bendra nurodytoji šiluminė imamoji galia yra didesnė kaip 5 MWth ir kurios naudojamos paleisti dujų kompresorių stotis, užtikrinančias dujų perdavimo sistemų saugą ir saugumą, išskyrus dujų variklių, pradėtų eksploatuoti iki 1994 m. sausio 1 d., atvejus, kai azoto oksidų išmetamųjų teršalų ribinė vertė yra 565 mg/Nm3.“</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lastRenderedPageBreak/>
        <w:t>3. Dekreto 4 straipsnio 10 dalis pakeičiama taip:</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„10. 1 priede nurodytos išmetamųjų teršalų ribinės vertės taikomos II kategorijos kurą deginantiems įrenginiams, kurie per trejus metus neviršija 500 darbo valandų per metus, taikant slenkantį trejų metų vidurkį, išskyrus tuos atvejus, kai kietojo kuro deginimo įrenginiams skirtų kietųjų medžiagų išmetamųjų teršalų ribinė vertė yra 100 mg/Nm3, o anglies monoksido išmetamųjų teršalų ribinė vertė kurą deginančių įrenginių, kurių bendra nurodytoji šiluminė imamoji galia yra didesnė kaip 1 MWth ir kurie degina kietą biomasės kurą, atveju yra 375 mg/Nm3.“</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4. Dekreto 4 straipsnio 13 dalis pakeičiama taip:</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„13. Stacionarių variklių atveju išmetamųjų teršalų ribinės vertės netaikomos: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a)</w:t>
      </w:r>
      <w:r>
        <w:rPr>
          <w:rFonts w:ascii="Times New Roman" w:hAnsi="Times New Roman" w:cs="Times New Roman"/>
          <w:sz w:val="24"/>
          <w:szCs w:val="24"/>
        </w:rPr>
        <w:t xml:space="preserve"> varikliams, kurių bendra nurodytoji šiluminė imamoji galia yra mažesnė kaip 1 MWth ir kurių degalų sąnaudos yra mažesnės nei 50 kg/h, ir</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4"/>
          <w:szCs w:val="24"/>
        </w:rPr>
        <w:t xml:space="preserve"> stacionariems varikliams, kuriuose yra avarinis maitinimas ir kurie veikia mažiau kaip 50 valandų per metus.“</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b/>
          <w:bCs/>
          <w:sz w:val="24"/>
          <w:szCs w:val="24"/>
        </w:rPr>
        <w:t>3 straipsnis.</w:t>
      </w:r>
      <w:r>
        <w:rPr>
          <w:rFonts w:ascii="Times New Roman" w:hAnsi="Times New Roman" w:cs="Times New Roman"/>
          <w:sz w:val="24"/>
          <w:szCs w:val="24"/>
        </w:rPr>
        <w:t xml:space="preserve"> Dekreto 12 straipsnio 2 ir 3 dalys pakeičiamos taip:</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 Iki 2029 m. gruodžio 31 d. išmetamųjų teršalų ribinės vertės, nurodytos 1 priede, taikomos I kategorijos kurą deginantiems įrenginiams, kurių bendra nurodytoji šiluminė imamoji galia yra daugiau kaip arba lygi 1 MWth, bet mažiau kaip 5 MWth su šiomis išimtimis: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a)</w:t>
      </w:r>
      <w:r>
        <w:rPr>
          <w:rFonts w:ascii="Times New Roman" w:hAnsi="Times New Roman" w:cs="Times New Roman"/>
          <w:sz w:val="24"/>
          <w:szCs w:val="24"/>
        </w:rPr>
        <w:t xml:space="preserve"> kieto biomasės kuro deginimo atveju išmetamoji anglies monoksido ribinė vertė yra 375 mg/Nm3;</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4"/>
          <w:szCs w:val="24"/>
        </w:rPr>
        <w:t xml:space="preserve"> jei dujų varikliai pradėti eksploatuoti iki 1994 m. sausio 1 d. ir jų bendra nurodytoji šiluminė imamoji galia yra didesnė kaip 3 MWth, azoto oksidų išmetamųjų teršalų ribinė vertė yra 565 mg/Nm3, keturtakčių variklių CO išmetimo ribinė vertė yra 375 mg/Nm3, dvitakčių variklių – 320 mg/Nm3, o bendrų organinių junginių, išreikštų C (anglis), išskyrus metaną, išmetamųjų teršalų ribinė vertė yra 115 mg/Nm3.</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 Iki 2024 m. gruodžio 31 d. išmetamųjų teršalų ribinės vertės, nurodytos 1 priede, taikomos I kategorijos kurą deginantiems įrenginiams, kurių bendra nurodytoji šiluminė imamoji galia yra daugiau kaip 5 MWth esant šioms išimtims: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a)</w:t>
      </w:r>
      <w:r>
        <w:rPr>
          <w:rFonts w:ascii="Times New Roman" w:hAnsi="Times New Roman" w:cs="Times New Roman"/>
          <w:sz w:val="24"/>
          <w:szCs w:val="24"/>
        </w:rPr>
        <w:t xml:space="preserve"> kieto biomasės kuro deginimo atveju išmetamoji anglies monoksido ribinė vertė yra 375 mg/Nm3;</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4"/>
          <w:szCs w:val="24"/>
        </w:rPr>
        <w:t xml:space="preserve"> jei dujų varikliai pradėti eksploatuoti iki 1994 m. sausio 1 d., azoto oksidų išmetamųjų teršalų ribinė vertė yra 565 mg/Nm3, anglies monoksido išmetamųjų teršalų ribinė vertė keturtakčiams varikliams yra 375 mg/Nm3, dvitakčiams varikliams – 320 mg/Nm3, o bendrų organinių junginių, išreikštų C (anglis), išskyrus metaną, išmetamųjų teršalų ribinė vertė yra 115 mg/Nm3.“</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b/>
          <w:bCs/>
          <w:sz w:val="24"/>
          <w:szCs w:val="24"/>
        </w:rPr>
        <w:t>4 straipsnis.</w:t>
      </w:r>
      <w:r>
        <w:rPr>
          <w:rFonts w:ascii="Times New Roman" w:hAnsi="Times New Roman" w:cs="Times New Roman"/>
          <w:sz w:val="24"/>
          <w:szCs w:val="24"/>
        </w:rPr>
        <w:t xml:space="preserve"> 1. Dekreto 1 priedas iš dalies keičiamas pagal 1 priedą.</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 Dekreto 2 priedas įsigalioja pagal 2 priedą.</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 Dekreto 3 priedas įsigalioja pagal 3 priedą.</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4. Dekreto 4 priedas iš dalies keičiamas pagal 4 priedą.</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5. Dekreto 5 priedas iš dalies keičiamas pagal 5 priedą.</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b/>
          <w:bCs/>
          <w:sz w:val="24"/>
          <w:szCs w:val="24"/>
        </w:rPr>
        <w:t>5 straipsnis.</w:t>
      </w:r>
      <w:r>
        <w:rPr>
          <w:rFonts w:ascii="Times New Roman" w:hAnsi="Times New Roman" w:cs="Times New Roman"/>
          <w:sz w:val="24"/>
          <w:szCs w:val="24"/>
        </w:rPr>
        <w:t xml:space="preserve"> Dekreto 4 priedo 3 punkto 3.4 papunktis panaikinamas.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b/>
          <w:bCs/>
          <w:sz w:val="24"/>
          <w:szCs w:val="24"/>
        </w:rPr>
        <w:t>6 straipsnis.</w:t>
      </w:r>
      <w:r>
        <w:rPr>
          <w:rFonts w:ascii="Times New Roman" w:hAnsi="Times New Roman" w:cs="Times New Roman"/>
          <w:sz w:val="24"/>
          <w:szCs w:val="24"/>
        </w:rPr>
        <w:t xml:space="preserve"> 1. Šis dekretas, išskyrus 2 ir 3 dalyse nustatytas išimtis, įsigalioja penkioliktą dieną po jo paskelbimo.</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 2 straipsnio 1 ir 2 dalys, 4 straipsnio 3 dalis ir 3 priedas įsigalioja 2025 m. sausio 1 d.</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 4 straipsnio 2 dalis ir 2 priedas įsigalioja 2030 m. sausio 1 d.</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b/>
          <w:bCs/>
          <w:sz w:val="24"/>
          <w:szCs w:val="24"/>
        </w:rPr>
        <w:lastRenderedPageBreak/>
        <w:t>7 straipsnis.</w:t>
      </w:r>
      <w:r>
        <w:rPr>
          <w:rFonts w:ascii="Times New Roman" w:hAnsi="Times New Roman" w:cs="Times New Roman"/>
          <w:sz w:val="24"/>
          <w:szCs w:val="24"/>
        </w:rPr>
        <w:t xml:space="preserve"> 1. Šiuo dekretu užtikrinama atitiktis 2015 m. lapkričio 25 d. Europos Parlamento ir Tarybos direktyvai (ES) Nr. 2015/2193 dėl tam tikrų teršalų, išmetamų į orą iš vidutinio dydžio kurą deginančių įrenginių, kiekio apribojimo.</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 Reikalavimas iš anksto pranešti apie šį dekretą, kaip numatyta 2015 m. rugsėjo 9 d. Europos Parlamento ir Tarybos direktyvos (ES) 2015/1535, kuria nustatoma informacijos apie techninius reglamentus ir informacinės visuomenės paslaugų taisykles teikimo tvarka, 5–7 straipsniuose, yra įvykdytas.</w:t>
      </w:r>
    </w:p>
    <w:p w:rsidR="00EA16FE" w:rsidRPr="00F91869" w:rsidRDefault="00EA16FE"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cs="Times New Roman"/>
          <w:i/>
          <w:iCs/>
          <w:sz w:val="28"/>
          <w:szCs w:val="28"/>
          <w:u w:val="single"/>
        </w:rPr>
        <w:t>2019 m. spalio 28 d. Žemės ūkio ministro dekreto Nr. 51/2019 1 priedas</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1. Dekreto 1 priedo 2 punkto 2.3 papunktis pakeičiamas taip:</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„2.3. NOx išmetamųjų teršalų ribinė vertė yra 320 mg/m3 rusvųjų anglių deginimui, 300 mg/m3 skysčių deginimo katilams, deginantiems kietą biomasės kurą, ir 210 mg/m3 skysčių deginimo katilams, deginantiems kitą kietąjį kurą.“</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 Dekreto 1 priedo 3 punkto 3.1 papunktis pakeičiamas taip:</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„3.1. NOx išmetamųjų teršalų ribinė vertė yra 300 mg/m3 dvitakčiams varikliams, 225 mg/m3 keturtakčiams dujiniams varikliams, deginantiems biodujas ir sąvartynų dujas, 1 650 mg/m3 dyzeliniams varikliams, naudojamiems tik žvalgymo gręžiniuose ir 1 500 mg/m3 kitiems dyzeliniams varikliams.“</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 Į dekreto 1 priedo 3 punktą įterpiamas šis 3.4 papunktis: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„3.4. Dujinių variklių, naudojančių gamtines dujas, kurių etano kiekis yra didesnis kaip 5 %, bendrosios organinės anglies išmetamųjų teršalų ribinė vertė yra 95 mg/m3.“</w:t>
      </w:r>
    </w:p>
    <w:p w:rsidR="00EA16FE" w:rsidRPr="00F91869" w:rsidRDefault="00EA16FE"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cs="Times New Roman"/>
          <w:i/>
          <w:iCs/>
          <w:sz w:val="28"/>
          <w:szCs w:val="28"/>
          <w:u w:val="single"/>
        </w:rPr>
        <w:t>2019 m. spalio 28 d. Žemės ūkio ministro dekreto Nr. 51/2019 2 priedas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1. Dekreto 2 priedo 2 punkto lentelės B:5 langelyje skaičius „1 500“ pakeičiamas skaičiumi „375“.</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 xml:space="preserve">2. Dekreto 2 priedo 2 punkto 2.5 papunktis </w:t>
      </w:r>
      <w:r w:rsidRPr="00F92DAB">
        <w:rPr>
          <w:rFonts w:ascii="Times New Roman" w:hAnsi="Times New Roman" w:cs="Times New Roman"/>
          <w:sz w:val="24"/>
          <w:szCs w:val="24"/>
        </w:rPr>
        <w:t>įsigalioja ir yra išdėstomas taip</w:t>
      </w:r>
      <w:r>
        <w:rPr>
          <w:rFonts w:ascii="Times New Roman" w:hAnsi="Times New Roman" w:cs="Times New Roman"/>
          <w:sz w:val="24"/>
          <w:szCs w:val="24"/>
        </w:rPr>
        <w:t>:</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„2.5. NOx išmetamųjų teršalų ribinė vertė yra 320 mg/Nm3 rusvųjų anglių deginimui, 300 mg/Nm3 skysčių deginimo katilams, deginantiems kietą biomasės kurą, ir 210 mg/Nm3 skysčių deginimo katilams, deginantiems kitą kietąjį kurą.“</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 xml:space="preserve">3. Dekreto 2 priedo 3 punkto 3.3 papunktis </w:t>
      </w:r>
      <w:r w:rsidRPr="00F92DAB">
        <w:rPr>
          <w:rFonts w:ascii="Times New Roman" w:hAnsi="Times New Roman" w:cs="Times New Roman"/>
          <w:sz w:val="24"/>
          <w:szCs w:val="24"/>
        </w:rPr>
        <w:t>įsigalioja ir yra išdėstomas taip</w:t>
      </w:r>
      <w:r>
        <w:rPr>
          <w:rFonts w:ascii="Times New Roman" w:hAnsi="Times New Roman" w:cs="Times New Roman"/>
          <w:sz w:val="24"/>
          <w:szCs w:val="24"/>
        </w:rPr>
        <w:t>:</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„3.3. Toliau nurodytais atvejais NOx išmetamųjų teršalų ribinė vertė yra 1 500 mg/Nm3:</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a)</w:t>
      </w:r>
      <w:r>
        <w:rPr>
          <w:rFonts w:ascii="Times New Roman" w:hAnsi="Times New Roman" w:cs="Times New Roman"/>
          <w:sz w:val="24"/>
          <w:szCs w:val="24"/>
        </w:rPr>
        <w:t xml:space="preserve"> dyzelinių variklių, kurių statyba pradėta iki 2006 m. gegužės 18 d. atveju;</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4"/>
          <w:szCs w:val="24"/>
        </w:rPr>
        <w:t xml:space="preserve"> dvejopo kuro variklių, veikiančių skystojo kuro režimu, atveju.“</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4. Dekreto 2 priedo 3 punkte įterpiamas šis 3.8 papunktis: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„3.8. Dujinių variklių, naudojančių gamtines dujas, kurių etano kiekis yra didesnis kaip 5 %, bendrosios organinės anglies išmetamųjų teršalų ribinė vertė yra 95 mg/m3.“</w:t>
      </w:r>
    </w:p>
    <w:p w:rsidR="00EA16FE" w:rsidRPr="00F91869" w:rsidRDefault="00EA16FE"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cs="Times New Roman"/>
          <w:i/>
          <w:iCs/>
          <w:sz w:val="28"/>
          <w:szCs w:val="28"/>
          <w:u w:val="single"/>
        </w:rPr>
        <w:t>2019 m. spalio 28 d. Žemės ūkio ministro dekreto Nr. 51/2019 3 priedas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1. Dekreto 3 priedo 2 punkto lentelės B:5 langelyje skaičius „1 500“ pakeičiamas skaičiumi „375“.</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 xml:space="preserve">2. Dekreto 3 priedo 2 punkto 2.6 papunktis </w:t>
      </w:r>
      <w:r w:rsidRPr="00F92DAB">
        <w:rPr>
          <w:rFonts w:ascii="Times New Roman" w:hAnsi="Times New Roman" w:cs="Times New Roman"/>
          <w:sz w:val="24"/>
          <w:szCs w:val="24"/>
        </w:rPr>
        <w:t>įsigalioja ir yra išdėstomas taip</w:t>
      </w:r>
      <w:r>
        <w:rPr>
          <w:rFonts w:ascii="Times New Roman" w:hAnsi="Times New Roman" w:cs="Times New Roman"/>
          <w:sz w:val="24"/>
          <w:szCs w:val="24"/>
        </w:rPr>
        <w:t>:</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„2.6. NOx išmetamųjų teršalų ribinė vertė yra 320 mg/m3 rusvųjų anglių deginimui, 300 mg/m3 skysčių deginimo katilams, deginantiems kietą biomasės kurą, ir 210 mg/m3 skysčių deginimo katilams, deginantiems kitą kietąjį kurą.“</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lastRenderedPageBreak/>
        <w:t xml:space="preserve">3. Dekreto 3 priedo 3 punkto 3.2 papunktis </w:t>
      </w:r>
      <w:r w:rsidRPr="00F92DAB">
        <w:rPr>
          <w:rFonts w:ascii="Times New Roman" w:hAnsi="Times New Roman" w:cs="Times New Roman"/>
          <w:sz w:val="24"/>
          <w:szCs w:val="24"/>
        </w:rPr>
        <w:t>įsigalioja ir yra išdėstomas taip</w:t>
      </w:r>
      <w:r>
        <w:rPr>
          <w:rFonts w:ascii="Times New Roman" w:hAnsi="Times New Roman" w:cs="Times New Roman"/>
          <w:sz w:val="24"/>
          <w:szCs w:val="24"/>
        </w:rPr>
        <w:t>:</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„3.2. Toliau nurodytais atvejais NOx išmetamųjų teršalų ribinė vertė yra 1 500 mg/Nm3:</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a)</w:t>
      </w:r>
      <w:r>
        <w:rPr>
          <w:rFonts w:ascii="Times New Roman" w:hAnsi="Times New Roman" w:cs="Times New Roman"/>
          <w:sz w:val="24"/>
          <w:szCs w:val="24"/>
        </w:rPr>
        <w:t xml:space="preserve"> dyzelinių variklių, kurių statyba pradėta iki 2006 m. gegužės 18 d. atveju;</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4"/>
          <w:szCs w:val="24"/>
        </w:rPr>
        <w:t xml:space="preserve"> dvejopo kuro variklių, veikiančių skystojo kuro režimu, atveju.“</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4. Dekreto 3 priedo 3 punktas įsigalioja su toliau nurodytais 3.9 ir 3.10 papunkčiais: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„3.9. Dujinių variklių, naudojančių gamtines dujas, kurių etano kiekis yra didesnis kaip 5 %, bendrosios organinės anglies išmetamųjų teršalų ribinė vertė yra 95 mg/m3.</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3.10. Jei dujų varikliai pradėti eksploatuoti iki 1994 m. sausio 1 d. ir jie naudojami paleisti dujų kompresorių stotis, užtikrinančias dujų perdavimo sistemos saugą ir saugumą, CO išmetimo ribinė vertė keturtakčiams varikliams yra 375 mg/m3, dvitakčiams varikliams – 320 mg/m3, o bendrosios organinės anglies išmetamųjų teršalų ribinė vertė yra 115 mg/m3 iki 2030 m. sausio 1 d.“</w:t>
      </w:r>
    </w:p>
    <w:p w:rsidR="00EA16FE" w:rsidRPr="00F91869" w:rsidRDefault="00EA16FE"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cs="Times New Roman"/>
          <w:i/>
          <w:iCs/>
          <w:sz w:val="28"/>
          <w:szCs w:val="28"/>
          <w:u w:val="single"/>
        </w:rPr>
        <w:t>2019 m. spalio 28 d. Žemės ūkio ministro dekreto Nr. 51/2019 4 priedas</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1. Dekreto 4 priedo 2 punkto 2.5 papunktis pakeičiamas taip:</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„2.5. NOx išmetamųjų teršalų ribinė vertė yra 320 mg/m3 rusvųjų anglių deginimui, 300 mg/m3 skysčių deginimo katilams, deginantiems kietą biomasės kurą, ir 210 mg/m3 skysčių deginimo katilams, deginantiems kitą kietąjį kurą.“</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 Dekreto 4 priedo 3 punkto 3.3 papunktis pakeičiamas taip:</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„3.3. Dyzelinių variklių NOx išmetamųjų teršalų ribinė vertė, jei dėl pirminių priemonių išmetamų NOx kiekis yra ribotas, yra 1 650 mg/m3 dyzeliniams varikliams, naudojamiems tik žvalgymo gręžiniuose, ir 1 500 mg/m3 kitiems dyzeliniams varikliams.“</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 Į dekreto 4 priedo 3 punktą įterpiamas šis 3.8 papunktis: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„3.8. Dujinių variklių, naudojančių gamtines dujas, kurių etano kiekis yra didesnis kaip 5 %, bendrosios organinės anglies išmetamųjų teršalų ribinė vertė yra 95 mg/m3.“</w:t>
      </w:r>
    </w:p>
    <w:p w:rsidR="00EA16FE" w:rsidRPr="00F91869" w:rsidRDefault="00EA16FE"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cs="Times New Roman"/>
          <w:i/>
          <w:iCs/>
          <w:sz w:val="28"/>
          <w:szCs w:val="28"/>
          <w:u w:val="single"/>
        </w:rPr>
        <w:t>2019 m. spalio 28 d. Žemės ūkio ministro dekreto Nr. 51/2019 5 priedas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1. Dekreto 5 priedo 2 punkto lentelės B:5 langelyje skaičius „1 500“ pakeičiamas skaičiumi „375“.</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 Dekreto 5 priedo 2 punkto 2.3 ir 2.4 papunkčiai pakeičiami taip:</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„2.3. NOx išmetamųjų teršalų ribinė vertė kurą deginantiems įrenginiams, deginantiems kietąjį kurą, kurio bendra nurodytoji šiluminė imamoji galia yra didesnė arba lygi 1 MWth, bet mažesnė nei 5 MWth, yra 500 mg/Nm3, išskyrus rusvųjų anglių deginimą, kurio atveju ji yra 320 mg/Nm3, o skysčių deginimo katilams, deginantiems kietą biomasės kurą, ji yra 300 mg/Nm3.</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2.4. Išmetamųjų teršalų ribinės vertės, taikomos NOx skysčių deginimo katilams, naudojantiems kitą kietąjį kurą, yra 210 mg/Nm3.“</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 Dekreto 5 priedo 3 punkto 3.2 papunktis pakeičiamas taip:</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„3.2. Jei varikliai dirba 500–1 500 valandų per metus ir dėl pirminių priemonių jų išmetamųjų NOx teršalų kiekis yra nedidelis, taikomos toliau nurodytos NOx išmetamųjų teršalų ribinės vertės: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a)</w:t>
      </w:r>
      <w:r>
        <w:rPr>
          <w:rFonts w:ascii="Times New Roman" w:hAnsi="Times New Roman" w:cs="Times New Roman"/>
          <w:sz w:val="24"/>
          <w:szCs w:val="24"/>
        </w:rPr>
        <w:t xml:space="preserve"> 1 300 mg/Nm3 taikoma dyzeliniams varikliams, kurių bendra nurodytoji šiluminė imamoji galia yra ne daugiau kaip 20 MWth, o variklio sūkių skaičius yra ≤ 1 200 r/min;</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4"/>
          <w:szCs w:val="24"/>
        </w:rPr>
        <w:t xml:space="preserve"> 1 500 mg/Nm3 dyzeliniams varikliams, kurių bendra nurodytoji šiluminė galia yra didesnė nei 20 MWth, ir dviejų kuro rūšių varikliams skystuoju režimu;</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lastRenderedPageBreak/>
        <w:t>c)</w:t>
      </w:r>
      <w:r>
        <w:rPr>
          <w:rFonts w:ascii="Times New Roman" w:hAnsi="Times New Roman" w:cs="Times New Roman"/>
          <w:sz w:val="24"/>
          <w:szCs w:val="24"/>
        </w:rPr>
        <w:t xml:space="preserve"> 750 mg/Nm3 dyzeliniams varikliams, kai variklio sūkių skaičius yra &gt; 1 200 r/min;</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sz w:val="24"/>
          <w:szCs w:val="24"/>
        </w:rPr>
        <w:t xml:space="preserve"> 380 mg/Nm3 dviejų kuro rūšių varikliams, veikiantiems dujiniu režimu.“</w:t>
      </w:r>
    </w:p>
    <w:p w:rsidR="00EA16FE" w:rsidRPr="00F91869" w:rsidRDefault="00EA16FE"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4. Į dekreto 5 priedo 3 punktą įterpiamas šis 3.9 papunktis:</w:t>
      </w:r>
    </w:p>
    <w:p w:rsidR="00EA16FE" w:rsidRPr="00F91869" w:rsidRDefault="00EA16FE"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„3.9. Dujinių variklių, naudojančių gamtines dujas, kurių etano kiekis yra didesnis kaip 5 %, bendrosios organinės anglies išmetamųjų teršalų ribinė vertė yra 95 mg/m3.“</w:t>
      </w:r>
    </w:p>
    <w:sectPr w:rsidR="00EA16FE"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6A0" w:rsidRDefault="009676A0" w:rsidP="000A7E07">
      <w:pPr>
        <w:spacing w:after="0" w:line="240" w:lineRule="auto"/>
      </w:pPr>
      <w:r>
        <w:separator/>
      </w:r>
    </w:p>
  </w:endnote>
  <w:endnote w:type="continuationSeparator" w:id="0">
    <w:p w:rsidR="009676A0" w:rsidRDefault="009676A0"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6A0" w:rsidRDefault="009676A0" w:rsidP="000A7E07">
      <w:pPr>
        <w:spacing w:after="0" w:line="240" w:lineRule="auto"/>
      </w:pPr>
      <w:r>
        <w:separator/>
      </w:r>
    </w:p>
  </w:footnote>
  <w:footnote w:type="continuationSeparator" w:id="0">
    <w:p w:rsidR="009676A0" w:rsidRDefault="009676A0"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33B"/>
    <w:rsid w:val="00047F30"/>
    <w:rsid w:val="000A7E07"/>
    <w:rsid w:val="00196C2F"/>
    <w:rsid w:val="002C6E69"/>
    <w:rsid w:val="003C1DCA"/>
    <w:rsid w:val="003E16AC"/>
    <w:rsid w:val="008D3278"/>
    <w:rsid w:val="0093333B"/>
    <w:rsid w:val="0096138E"/>
    <w:rsid w:val="009676A0"/>
    <w:rsid w:val="009C445E"/>
    <w:rsid w:val="00A8487D"/>
    <w:rsid w:val="00B8784C"/>
    <w:rsid w:val="00D23C28"/>
    <w:rsid w:val="00DE5AB7"/>
    <w:rsid w:val="00E07F52"/>
    <w:rsid w:val="00E377C2"/>
    <w:rsid w:val="00EA16FE"/>
    <w:rsid w:val="00ED5715"/>
    <w:rsid w:val="00EF3303"/>
    <w:rsid w:val="00F91869"/>
    <w:rsid w:val="00F92D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35091"/>
  <w15:docId w15:val="{71300C98-4296-4C38-AD34-A60AA7EB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38E"/>
    <w:pPr>
      <w:spacing w:after="200" w:line="276" w:lineRule="auto"/>
    </w:pPr>
    <w:rPr>
      <w:rFonts w:cs="Calibri"/>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ind w:firstLine="202"/>
    </w:pPr>
    <w:rPr>
      <w:rFonts w:cs="Calibri"/>
      <w:sz w:val="24"/>
      <w:szCs w:val="24"/>
      <w:lang w:val="lt-LT"/>
    </w:rPr>
  </w:style>
  <w:style w:type="paragraph" w:customStyle="1" w:styleId="Bekezds2">
    <w:name w:val="Bekezdés2"/>
    <w:uiPriority w:val="99"/>
    <w:rsid w:val="0093333B"/>
    <w:pPr>
      <w:autoSpaceDE w:val="0"/>
      <w:autoSpaceDN w:val="0"/>
      <w:adjustRightInd w:val="0"/>
      <w:ind w:left="204" w:firstLine="204"/>
    </w:pPr>
    <w:rPr>
      <w:rFonts w:cs="Calibri"/>
      <w:sz w:val="24"/>
      <w:szCs w:val="24"/>
      <w:lang w:val="lt-LT"/>
    </w:rPr>
  </w:style>
  <w:style w:type="paragraph" w:customStyle="1" w:styleId="Bekezds3">
    <w:name w:val="Bekezdés3"/>
    <w:uiPriority w:val="99"/>
    <w:rsid w:val="0093333B"/>
    <w:pPr>
      <w:autoSpaceDE w:val="0"/>
      <w:autoSpaceDN w:val="0"/>
      <w:adjustRightInd w:val="0"/>
      <w:ind w:left="408" w:firstLine="204"/>
    </w:pPr>
    <w:rPr>
      <w:rFonts w:cs="Calibri"/>
      <w:sz w:val="24"/>
      <w:szCs w:val="24"/>
      <w:lang w:val="lt-LT"/>
    </w:rPr>
  </w:style>
  <w:style w:type="paragraph" w:customStyle="1" w:styleId="Bekezds4">
    <w:name w:val="Bekezdés4"/>
    <w:uiPriority w:val="99"/>
    <w:rsid w:val="0093333B"/>
    <w:pPr>
      <w:autoSpaceDE w:val="0"/>
      <w:autoSpaceDN w:val="0"/>
      <w:adjustRightInd w:val="0"/>
      <w:ind w:left="613" w:firstLine="204"/>
    </w:pPr>
    <w:rPr>
      <w:rFonts w:cs="Calibri"/>
      <w:sz w:val="24"/>
      <w:szCs w:val="24"/>
      <w:lang w:val="lt-LT"/>
    </w:rPr>
  </w:style>
  <w:style w:type="paragraph" w:customStyle="1" w:styleId="DltCm">
    <w:name w:val="DôltCím"/>
    <w:uiPriority w:val="99"/>
    <w:rsid w:val="0093333B"/>
    <w:pPr>
      <w:autoSpaceDE w:val="0"/>
      <w:autoSpaceDN w:val="0"/>
      <w:adjustRightInd w:val="0"/>
      <w:spacing w:before="480" w:after="240"/>
      <w:jc w:val="center"/>
    </w:pPr>
    <w:rPr>
      <w:rFonts w:cs="Calibri"/>
      <w:i/>
      <w:iCs/>
      <w:sz w:val="24"/>
      <w:szCs w:val="24"/>
      <w:lang w:val="lt-LT"/>
    </w:rPr>
  </w:style>
  <w:style w:type="paragraph" w:customStyle="1" w:styleId="FejezetCm">
    <w:name w:val="FejezetCím"/>
    <w:uiPriority w:val="99"/>
    <w:rsid w:val="0093333B"/>
    <w:pPr>
      <w:autoSpaceDE w:val="0"/>
      <w:autoSpaceDN w:val="0"/>
      <w:adjustRightInd w:val="0"/>
      <w:spacing w:before="480" w:after="240"/>
      <w:jc w:val="center"/>
    </w:pPr>
    <w:rPr>
      <w:rFonts w:cs="Calibri"/>
      <w:b/>
      <w:bCs/>
      <w:i/>
      <w:iCs/>
      <w:sz w:val="24"/>
      <w:szCs w:val="24"/>
      <w:lang w:val="lt-LT"/>
    </w:rPr>
  </w:style>
  <w:style w:type="paragraph" w:customStyle="1" w:styleId="FCm">
    <w:name w:val="FôCím"/>
    <w:uiPriority w:val="99"/>
    <w:rsid w:val="0093333B"/>
    <w:pPr>
      <w:autoSpaceDE w:val="0"/>
      <w:autoSpaceDN w:val="0"/>
      <w:adjustRightInd w:val="0"/>
      <w:spacing w:before="480" w:after="240"/>
      <w:jc w:val="center"/>
    </w:pPr>
    <w:rPr>
      <w:rFonts w:cs="Calibri"/>
      <w:b/>
      <w:bCs/>
      <w:sz w:val="28"/>
      <w:szCs w:val="28"/>
      <w:lang w:val="lt-LT"/>
    </w:rPr>
  </w:style>
  <w:style w:type="paragraph" w:customStyle="1" w:styleId="Kikezds">
    <w:name w:val="Kikezdés"/>
    <w:uiPriority w:val="99"/>
    <w:rsid w:val="0093333B"/>
    <w:pPr>
      <w:autoSpaceDE w:val="0"/>
      <w:autoSpaceDN w:val="0"/>
      <w:adjustRightInd w:val="0"/>
      <w:ind w:left="202" w:hanging="202"/>
    </w:pPr>
    <w:rPr>
      <w:rFonts w:cs="Calibri"/>
      <w:sz w:val="24"/>
      <w:szCs w:val="24"/>
      <w:lang w:val="lt-LT"/>
    </w:rPr>
  </w:style>
  <w:style w:type="paragraph" w:customStyle="1" w:styleId="Kikezds2">
    <w:name w:val="Kikezdés2"/>
    <w:uiPriority w:val="99"/>
    <w:rsid w:val="0093333B"/>
    <w:pPr>
      <w:autoSpaceDE w:val="0"/>
      <w:autoSpaceDN w:val="0"/>
      <w:adjustRightInd w:val="0"/>
      <w:ind w:left="408" w:hanging="202"/>
    </w:pPr>
    <w:rPr>
      <w:rFonts w:cs="Calibri"/>
      <w:sz w:val="24"/>
      <w:szCs w:val="24"/>
      <w:lang w:val="lt-LT"/>
    </w:rPr>
  </w:style>
  <w:style w:type="paragraph" w:customStyle="1" w:styleId="Kikezds3">
    <w:name w:val="Kikezdés3"/>
    <w:uiPriority w:val="99"/>
    <w:rsid w:val="0093333B"/>
    <w:pPr>
      <w:autoSpaceDE w:val="0"/>
      <w:autoSpaceDN w:val="0"/>
      <w:adjustRightInd w:val="0"/>
      <w:ind w:left="613" w:hanging="202"/>
    </w:pPr>
    <w:rPr>
      <w:rFonts w:cs="Calibri"/>
      <w:sz w:val="24"/>
      <w:szCs w:val="24"/>
      <w:lang w:val="lt-LT"/>
    </w:rPr>
  </w:style>
  <w:style w:type="paragraph" w:customStyle="1" w:styleId="Kikezds4">
    <w:name w:val="Kikezdés4"/>
    <w:uiPriority w:val="99"/>
    <w:rsid w:val="0093333B"/>
    <w:pPr>
      <w:autoSpaceDE w:val="0"/>
      <w:autoSpaceDN w:val="0"/>
      <w:adjustRightInd w:val="0"/>
      <w:ind w:left="817" w:hanging="202"/>
    </w:pPr>
    <w:rPr>
      <w:rFonts w:cs="Calibri"/>
      <w:sz w:val="24"/>
      <w:szCs w:val="24"/>
      <w:lang w:val="lt-LT"/>
    </w:rPr>
  </w:style>
  <w:style w:type="paragraph" w:customStyle="1" w:styleId="kzp">
    <w:name w:val="közép"/>
    <w:uiPriority w:val="99"/>
    <w:rsid w:val="0093333B"/>
    <w:pPr>
      <w:autoSpaceDE w:val="0"/>
      <w:autoSpaceDN w:val="0"/>
      <w:adjustRightInd w:val="0"/>
      <w:spacing w:before="240" w:after="240"/>
      <w:jc w:val="center"/>
    </w:pPr>
    <w:rPr>
      <w:rFonts w:cs="Calibri"/>
      <w:i/>
      <w:iCs/>
      <w:sz w:val="24"/>
      <w:szCs w:val="24"/>
      <w:lang w:val="lt-LT"/>
    </w:rPr>
  </w:style>
  <w:style w:type="paragraph" w:customStyle="1" w:styleId="MellkletCm">
    <w:name w:val="MellékletCím"/>
    <w:uiPriority w:val="99"/>
    <w:rsid w:val="0093333B"/>
    <w:pPr>
      <w:autoSpaceDE w:val="0"/>
      <w:autoSpaceDN w:val="0"/>
      <w:adjustRightInd w:val="0"/>
      <w:spacing w:before="480" w:after="240"/>
    </w:pPr>
    <w:rPr>
      <w:rFonts w:cs="Calibri"/>
      <w:i/>
      <w:iCs/>
      <w:sz w:val="24"/>
      <w:szCs w:val="24"/>
      <w:u w:val="single"/>
      <w:lang w:val="lt-LT"/>
    </w:rPr>
  </w:style>
  <w:style w:type="paragraph" w:customStyle="1" w:styleId="NormlCm">
    <w:name w:val="NormálCím"/>
    <w:uiPriority w:val="99"/>
    <w:rsid w:val="0093333B"/>
    <w:pPr>
      <w:autoSpaceDE w:val="0"/>
      <w:autoSpaceDN w:val="0"/>
      <w:adjustRightInd w:val="0"/>
      <w:spacing w:before="480" w:after="240"/>
      <w:jc w:val="center"/>
    </w:pPr>
    <w:rPr>
      <w:rFonts w:cs="Calibri"/>
      <w:sz w:val="24"/>
      <w:szCs w:val="24"/>
      <w:lang w:val="lt-LT"/>
    </w:rPr>
  </w:style>
  <w:style w:type="paragraph" w:customStyle="1" w:styleId="VastagCm">
    <w:name w:val="VastagCím"/>
    <w:uiPriority w:val="99"/>
    <w:rsid w:val="0093333B"/>
    <w:pPr>
      <w:autoSpaceDE w:val="0"/>
      <w:autoSpaceDN w:val="0"/>
      <w:adjustRightInd w:val="0"/>
      <w:spacing w:before="480" w:after="240"/>
      <w:jc w:val="center"/>
    </w:pPr>
    <w:rPr>
      <w:rFonts w:cs="Calibri"/>
      <w:b/>
      <w:bCs/>
      <w:sz w:val="24"/>
      <w:szCs w:val="24"/>
      <w:lang w:val="lt-LT"/>
    </w:rPr>
  </w:style>
  <w:style w:type="paragraph" w:customStyle="1" w:styleId="vonal">
    <w:name w:val="vonal"/>
    <w:uiPriority w:val="99"/>
    <w:rsid w:val="0093333B"/>
    <w:pPr>
      <w:autoSpaceDE w:val="0"/>
      <w:autoSpaceDN w:val="0"/>
      <w:adjustRightInd w:val="0"/>
      <w:jc w:val="center"/>
    </w:pPr>
    <w:rPr>
      <w:rFonts w:cs="Calibri"/>
      <w:sz w:val="24"/>
      <w:szCs w:val="24"/>
      <w:lang w:val="lt-LT"/>
    </w:rPr>
  </w:style>
  <w:style w:type="paragraph" w:styleId="Header">
    <w:name w:val="header"/>
    <w:basedOn w:val="Normal"/>
    <w:link w:val="HeaderChar"/>
    <w:uiPriority w:val="99"/>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0A7E07"/>
  </w:style>
  <w:style w:type="paragraph" w:styleId="Footer">
    <w:name w:val="footer"/>
    <w:basedOn w:val="Normal"/>
    <w:link w:val="FooterChar"/>
    <w:uiPriority w:val="99"/>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1947</Words>
  <Characters>11102</Characters>
  <Application>Microsoft Office Word</Application>
  <DocSecurity>0</DocSecurity>
  <Lines>92</Lines>
  <Paragraphs>26</Paragraphs>
  <ScaleCrop>false</ScaleCrop>
  <Company>KD</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Fazekas Zsolt</dc:creator>
  <cp:keywords/>
  <dc:description/>
  <cp:lastModifiedBy>Ke, Tingting</cp:lastModifiedBy>
  <cp:revision>10</cp:revision>
  <dcterms:created xsi:type="dcterms:W3CDTF">2020-09-23T07:03:00Z</dcterms:created>
  <dcterms:modified xsi:type="dcterms:W3CDTF">2020-11-27T09:00:00Z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