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08" w:rsidRPr="00AD69F3" w:rsidRDefault="008C4CE9" w:rsidP="008C4CE9">
      <w:pPr>
        <w:pStyle w:val="PlainText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------IND- 2019 0565 RO- MT- ------ 20191125 --- --- PROJET</w:t>
      </w:r>
    </w:p>
    <w:p w:rsidR="00470AA9" w:rsidRPr="00AD69F3" w:rsidRDefault="008C4CE9" w:rsidP="00470AA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 xml:space="preserve">Ordni </w:t>
      </w:r>
    </w:p>
    <w:p w:rsidR="00470AA9" w:rsidRPr="00AD69F3" w:rsidRDefault="008C4CE9" w:rsidP="00470AA9">
      <w:pPr>
        <w:jc w:val="center"/>
        <w:rPr>
          <w:rFonts w:ascii="Tahoma" w:hAnsi="Tahoma" w:cs="Tahoma"/>
        </w:rPr>
      </w:pPr>
      <w:r>
        <w:rPr>
          <w:rFonts w:ascii="Tahoma" w:hAnsi="Tahoma"/>
        </w:rPr>
        <w:t>rigward ir-rekwiżit għall-operaturi ekonomiċi li jinfurmaw lill-konsumaturi dwar it-trattament tal-wiċċ tal-frott u tal-ħaxix bil-pestiċidi</w:t>
      </w:r>
      <w:r>
        <w:rPr>
          <w:rStyle w:val="Strong"/>
          <w:rFonts w:ascii="Tahoma" w:hAnsi="Tahoma"/>
          <w:b w:val="0"/>
        </w:rPr>
        <w:t xml:space="preserve"> </w:t>
      </w:r>
    </w:p>
    <w:p w:rsidR="00470AA9" w:rsidRPr="00AD69F3" w:rsidRDefault="00470AA9" w:rsidP="00470AA9">
      <w:pPr>
        <w:rPr>
          <w:rFonts w:ascii="Tahoma" w:hAnsi="Tahoma" w:cs="Tahoma"/>
        </w:rPr>
      </w:pPr>
    </w:p>
    <w:p w:rsidR="00470AA9" w:rsidRPr="00AD69F3" w:rsidRDefault="008C4CE9" w:rsidP="00571E3C">
      <w:pPr>
        <w:ind w:firstLine="450"/>
        <w:jc w:val="both"/>
        <w:rPr>
          <w:rStyle w:val="preambul1"/>
          <w:rFonts w:ascii="Tahoma" w:hAnsi="Tahoma" w:cs="Tahoma"/>
          <w:i w:val="0"/>
        </w:rPr>
      </w:pPr>
      <w:r>
        <w:rPr>
          <w:rStyle w:val="preambul1"/>
          <w:rFonts w:ascii="Tahoma" w:hAnsi="Tahoma"/>
          <w:i w:val="0"/>
        </w:rPr>
        <w:t>Wara li kkunsidra d-dispożizzjonijiet ta’:</w:t>
      </w:r>
    </w:p>
    <w:p w:rsidR="00470AA9" w:rsidRPr="00AD69F3" w:rsidRDefault="008C4CE9" w:rsidP="00470AA9">
      <w:pPr>
        <w:ind w:firstLine="708"/>
        <w:jc w:val="both"/>
        <w:rPr>
          <w:rFonts w:ascii="Tahoma" w:hAnsi="Tahoma" w:cs="Tahoma"/>
        </w:rPr>
      </w:pPr>
      <w:r>
        <w:rPr>
          <w:rStyle w:val="preambul1"/>
          <w:rFonts w:ascii="Tahoma" w:hAnsi="Tahoma"/>
          <w:i w:val="0"/>
        </w:rPr>
        <w:t>-</w:t>
      </w:r>
      <w:r>
        <w:rPr>
          <w:rStyle w:val="preambul1"/>
          <w:rFonts w:ascii="Tahoma" w:hAnsi="Tahoma"/>
        </w:rPr>
        <w:t xml:space="preserve"> </w:t>
      </w:r>
      <w:r>
        <w:rPr>
          <w:rFonts w:ascii="Tahoma" w:hAnsi="Tahoma"/>
        </w:rPr>
        <w:t xml:space="preserve">l-Artikolu 1, l-Artikolu 8, l-Artikolu 9 u l-Artikolu 18 tal-Ordni tal-Gvern </w:t>
      </w:r>
      <w:hyperlink r:id="rId7" w:tooltip="Ordni Nru 21/1992 - Gvern tar-Rumanija">
        <w:r>
          <w:rPr>
            <w:rStyle w:val="Hyperlink"/>
            <w:rFonts w:ascii="Tahoma" w:hAnsi="Tahoma"/>
            <w:color w:val="000000"/>
          </w:rPr>
          <w:t>Nru 21/1992</w:t>
        </w:r>
      </w:hyperlink>
      <w:r>
        <w:rPr>
          <w:rFonts w:ascii="Tahoma" w:hAnsi="Tahoma"/>
        </w:rPr>
        <w:t xml:space="preserve"> dwar il-protezzjoni tal-konsumatur, ippubblikata mill-ġdid, kif sussegwentement emendata u ssupplimentata; </w:t>
      </w:r>
    </w:p>
    <w:p w:rsidR="00C24575" w:rsidRPr="00AD69F3" w:rsidRDefault="008C4CE9" w:rsidP="00C2457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/>
        </w:rPr>
        <w:t xml:space="preserve">- id-Deċiżjoni tal-Gvern </w:t>
      </w:r>
      <w:hyperlink r:id="rId8">
        <w:r>
          <w:rPr>
            <w:rStyle w:val="Hyperlink"/>
            <w:rFonts w:ascii="Tahoma" w:hAnsi="Tahoma"/>
            <w:color w:val="000000"/>
          </w:rPr>
          <w:t>Nru 700/201</w:t>
        </w:r>
      </w:hyperlink>
      <w:r>
        <w:rPr>
          <w:rFonts w:ascii="Tahoma" w:hAnsi="Tahoma"/>
        </w:rPr>
        <w:t>2 rigward l-organizzazzjoni u l-operazzjoni tal-Awtorità Nazzjonali għall-Protezzjoni tal-Konsumatur, kif sussegwentement emendata u ssupplimentata;</w:t>
      </w:r>
    </w:p>
    <w:p w:rsidR="00470AA9" w:rsidRPr="00AD69F3" w:rsidRDefault="008C4CE9" w:rsidP="00470AA9">
      <w:pPr>
        <w:jc w:val="both"/>
        <w:rPr>
          <w:rFonts w:ascii="Tahoma" w:hAnsi="Tahoma" w:cs="Tahoma"/>
        </w:rPr>
      </w:pPr>
      <w:r>
        <w:tab/>
      </w:r>
      <w:r>
        <w:rPr>
          <w:rFonts w:ascii="Tahoma" w:hAnsi="Tahoma"/>
        </w:rPr>
        <w:t xml:space="preserve"> ir-rapport imfassal mid-Direttorat Ġenerali tas-Sorveljanza tas-Suq u l-Ispezzjoni u l-Armonizzazzjoni Ewropea;</w:t>
      </w:r>
    </w:p>
    <w:p w:rsidR="00470AA9" w:rsidRPr="00AD69F3" w:rsidRDefault="00470AA9" w:rsidP="00470AA9">
      <w:pPr>
        <w:jc w:val="both"/>
        <w:rPr>
          <w:rFonts w:ascii="Tahoma" w:hAnsi="Tahoma" w:cs="Tahoma"/>
        </w:rPr>
      </w:pPr>
    </w:p>
    <w:p w:rsidR="00470AA9" w:rsidRPr="00AD69F3" w:rsidRDefault="008C4CE9" w:rsidP="00571E3C">
      <w:pPr>
        <w:ind w:firstLine="369"/>
        <w:jc w:val="both"/>
        <w:rPr>
          <w:rFonts w:ascii="Tahoma" w:hAnsi="Tahoma" w:cs="Tahoma"/>
        </w:rPr>
      </w:pPr>
      <w:r>
        <w:rPr>
          <w:rFonts w:ascii="Tahoma" w:hAnsi="Tahoma"/>
        </w:rPr>
        <w:t xml:space="preserve">il-President tal-Awtorità Nazzjonali għall-Protezzjoni tal-Konsumatur b’dan joħroġ l-Ordni li ġejja: </w:t>
      </w:r>
    </w:p>
    <w:p w:rsidR="00470AA9" w:rsidRPr="00AD69F3" w:rsidRDefault="00470AA9" w:rsidP="00470AA9">
      <w:pPr>
        <w:jc w:val="both"/>
        <w:rPr>
          <w:rFonts w:ascii="Tahoma" w:hAnsi="Tahoma" w:cs="Tahoma"/>
        </w:rPr>
      </w:pPr>
    </w:p>
    <w:p w:rsidR="00470AA9" w:rsidRPr="00AD69F3" w:rsidRDefault="008C4CE9" w:rsidP="00470AA9">
      <w:pPr>
        <w:jc w:val="both"/>
        <w:rPr>
          <w:rFonts w:ascii="Tahoma" w:hAnsi="Tahoma" w:cs="Tahoma"/>
        </w:rPr>
      </w:pPr>
      <w:r>
        <w:tab/>
      </w:r>
      <w:bookmarkStart w:id="0" w:name="_GoBack"/>
      <w:bookmarkEnd w:id="0"/>
      <w:r>
        <w:rPr>
          <w:rStyle w:val="articol1"/>
          <w:rFonts w:ascii="Tahoma" w:hAnsi="Tahoma"/>
          <w:color w:val="000000"/>
        </w:rPr>
        <w:t>Artikolu 1.</w:t>
      </w:r>
      <w:r>
        <w:rPr>
          <w:rFonts w:ascii="Tahoma" w:hAnsi="Tahoma"/>
        </w:rPr>
        <w:t xml:space="preserve"> </w:t>
      </w:r>
      <w:r>
        <w:rPr>
          <w:rStyle w:val="l5def2"/>
          <w:rFonts w:ascii="Tahoma" w:hAnsi="Tahoma"/>
          <w:sz w:val="24"/>
        </w:rPr>
        <w:t xml:space="preserve">Din l-Ordni tistabbilixxi l-kundizzjonijiet li l-operaturi ekonomiċi għandhom jissodisfaw sabiex jiżguraw li l-konsumaturi jkunu infurmati b’mod korrett, sħiħ u preċiż </w:t>
      </w:r>
      <w:r>
        <w:rPr>
          <w:rFonts w:ascii="Tahoma" w:hAnsi="Tahoma"/>
        </w:rPr>
        <w:t>dwar it-trattament tal-wiċċ tal-frott u l-ħaxix bil-pestiċidi</w:t>
      </w:r>
      <w:r>
        <w:rPr>
          <w:rStyle w:val="Strong"/>
          <w:rFonts w:ascii="Tahoma" w:hAnsi="Tahoma"/>
          <w:b w:val="0"/>
        </w:rPr>
        <w:t>.</w:t>
      </w:r>
    </w:p>
    <w:p w:rsidR="00470AA9" w:rsidRPr="00AD69F3" w:rsidRDefault="008C4CE9" w:rsidP="00470AA9">
      <w:pPr>
        <w:jc w:val="both"/>
        <w:rPr>
          <w:rStyle w:val="Strong"/>
          <w:rFonts w:ascii="Tahoma" w:hAnsi="Tahoma" w:cs="Tahoma"/>
          <w:b w:val="0"/>
          <w:shd w:val="clear" w:color="000000" w:fill="auto"/>
        </w:rPr>
      </w:pPr>
      <w:r>
        <w:tab/>
      </w:r>
      <w:r>
        <w:rPr>
          <w:rFonts w:ascii="Tahoma" w:hAnsi="Tahoma"/>
          <w:b/>
        </w:rPr>
        <w:t>Artikolu 2.</w:t>
      </w:r>
      <w:r>
        <w:rPr>
          <w:rFonts w:ascii="Tahoma" w:hAnsi="Tahoma"/>
        </w:rPr>
        <w:t xml:space="preserve"> L-operaturi ekonomiċi għandhom jintalbu jinfurmaw lill-konsumaturi, permezz ta’ tikkettjar viżibbli b’mod ċar, dwar il-fatt li l-frott u l-ħaxix imqiegħda fis-suq ġew ittrattati fil-wiċċ bil-</w:t>
      </w:r>
      <w:r>
        <w:rPr>
          <w:rStyle w:val="Strong"/>
          <w:rFonts w:ascii="Tahoma" w:hAnsi="Tahoma"/>
          <w:b w:val="0"/>
        </w:rPr>
        <w:t>pestiċidi u jipprovdu informazzjoni ċara rigward il-mod korrett kif għandhom jimmaniġġjaw/jużaw il-prodotti , fejn jissemma fejn meħtieġ li l-konsum tal-qxur tal-prodotti inkwistjoni għandu jiġi evitat.</w:t>
      </w:r>
    </w:p>
    <w:p w:rsidR="00470AA9" w:rsidRPr="00AD69F3" w:rsidRDefault="008C4CE9" w:rsidP="00470AA9">
      <w:pPr>
        <w:ind w:firstLine="708"/>
        <w:jc w:val="both"/>
        <w:rPr>
          <w:rFonts w:ascii="Tahoma" w:hAnsi="Tahoma" w:cs="Tahoma"/>
        </w:rPr>
      </w:pPr>
      <w:r>
        <w:rPr>
          <w:rStyle w:val="Strong"/>
          <w:rFonts w:ascii="Tahoma" w:hAnsi="Tahoma"/>
        </w:rPr>
        <w:t>Artikolu 3.</w:t>
      </w:r>
      <w:r>
        <w:rPr>
          <w:rStyle w:val="Strong"/>
          <w:rFonts w:ascii="Tahoma" w:hAnsi="Tahoma"/>
          <w:b w:val="0"/>
        </w:rPr>
        <w:t xml:space="preserve"> (1) L-operaturi għandhom jipprovdu din l-informazzjoni lill-konsumaturi billi </w:t>
      </w:r>
      <w:r>
        <w:rPr>
          <w:rFonts w:ascii="Tahoma" w:hAnsi="Tahoma"/>
        </w:rPr>
        <w:t>juru l-pjanċa prevista fl-Anness għall-Ordni immedjatament ħdejn il-frott u l-ħaxix, fuq l-ixkaffa fil-postijiet fejn ikunu qed jiġu kkumerċjalizzati.</w:t>
      </w:r>
    </w:p>
    <w:p w:rsidR="00470AA9" w:rsidRPr="00AD69F3" w:rsidRDefault="008C4CE9" w:rsidP="00470AA9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/>
        </w:rPr>
        <w:t xml:space="preserve">(2) L-iskrizzjoni fuq il-pjanċa għandha tkun miktuba bil-font Tahoma, daqs 16. </w:t>
      </w:r>
    </w:p>
    <w:p w:rsidR="00470AA9" w:rsidRPr="00AD69F3" w:rsidRDefault="008C4CE9" w:rsidP="00470AA9">
      <w:pPr>
        <w:jc w:val="both"/>
        <w:rPr>
          <w:rFonts w:ascii="Tahoma" w:hAnsi="Tahoma" w:cs="Tahoma"/>
        </w:rPr>
      </w:pPr>
      <w:r>
        <w:tab/>
      </w:r>
      <w:r>
        <w:rPr>
          <w:rStyle w:val="articol1"/>
          <w:rFonts w:ascii="Tahoma" w:hAnsi="Tahoma"/>
          <w:color w:val="000000"/>
        </w:rPr>
        <w:t>Artikolu 4</w:t>
      </w:r>
      <w:r>
        <w:rPr>
          <w:rFonts w:ascii="Tahoma" w:hAnsi="Tahoma"/>
        </w:rPr>
        <w:t>. Din l-Ordni għandha tidħol fis-seħħ 30 jum wara d-data tal-pubblikazzjoni tagħha fil-Gazzetta Uffiċjali tar-Rumanija, Parti I.</w:t>
      </w:r>
    </w:p>
    <w:p w:rsidR="00C24575" w:rsidRPr="00AD69F3" w:rsidRDefault="002E13FF" w:rsidP="00470AA9">
      <w:pPr>
        <w:jc w:val="both"/>
        <w:rPr>
          <w:rFonts w:ascii="Tahoma" w:hAnsi="Tahoma" w:cs="Tahoma"/>
        </w:rPr>
      </w:pPr>
    </w:p>
    <w:p w:rsidR="00C24575" w:rsidRPr="00AD69F3" w:rsidRDefault="008C4CE9" w:rsidP="00470AA9">
      <w:pPr>
        <w:jc w:val="both"/>
        <w:rPr>
          <w:rFonts w:ascii="Tahoma" w:hAnsi="Tahoma" w:cs="Tahoma"/>
          <w:i/>
          <w:iCs/>
        </w:rPr>
      </w:pPr>
      <w:r>
        <w:rPr>
          <w:rFonts w:ascii="Tahoma" w:hAnsi="Tahoma"/>
          <w:i/>
        </w:rPr>
        <w:t>Din l-Ordni ġiet adottata bi qbil mal-proċedura tan-notifika prevista fid-Direttiva (UE) 2015/1535 li tistabbilixxi proċedura għall-għoti ta’ informazzjoni fil-qasam tar-regolamenti tekniċi u tar-regoli dwar is-servizzi tas-Soċjetà tal-Informatika.</w:t>
      </w:r>
    </w:p>
    <w:p w:rsidR="001867F7" w:rsidRPr="00AD69F3" w:rsidRDefault="008C4CE9" w:rsidP="001867F7">
      <w:pPr>
        <w:jc w:val="center"/>
        <w:rPr>
          <w:rFonts w:ascii="Tahoma" w:hAnsi="Tahoma" w:cs="Tahoma"/>
          <w:b/>
        </w:rPr>
      </w:pPr>
      <w:r>
        <w:rPr>
          <w:rFonts w:ascii="Tahoma" w:hAnsi="Tahoma"/>
          <w:b/>
        </w:rPr>
        <w:t xml:space="preserve">ANNESS </w:t>
      </w:r>
    </w:p>
    <w:p w:rsidR="001867F7" w:rsidRPr="00AD69F3" w:rsidRDefault="002E13FF" w:rsidP="001867F7">
      <w:pPr>
        <w:spacing w:line="360" w:lineRule="auto"/>
        <w:jc w:val="center"/>
        <w:rPr>
          <w:rFonts w:ascii="Tahoma" w:hAnsi="Tahoma" w:cs="Tahoma"/>
          <w:b/>
        </w:rPr>
      </w:pPr>
    </w:p>
    <w:tbl>
      <w:tblPr>
        <w:tblW w:w="9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7"/>
      </w:tblGrid>
      <w:tr w:rsidR="001867F7" w:rsidRPr="00AD69F3" w:rsidTr="00C24575">
        <w:trPr>
          <w:trHeight w:val="46"/>
        </w:trPr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F7" w:rsidRPr="00AD69F3" w:rsidRDefault="002E13FF" w:rsidP="0031030F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:rsidR="001867F7" w:rsidRPr="00AD69F3" w:rsidRDefault="008C4CE9" w:rsidP="0031030F">
            <w:pPr>
              <w:spacing w:line="360" w:lineRule="auto"/>
              <w:jc w:val="center"/>
              <w:rPr>
                <w:rStyle w:val="Strong"/>
                <w:rFonts w:ascii="Tahoma" w:hAnsi="Tahoma" w:cs="Tahoma"/>
                <w:b w:val="0"/>
                <w:shd w:val="clear" w:color="000000" w:fill="auto"/>
              </w:rPr>
            </w:pPr>
            <w:r>
              <w:rPr>
                <w:rFonts w:ascii="Tahoma" w:hAnsi="Tahoma"/>
              </w:rPr>
              <w:t>Dawn il-prodotti ġew ittrattati fil-wiċċ bil-</w:t>
            </w:r>
            <w:r>
              <w:rPr>
                <w:rStyle w:val="Strong"/>
                <w:rFonts w:ascii="Tahoma" w:hAnsi="Tahoma"/>
                <w:b w:val="0"/>
              </w:rPr>
              <w:t xml:space="preserve">pestiċidi </w:t>
            </w:r>
          </w:p>
          <w:p w:rsidR="001867F7" w:rsidRPr="00AD69F3" w:rsidRDefault="008C4CE9" w:rsidP="0031030F">
            <w:pPr>
              <w:spacing w:line="360" w:lineRule="auto"/>
              <w:jc w:val="center"/>
              <w:rPr>
                <w:rStyle w:val="Strong"/>
                <w:rFonts w:ascii="Tahoma" w:hAnsi="Tahoma" w:cs="Tahoma"/>
                <w:b w:val="0"/>
                <w:shd w:val="clear" w:color="000000" w:fill="auto"/>
              </w:rPr>
            </w:pPr>
            <w:r>
              <w:rPr>
                <w:rStyle w:val="Strong"/>
                <w:rFonts w:ascii="Tahoma" w:hAnsi="Tahoma"/>
                <w:b w:val="0"/>
              </w:rPr>
              <w:t xml:space="preserve">L-isem tal-pestiċida ............................... </w:t>
            </w:r>
          </w:p>
          <w:p w:rsidR="001867F7" w:rsidRPr="00AD69F3" w:rsidRDefault="008C4CE9" w:rsidP="0031030F">
            <w:pPr>
              <w:spacing w:line="360" w:lineRule="auto"/>
              <w:rPr>
                <w:rStyle w:val="Strong"/>
                <w:rFonts w:ascii="Tahoma" w:hAnsi="Tahoma" w:cs="Tahoma"/>
                <w:b w:val="0"/>
                <w:color w:val="181818"/>
                <w:shd w:val="clear" w:color="000000" w:fill="auto"/>
              </w:rPr>
            </w:pPr>
            <w:r>
              <w:rPr>
                <w:rStyle w:val="Strong"/>
                <w:rFonts w:ascii="Tahoma" w:hAnsi="Tahoma"/>
                <w:b w:val="0"/>
              </w:rPr>
              <w:t xml:space="preserve"> </w:t>
            </w:r>
            <w:r>
              <w:rPr>
                <w:rStyle w:val="Strong"/>
                <w:rFonts w:ascii="Tahoma" w:hAnsi="Tahoma"/>
                <w:b w:val="0"/>
                <w:color w:val="181818"/>
              </w:rPr>
              <w:t>Il-konsum tal-qoxra ta’ dawn il-prodotti għandu jiġi evitat</w:t>
            </w:r>
          </w:p>
          <w:p w:rsidR="001867F7" w:rsidRPr="00AD69F3" w:rsidRDefault="008C4CE9" w:rsidP="0031030F">
            <w:pPr>
              <w:spacing w:line="360" w:lineRule="auto"/>
              <w:jc w:val="center"/>
              <w:rPr>
                <w:rStyle w:val="Strong"/>
                <w:rFonts w:ascii="Tahoma" w:hAnsi="Tahoma" w:cs="Tahoma"/>
                <w:b w:val="0"/>
                <w:shd w:val="clear" w:color="000000" w:fill="auto"/>
              </w:rPr>
            </w:pPr>
            <w:r>
              <w:rPr>
                <w:rStyle w:val="Strong"/>
                <w:rFonts w:ascii="Tahoma" w:hAnsi="Tahoma"/>
                <w:b w:val="0"/>
                <w:color w:val="181818"/>
              </w:rPr>
              <w:t>Kundizzjonijiet għall-immaniġġjar/l-użu: ........................................................</w:t>
            </w:r>
          </w:p>
          <w:p w:rsidR="001867F7" w:rsidRPr="00AD69F3" w:rsidRDefault="002E13FF" w:rsidP="0031030F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62507" w:rsidRPr="00AD69F3" w:rsidRDefault="002E13FF" w:rsidP="00571E3C">
      <w:pPr>
        <w:rPr>
          <w:rFonts w:ascii="Tahoma" w:hAnsi="Tahoma" w:cs="Tahoma"/>
        </w:rPr>
      </w:pPr>
    </w:p>
    <w:sectPr w:rsidR="00E62507" w:rsidRPr="00AD69F3" w:rsidSect="00E62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46" w:rsidRDefault="008C4CE9" w:rsidP="00AD69F3">
      <w:r>
        <w:separator/>
      </w:r>
    </w:p>
  </w:endnote>
  <w:endnote w:type="continuationSeparator" w:id="0">
    <w:p w:rsidR="00BB2046" w:rsidRDefault="008C4CE9" w:rsidP="00A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F3" w:rsidRDefault="002E1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F3" w:rsidRPr="00AD69F3" w:rsidRDefault="002E13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F3" w:rsidRDefault="002E1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46" w:rsidRDefault="008C4CE9" w:rsidP="00AD69F3">
      <w:r>
        <w:separator/>
      </w:r>
    </w:p>
  </w:footnote>
  <w:footnote w:type="continuationSeparator" w:id="0">
    <w:p w:rsidR="00BB2046" w:rsidRDefault="008C4CE9" w:rsidP="00AD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F3" w:rsidRDefault="002E1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F3" w:rsidRPr="00AD69F3" w:rsidRDefault="002E1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F3" w:rsidRDefault="002E1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A9"/>
    <w:rsid w:val="002E13FF"/>
    <w:rsid w:val="00470AA9"/>
    <w:rsid w:val="00571E3C"/>
    <w:rsid w:val="008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t-MT" w:eastAsia="mt-MT" w:bidi="mt-M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70A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0AA9"/>
    <w:rPr>
      <w:rFonts w:ascii="Times New Roman" w:eastAsia="Times New Roman" w:hAnsi="Times New Roman" w:cs="Times New Roman"/>
      <w:b/>
      <w:bCs/>
      <w:kern w:val="36"/>
      <w:sz w:val="48"/>
      <w:szCs w:val="48"/>
      <w:lang w:val="mt-MT" w:eastAsia="mt-MT"/>
    </w:rPr>
  </w:style>
  <w:style w:type="paragraph" w:styleId="BodyText">
    <w:name w:val="Body Text"/>
    <w:basedOn w:val="Normal"/>
    <w:link w:val="BodyTextChar"/>
    <w:semiHidden/>
    <w:unhideWhenUsed/>
    <w:rsid w:val="00470AA9"/>
    <w:rPr>
      <w:sz w:val="28"/>
      <w:szCs w:val="20"/>
    </w:rPr>
  </w:style>
  <w:style w:type="character" w:customStyle="1" w:styleId="BodyTextChar">
    <w:name w:val="Body Text Char"/>
    <w:link w:val="BodyText"/>
    <w:semiHidden/>
    <w:rsid w:val="00470AA9"/>
    <w:rPr>
      <w:rFonts w:ascii="Times New Roman" w:eastAsia="Times New Roman" w:hAnsi="Times New Roman" w:cs="Times New Roman"/>
      <w:sz w:val="28"/>
      <w:szCs w:val="20"/>
      <w:lang w:val="mt-MT" w:eastAsia="mt-MT"/>
    </w:rPr>
  </w:style>
  <w:style w:type="paragraph" w:styleId="Subtitle">
    <w:name w:val="Subtitle"/>
    <w:basedOn w:val="Normal"/>
    <w:link w:val="SubtitleChar"/>
    <w:qFormat/>
    <w:rsid w:val="00470A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470AA9"/>
    <w:rPr>
      <w:rFonts w:ascii="Arial" w:eastAsia="Times New Roman" w:hAnsi="Arial" w:cs="Arial"/>
      <w:sz w:val="24"/>
      <w:szCs w:val="24"/>
      <w:lang w:val="mt-MT" w:eastAsia="mt-MT"/>
    </w:rPr>
  </w:style>
  <w:style w:type="character" w:styleId="Strong">
    <w:name w:val="Strong"/>
    <w:uiPriority w:val="22"/>
    <w:qFormat/>
    <w:rsid w:val="00470AA9"/>
    <w:rPr>
      <w:b/>
      <w:bCs/>
      <w:lang w:val="mt-MT" w:eastAsia="mt-MT"/>
    </w:rPr>
  </w:style>
  <w:style w:type="character" w:styleId="Hyperlink">
    <w:name w:val="Hyperlink"/>
    <w:rsid w:val="00470AA9"/>
    <w:rPr>
      <w:color w:val="0000FF"/>
      <w:u w:val="single"/>
      <w:lang w:val="mt-MT" w:eastAsia="mt-MT"/>
    </w:rPr>
  </w:style>
  <w:style w:type="character" w:customStyle="1" w:styleId="preambul1">
    <w:name w:val="preambul1"/>
    <w:rsid w:val="00470AA9"/>
    <w:rPr>
      <w:i/>
      <w:iCs/>
      <w:color w:val="000000"/>
      <w:lang w:val="mt-MT" w:eastAsia="mt-MT"/>
    </w:rPr>
  </w:style>
  <w:style w:type="character" w:customStyle="1" w:styleId="linie1">
    <w:name w:val="linie1"/>
    <w:rsid w:val="00470AA9"/>
    <w:rPr>
      <w:b/>
      <w:bCs/>
      <w:color w:val="000000"/>
      <w:lang w:val="mt-MT" w:eastAsia="mt-MT"/>
    </w:rPr>
  </w:style>
  <w:style w:type="character" w:customStyle="1" w:styleId="paragraf1">
    <w:name w:val="paragraf1"/>
    <w:rsid w:val="00470AA9"/>
    <w:rPr>
      <w:lang w:val="mt-MT" w:eastAsia="mt-MT"/>
    </w:rPr>
  </w:style>
  <w:style w:type="character" w:customStyle="1" w:styleId="articol1">
    <w:name w:val="articol1"/>
    <w:rsid w:val="00470AA9"/>
    <w:rPr>
      <w:b/>
      <w:bCs/>
      <w:color w:val="009500"/>
      <w:lang w:val="mt-MT" w:eastAsia="mt-MT"/>
    </w:rPr>
  </w:style>
  <w:style w:type="character" w:customStyle="1" w:styleId="l5def2">
    <w:name w:val="l5def2"/>
    <w:rsid w:val="00470AA9"/>
    <w:rPr>
      <w:rFonts w:ascii="Arial" w:hAnsi="Arial" w:cs="Arial" w:hint="default"/>
      <w:color w:val="000000"/>
      <w:sz w:val="26"/>
      <w:szCs w:val="26"/>
      <w:lang w:val="mt-MT" w:eastAsia="mt-MT"/>
    </w:rPr>
  </w:style>
  <w:style w:type="paragraph" w:styleId="PlainText">
    <w:name w:val="Plain Text"/>
    <w:basedOn w:val="Normal"/>
    <w:link w:val="PlainTextChar"/>
    <w:uiPriority w:val="99"/>
    <w:unhideWhenUsed/>
    <w:rsid w:val="00D7290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72908"/>
    <w:rPr>
      <w:rFonts w:ascii="Consolas" w:eastAsia="Times New Roman" w:hAnsi="Consolas"/>
      <w:sz w:val="21"/>
      <w:szCs w:val="21"/>
      <w:lang w:val="mt-MT" w:eastAsia="mt-MT"/>
    </w:rPr>
  </w:style>
  <w:style w:type="paragraph" w:styleId="Header">
    <w:name w:val="header"/>
    <w:basedOn w:val="Normal"/>
    <w:link w:val="HeaderChar"/>
    <w:uiPriority w:val="99"/>
    <w:unhideWhenUsed/>
    <w:rsid w:val="00AD69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69F3"/>
    <w:rPr>
      <w:rFonts w:ascii="Times New Roman" w:eastAsia="Times New Roman" w:hAnsi="Times New Roman"/>
      <w:sz w:val="24"/>
      <w:szCs w:val="24"/>
      <w:lang w:val="mt-MT" w:eastAsia="mt-MT"/>
    </w:rPr>
  </w:style>
  <w:style w:type="paragraph" w:styleId="Footer">
    <w:name w:val="footer"/>
    <w:basedOn w:val="Normal"/>
    <w:link w:val="FooterChar"/>
    <w:uiPriority w:val="99"/>
    <w:unhideWhenUsed/>
    <w:rsid w:val="00AD69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69F3"/>
    <w:rPr>
      <w:rFonts w:ascii="Times New Roman" w:eastAsia="Times New Roman" w:hAnsi="Times New Roman"/>
      <w:sz w:val="24"/>
      <w:szCs w:val="24"/>
      <w:lang w:val="mt-MT" w:eastAsia="mt-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mt-MT" w:eastAsia="mt-MT" w:bidi="mt-M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70A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0AA9"/>
    <w:rPr>
      <w:rFonts w:ascii="Times New Roman" w:eastAsia="Times New Roman" w:hAnsi="Times New Roman" w:cs="Times New Roman"/>
      <w:b/>
      <w:bCs/>
      <w:kern w:val="36"/>
      <w:sz w:val="48"/>
      <w:szCs w:val="48"/>
      <w:lang w:val="mt-MT" w:eastAsia="mt-MT"/>
    </w:rPr>
  </w:style>
  <w:style w:type="paragraph" w:styleId="BodyText">
    <w:name w:val="Body Text"/>
    <w:basedOn w:val="Normal"/>
    <w:link w:val="BodyTextChar"/>
    <w:semiHidden/>
    <w:unhideWhenUsed/>
    <w:rsid w:val="00470AA9"/>
    <w:rPr>
      <w:sz w:val="28"/>
      <w:szCs w:val="20"/>
    </w:rPr>
  </w:style>
  <w:style w:type="character" w:customStyle="1" w:styleId="BodyTextChar">
    <w:name w:val="Body Text Char"/>
    <w:link w:val="BodyText"/>
    <w:semiHidden/>
    <w:rsid w:val="00470AA9"/>
    <w:rPr>
      <w:rFonts w:ascii="Times New Roman" w:eastAsia="Times New Roman" w:hAnsi="Times New Roman" w:cs="Times New Roman"/>
      <w:sz w:val="28"/>
      <w:szCs w:val="20"/>
      <w:lang w:val="mt-MT" w:eastAsia="mt-MT"/>
    </w:rPr>
  </w:style>
  <w:style w:type="paragraph" w:styleId="Subtitle">
    <w:name w:val="Subtitle"/>
    <w:basedOn w:val="Normal"/>
    <w:link w:val="SubtitleChar"/>
    <w:qFormat/>
    <w:rsid w:val="00470A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470AA9"/>
    <w:rPr>
      <w:rFonts w:ascii="Arial" w:eastAsia="Times New Roman" w:hAnsi="Arial" w:cs="Arial"/>
      <w:sz w:val="24"/>
      <w:szCs w:val="24"/>
      <w:lang w:val="mt-MT" w:eastAsia="mt-MT"/>
    </w:rPr>
  </w:style>
  <w:style w:type="character" w:styleId="Strong">
    <w:name w:val="Strong"/>
    <w:uiPriority w:val="22"/>
    <w:qFormat/>
    <w:rsid w:val="00470AA9"/>
    <w:rPr>
      <w:b/>
      <w:bCs/>
      <w:lang w:val="mt-MT" w:eastAsia="mt-MT"/>
    </w:rPr>
  </w:style>
  <w:style w:type="character" w:styleId="Hyperlink">
    <w:name w:val="Hyperlink"/>
    <w:rsid w:val="00470AA9"/>
    <w:rPr>
      <w:color w:val="0000FF"/>
      <w:u w:val="single"/>
      <w:lang w:val="mt-MT" w:eastAsia="mt-MT"/>
    </w:rPr>
  </w:style>
  <w:style w:type="character" w:customStyle="1" w:styleId="preambul1">
    <w:name w:val="preambul1"/>
    <w:rsid w:val="00470AA9"/>
    <w:rPr>
      <w:i/>
      <w:iCs/>
      <w:color w:val="000000"/>
      <w:lang w:val="mt-MT" w:eastAsia="mt-MT"/>
    </w:rPr>
  </w:style>
  <w:style w:type="character" w:customStyle="1" w:styleId="linie1">
    <w:name w:val="linie1"/>
    <w:rsid w:val="00470AA9"/>
    <w:rPr>
      <w:b/>
      <w:bCs/>
      <w:color w:val="000000"/>
      <w:lang w:val="mt-MT" w:eastAsia="mt-MT"/>
    </w:rPr>
  </w:style>
  <w:style w:type="character" w:customStyle="1" w:styleId="paragraf1">
    <w:name w:val="paragraf1"/>
    <w:rsid w:val="00470AA9"/>
    <w:rPr>
      <w:lang w:val="mt-MT" w:eastAsia="mt-MT"/>
    </w:rPr>
  </w:style>
  <w:style w:type="character" w:customStyle="1" w:styleId="articol1">
    <w:name w:val="articol1"/>
    <w:rsid w:val="00470AA9"/>
    <w:rPr>
      <w:b/>
      <w:bCs/>
      <w:color w:val="009500"/>
      <w:lang w:val="mt-MT" w:eastAsia="mt-MT"/>
    </w:rPr>
  </w:style>
  <w:style w:type="character" w:customStyle="1" w:styleId="l5def2">
    <w:name w:val="l5def2"/>
    <w:rsid w:val="00470AA9"/>
    <w:rPr>
      <w:rFonts w:ascii="Arial" w:hAnsi="Arial" w:cs="Arial" w:hint="default"/>
      <w:color w:val="000000"/>
      <w:sz w:val="26"/>
      <w:szCs w:val="26"/>
      <w:lang w:val="mt-MT" w:eastAsia="mt-MT"/>
    </w:rPr>
  </w:style>
  <w:style w:type="paragraph" w:styleId="PlainText">
    <w:name w:val="Plain Text"/>
    <w:basedOn w:val="Normal"/>
    <w:link w:val="PlainTextChar"/>
    <w:uiPriority w:val="99"/>
    <w:unhideWhenUsed/>
    <w:rsid w:val="00D7290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72908"/>
    <w:rPr>
      <w:rFonts w:ascii="Consolas" w:eastAsia="Times New Roman" w:hAnsi="Consolas"/>
      <w:sz w:val="21"/>
      <w:szCs w:val="21"/>
      <w:lang w:val="mt-MT" w:eastAsia="mt-MT"/>
    </w:rPr>
  </w:style>
  <w:style w:type="paragraph" w:styleId="Header">
    <w:name w:val="header"/>
    <w:basedOn w:val="Normal"/>
    <w:link w:val="HeaderChar"/>
    <w:uiPriority w:val="99"/>
    <w:unhideWhenUsed/>
    <w:rsid w:val="00AD69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69F3"/>
    <w:rPr>
      <w:rFonts w:ascii="Times New Roman" w:eastAsia="Times New Roman" w:hAnsi="Times New Roman"/>
      <w:sz w:val="24"/>
      <w:szCs w:val="24"/>
      <w:lang w:val="mt-MT" w:eastAsia="mt-MT"/>
    </w:rPr>
  </w:style>
  <w:style w:type="paragraph" w:styleId="Footer">
    <w:name w:val="footer"/>
    <w:basedOn w:val="Normal"/>
    <w:link w:val="FooterChar"/>
    <w:uiPriority w:val="99"/>
    <w:unhideWhenUsed/>
    <w:rsid w:val="00AD69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69F3"/>
    <w:rPr>
      <w:rFonts w:ascii="Times New Roman" w:eastAsia="Times New Roman" w:hAnsi="Times New Roman"/>
      <w:sz w:val="24"/>
      <w:szCs w:val="24"/>
      <w:lang w:val="mt-MT" w:eastAsia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start.ro/Hotararea-755-2003-organizarea-functionarea-Autoritatii-Nationale-Protectia-Consumatorilor-(MjA1Mzg-)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lnk:ORD%20GUV%2021%201992%200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2738</CharactersWithSpaces>
  <SharedDoc>false</SharedDoc>
  <HLinks>
    <vt:vector size="12" baseType="variant">
      <vt:variant>
        <vt:i4>5570588</vt:i4>
      </vt:variant>
      <vt:variant>
        <vt:i4>3</vt:i4>
      </vt:variant>
      <vt:variant>
        <vt:i4>0</vt:i4>
      </vt:variant>
      <vt:variant>
        <vt:i4>5</vt:i4>
      </vt:variant>
      <vt:variant>
        <vt:lpwstr>http://www.legestart.ro/Hotararea-755-2003-organizarea-functionarea-Autoritatii-Nationale-Protectia-Consumatorilor-(MjA1Mzg-).htm</vt:lpwstr>
      </vt:variant>
      <vt:variant>
        <vt:lpwstr/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lnk:ORD GUV 21 1992 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Vlad ASANAGEANU</cp:lastModifiedBy>
  <cp:revision>4</cp:revision>
  <cp:lastPrinted>2019-11-18T11:22:00Z</cp:lastPrinted>
  <dcterms:created xsi:type="dcterms:W3CDTF">2019-11-20T15:02:00Z</dcterms:created>
  <dcterms:modified xsi:type="dcterms:W3CDTF">2019-11-25T15:05:00Z</dcterms:modified>
</cp:coreProperties>
</file>