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40710" w14:textId="34F832FF" w:rsidR="00921594" w:rsidRDefault="00921594" w:rsidP="00921594">
      <w:pPr>
        <w:spacing w:after="0" w:line="240" w:lineRule="auto"/>
        <w:rPr>
          <w:b/>
          <w:sz w:val="32"/>
          <w:szCs w:val="32"/>
          <w:lang w:val="fr-FR" w:eastAsia="fr-FR"/>
        </w:rPr>
      </w:pPr>
      <w:r w:rsidRPr="00FE5842">
        <w:rPr>
          <w:rFonts w:ascii="Courier New" w:hAnsi="Courier New" w:cs="Courier New"/>
          <w:sz w:val="20"/>
          <w:szCs w:val="20"/>
        </w:rPr>
        <w:t xml:space="preserve">1. ------IND- 2020 </w:t>
      </w:r>
      <w:r>
        <w:rPr>
          <w:rFonts w:ascii="Courier New" w:hAnsi="Courier New" w:cs="Courier New"/>
          <w:sz w:val="20"/>
          <w:szCs w:val="20"/>
        </w:rPr>
        <w:t>0486</w:t>
      </w:r>
      <w:r w:rsidRPr="00FE5842">
        <w:rPr>
          <w:rFonts w:ascii="Courier New" w:hAnsi="Courier New" w:cs="Courier New"/>
          <w:sz w:val="20"/>
          <w:szCs w:val="20"/>
        </w:rPr>
        <w:t xml:space="preserve"> </w:t>
      </w:r>
      <w:r>
        <w:rPr>
          <w:rFonts w:ascii="Courier New" w:hAnsi="Courier New" w:cs="Courier New"/>
          <w:sz w:val="20"/>
          <w:szCs w:val="20"/>
        </w:rPr>
        <w:t>L</w:t>
      </w:r>
      <w:r w:rsidRPr="00FE5842">
        <w:rPr>
          <w:rFonts w:ascii="Courier New" w:hAnsi="Courier New" w:cs="Courier New"/>
          <w:sz w:val="20"/>
          <w:szCs w:val="20"/>
        </w:rPr>
        <w:t xml:space="preserve">-- </w:t>
      </w:r>
      <w:r>
        <w:rPr>
          <w:rFonts w:ascii="Courier New" w:hAnsi="Courier New" w:cs="Courier New"/>
          <w:sz w:val="20"/>
          <w:szCs w:val="20"/>
          <w:lang w:val="en-US"/>
        </w:rPr>
        <w:t>EL</w:t>
      </w:r>
      <w:r w:rsidRPr="00FE5842">
        <w:rPr>
          <w:rFonts w:ascii="Courier New" w:hAnsi="Courier New" w:cs="Courier New"/>
          <w:sz w:val="20"/>
          <w:szCs w:val="20"/>
        </w:rPr>
        <w:t>- ------ 2020</w:t>
      </w:r>
      <w:r>
        <w:rPr>
          <w:rFonts w:ascii="Courier New" w:hAnsi="Courier New" w:cs="Courier New"/>
          <w:sz w:val="20"/>
          <w:szCs w:val="20"/>
        </w:rPr>
        <w:t>0812</w:t>
      </w:r>
      <w:r w:rsidRPr="00FE5842">
        <w:rPr>
          <w:rFonts w:ascii="Courier New" w:hAnsi="Courier New" w:cs="Courier New"/>
          <w:sz w:val="20"/>
          <w:szCs w:val="20"/>
        </w:rPr>
        <w:t xml:space="preserve"> --- --- PROJET</w:t>
      </w:r>
    </w:p>
    <w:p w14:paraId="5AB4C723" w14:textId="5E46F097" w:rsidR="007104F8" w:rsidRPr="008E1574" w:rsidRDefault="007104F8" w:rsidP="00206537">
      <w:pPr>
        <w:keepNext/>
        <w:keepLines/>
        <w:jc w:val="center"/>
        <w:rPr>
          <w:b/>
          <w:sz w:val="32"/>
          <w:szCs w:val="32"/>
        </w:rPr>
      </w:pPr>
      <w:r>
        <w:rPr>
          <w:b/>
          <w:sz w:val="32"/>
          <w:szCs w:val="32"/>
        </w:rPr>
        <w:t>Σχέδιο νόμου σχετικά με τη μείωση των επιπτώσεων ορισμένων πλαστικών προϊόντων στο περιβάλλον</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Άρθρο 1. Στόχοι</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 xml:space="preserve">Ο παρών νόμος αποσκοπεί στην πρόληψη και τη μείωση των επιπτώσεων ορισμένων πλαστικών προϊόντων στο περιβάλλον, ιδίως στο υδάτινο περιβάλλον και στην ανθρώπινη υγεία, καθώς και στην προώθηση της μετάβασης σε μια κυκλική οικονομία με επιχειρηματικά μοντέλα, καινοτόμα και βιώσιμα προϊόντα και υλικά, συμβάλλοντας κατ’ αυτόν τον τρόπο επίσης στην αποτελεσματική λειτουργία της εσωτερικής αγοράς. </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Άρθρο 2. Πεδίο εφαρμογής</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Ο παρών νόμος εφαρμόζεται στα πλαστικά προϊόντα μιας χρήσης που απαριθμούνται στο παράρτημα, στα προϊόντα που κατασκευάζονται από οξοδιασπώμενη πλαστική ύλη και στα αλιευτικά σύνεργα που περιέχουν πλαστική ύλη.</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Αποτελεί ειδικό νόμο σε σχέση με τον τροποποιημένο νόμο της 21ης Μαρτίου 2012 σχετικά με τα απορρίμματα και τους πόρους, εφεξής «ο νόμος της 21ης Μαρτίου 2012» και τον τροποποιημένο νόμο της 21ης Μαρτίου 2017 σχετικά με τις συσκευασίες και απορρίμματα συσκευασίας.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Άρθρο 3. Ορισμοί</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Για τους σκοπούς του παρόντος κανονισμού, ισχύουν οι παρακάτω ορισμοί: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«απόβλητο αλιευτικών συνέργων»: κάθε αλιευτικό εργαλείο που καλύπτεται από τον ορισμό των αποβλήτων στο άρθρο 4 του νόμου της 21ης Μαρτίου 2012, συμπεριλαμβανομένων όλων των ξεχωριστών συστατικών, ουσιών ή υλικών που αποτελούσαν μέρος ή ήταν προσαρτημένα στο αλιευτικό σύνεργο όταν αυτό απορρίφθηκε, συμπεριλαμβανομένων των περιπτώσεων που εγκαταλείφθηκε ή απωλέσθη˙</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«συσκευασία»: μια συσκευασία όπως ορίζεται στο άρθρο 3 του τροποποιημένου νόμου της 21ης Μαρτίου 2017 σχετικά με τις συσκευασίες και τα απορρίμματα συσκευασίας˙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«αλιευτικό εργαλείο»: κάθε αντικείμενο ή εξοπλισμός που χρησιμοποιείται στην αλιεία ή την υδατοκαλλιέργεια για τη στόχευση, τη σύλληψη ή την εκτροφή θαλάσσιων βιολογικών πόρων ή που επιπλέει στην επιφάνεια της θάλασσας και εκπτύσσεται με στόχο την προσέλκυση, τη σύλληψη ή την εκτροφή τέτοιων θαλάσσιων βιολογικών πόρων˙</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4° «διάθεση»: η προμήθεια ενός προϊόντος το οποίο προορίζεται να διανεμηθεί, καταναλωθεί ή χρησιμοποιηθεί στην επικράτεια του Λουξεμβούργου στο πλαίσιο εμπορικής δραστηριότητας επ' ανταλλάγματι ή δωρεάν˙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«5° διάθεση στην αγορά: η πρώτη φορά κατά την οποία ένα προϊόν κυκλοφορεί στην αγορά του Λουξεμβούργου˙</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«εναρμονισμένο πρότυπο»: εναρμονισμένο πρότυπο, όπως ορίζεται στο άρθρο 2 σημείο 1) στοιχείο γ) του κανονισμού (ΕΕ) αριθ.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«πλαστική ύλη»: ένα υλικό που αποτελείται από πολυμερές, όπως ορίζεται στο άρθρο 3 σημείο 5 του κανονισμού (ΕΚ) αριθ. 1907/2006, στο οποίο μπορεί να έχουν προστεθεί πρόσθετα ή άλλες ουσίες, και το οποίο μπορεί να λειτουργήσει ως κύριο δομικό συστατικό των τελικών προϊόντων, συμπεριλαμβανομένου του καουτσούκ με βάση πολυμερή και των πλαστικών υλών βιολογικής ή βιοδιασπώμενης προέλευσης, ανεξάρτητα από το αν προέρχονται ή όχι από βιομάζα ή αν πρόκειται να διασπαστούν βιολογικά με την πάροδο του χρόνου.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Με εξαίρεση τα φυσικά πολυμερή που δεν έχουν τροποποιηθεί χημικώς˙</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«βιοαποδομήσιμη πλαστική ύλη»: πλαστική ύλη που μπορεί να υποστεί φυσική ή βιολογική αποσύνθεση, έτσι ώστε τελικά να αποσυντεθεί σε διοξείδιο του άνθρακα (CO</w:t>
      </w:r>
      <w:r>
        <w:rPr>
          <w:rFonts w:asciiTheme="minorHAnsi" w:hAnsiTheme="minorHAnsi"/>
          <w:b w:val="0"/>
          <w:sz w:val="24"/>
          <w:szCs w:val="24"/>
          <w:vertAlign w:val="subscript"/>
        </w:rPr>
        <w:t>2</w:t>
      </w:r>
      <w:r>
        <w:rPr>
          <w:rFonts w:asciiTheme="minorHAnsi" w:hAnsiTheme="minorHAnsi"/>
          <w:b w:val="0"/>
          <w:sz w:val="24"/>
          <w:szCs w:val="24"/>
        </w:rPr>
        <w:t>), βιομάζα και νερό, και είναι, σύμφωνα με τις ευρωπαϊκές προδιαγραφές για τις συσκευασίες, ανακτήσιμη μέσω λιπασματοποίησης και αναερόβιας χώνευσης˙</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«οξοδιασπώμενη πλαστική ύλη»: πλαστικό υλικό τα οποίο περιλαμβάνει πρόσθετα που, μέσω οξείδωσης, οδηγούν στη διάσπαση του πλαστικού υλικού σε μικρο-τμήματα ή σε χημική αποσύνθεση˙</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«προϊόντα καπνού»: προϊόντα καπνού όπως ορίζονται στο άρθρο 2, σημείο 1, στοιχείο α) του τροποποιημένου νόμου της 11ης Αυγούστου 2006 σχετικά με την καταπολέμηση του καπνίσματος˙</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«πλαστικό προϊόν μιας χρήσης»: προϊόν που κατασκευάζεται εξ ολοκλήρου ή εν μέρει από πλαστικό που δεν έχει σχεδιαστεί, κατασκευαστεί ή διατεθεί στην αγορά για να εκπληρώσει, κατά τη διάρκεια της ζωής του, πολλαπλές διαδρομές ή περιστροφές με επιστροφή του σε έναν παραγωγό για επαναπλήρωση ή για επαναχρησιμοποίηση για χρήση πανομοιότυπη με αυτήν για την οποία σχεδιάστηκε˙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Ισχύουν οι ορισμοί των όρων «απορρίμματα», «συλλογή», «χωριστή συλλογή», «επεξεργασία», «παραγωγός προϊόντων» και «υποχρεώσεις διευρυμένης ευθύνη του παραγωγού» που προβλέπονται στο άρθρο 4 του τροποποιημένου νόμου της 21ης Μαρτίου 2012.</w:t>
      </w:r>
    </w:p>
    <w:p w14:paraId="51B1FC84" w14:textId="77777777" w:rsidR="007104F8" w:rsidRPr="008E1574" w:rsidRDefault="007104F8" w:rsidP="00921594">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lastRenderedPageBreak/>
        <w:t>Άρθρο 4. Μείωση της κατανάλωσης</w:t>
      </w:r>
    </w:p>
    <w:p w14:paraId="34312720" w14:textId="69968051" w:rsidR="007104F8" w:rsidRPr="008E1574" w:rsidRDefault="007104F8" w:rsidP="00921594">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Οι παραγωγοί των προϊόντων λαμβάνουν μέτρα για να επιτύχουν μετρήσιμη ποσοτική μείωση της κατανάλωσης των πλαστικών προϊόντων μιας χρήσης που απαριθμούνται στο μέρος Α του παραρτήματος έως το 2026, σε σύγκριση με το 2022. Πρέπει να επιτευχθεί για τη συγκεκριμένη περίοδο μείωση ίση τουλάχιστον με το 20 % σε σχέση με τις μονάδες που διατίθενται στην αγορά. Από την 1η Ιανουαρίου 2026, πρέπει να επιτυγχάνεται κάθε έτος μείωση τουλάχιστον κατά 10 % σε σχέση με τις ποσότητες που διατέθηκαν στην αγορά κατά το προηγούμενο έτος. Οι παραγωγοί προϊόντων πρέπει να αναθέτουν την εφαρμογή της υποχρέωσης αυτής σε εγκεκριμένο οργανισμό σύμφωνα με το άρθρο 19 του νόμου της 21ης Μαρτίου 2012.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Ο υπουργός που είναι αρμόδιος για το περιβάλλον, στο εξής «ο υπουργός», διασφαλίζει το συντονισμό των απαραίτητων μέτρων για την επίτευξη φιλόδοξης και διαρκούς μείωσης στην κατανάλωση των πλαστικών προϊόντων μιας χρήσης που απαριθμούνται στο μέρος Α του παραρτήματος, σύμφωνα με τους γενικούς στόχους της πολιτικής της Ένωσης για τα απόβλητα και ειδικότερα για την πρόληψη της δημιουργίας αποβλήτων, με απώτερο σκοπό την αισθητή αναστροφή των αυξητικών τάσεων στην κατανάλωση.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Η Διοίκηση Περιβάλλοντος παρακολουθεί τα πλαστικά προϊόντα μιας χρήσης που απαριθμούνται στο μέρος Α του παραρτήματος τα οποία διατίθενται στην αγορά και τα μέτρα μείωσης που λαμβάνονται.</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t>Για το σκοπό αυτό, ο εγκεκριμένος οργανισμός κοινοποιεί, στο πλαίσιο της ετήσιας έκθεσης που προβλέπεται στο άρθρο 35 του νόμου της 21ης Μαρτίου 2012, τις ποσότητες των πλαστικών προϊόντων μιας χρήσης που απαριθμούνται στο παράρτημα, μέρος Α, που διατίθενται στην αγορά κατά τη διάρκεια του προηγούμενου έτους.</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Άρθρο 5. Περιορισμός της διάθεσης στην αγορά</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Απαγορεύεται η διάθεση στην αγορά των πλαστικών προϊόντων μιας χρήσης που απαριθμούνται στο μέρος Β του παραρτήματος καθώς και των προϊόντων που κατασκευάζονται από οξοδιασπώμενη πλαστική ύλη.</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Άρθρο 6. Απαιτήσεις που ισχύουν για τα προϊόντα</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Τα πλαστικά προϊόντα μιας χρήσης που απαριθμούνται στο μέρος Γ του παραρτήματος και φέρουν καπάκια και καλύμματα κατασκευασμένα από πλαστική ύλη μπορούν να διατίθενται στην αγορά μόνο εάν τα καπάκια και τα καλύμματα παραμένουν προσαρτημένα στους περιέκτες κατά τη διάρκεια του προβλεπόμενου σταδίου χρήσης του προϊόντος.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Τα μεταλλικά καπάκια ή καλύμματα με πλαστικά παρεμβύσματα δεν θεωρούνται κατασκευασμένα από πλαστική ύλη.</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2) Όσον αφορά τις φιάλες ποτών που απαριθμούνται στο μέρος ΣΤ του παραρτήματος, ισχύουν οι ακόλουθες απαιτήσεις: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 xml:space="preserve">1° από το 2025, οι φιάλες ποτών που απαριθμούνται στο μέρος ΣΤ του παραρτήματος οι οποίες κατασκευάζονται από τερεφθαλικό πολυαιθυλένιο ως βασικό υλικό κατασκευής (στο εξής:«φιάλες PET») περιέχουν τουλάχιστον 25 % ανακυκλωμένο πλαστικό, υπολογιζόμενο ως μέσος όρος για όλες τις φιάλες PET που διατίθενται στην αγορά </w:t>
      </w:r>
      <w:bookmarkStart w:id="1" w:name="_Hlk25242138"/>
      <w:r>
        <w:rPr>
          <w:rFonts w:asciiTheme="minorHAnsi" w:hAnsiTheme="minorHAnsi"/>
          <w:b w:val="0"/>
          <w:sz w:val="24"/>
          <w:szCs w:val="24"/>
        </w:rPr>
        <w:t>από τον ίδιο κατασκευαστή</w:t>
      </w:r>
      <w:bookmarkEnd w:id="1"/>
      <w:r>
        <w:rPr>
          <w:rFonts w:asciiTheme="minorHAnsi" w:hAnsiTheme="minorHAnsi"/>
          <w:b w:val="0"/>
          <w:sz w:val="24"/>
          <w:szCs w:val="24"/>
        </w:rPr>
        <w:t>˙ και</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από το 2030, οι φιάλες ποτών που απαριθμούνται στο μέρος ΣΤ του παραρτήματος αποτελούνται κατά τουλάχιστον 30 % από ανακυκλωμένο πλαστικό, υπολογιζόμενο ως μέσος όρος για όλες τις φιάλες ποτών που διατίθενται στην αγορά από τον ίδιο κατασκευαστή.</w:t>
      </w:r>
    </w:p>
    <w:p w14:paraId="0DCF115F" w14:textId="77777777" w:rsidR="007104F8" w:rsidRPr="00921594" w:rsidRDefault="007104F8" w:rsidP="007104F8">
      <w:pPr>
        <w:pStyle w:val="Article"/>
        <w:numPr>
          <w:ilvl w:val="0"/>
          <w:numId w:val="0"/>
        </w:numPr>
        <w:spacing w:before="240"/>
        <w:rPr>
          <w:rFonts w:asciiTheme="minorHAnsi" w:hAnsiTheme="minorHAnsi" w:cs="TimesNewRoman"/>
          <w:b w:val="0"/>
          <w:spacing w:val="-4"/>
          <w:sz w:val="24"/>
          <w:szCs w:val="24"/>
        </w:rPr>
      </w:pPr>
      <w:r w:rsidRPr="00921594">
        <w:rPr>
          <w:rFonts w:asciiTheme="minorHAnsi" w:hAnsiTheme="minorHAnsi"/>
          <w:b w:val="0"/>
          <w:spacing w:val="-4"/>
          <w:sz w:val="24"/>
          <w:szCs w:val="24"/>
        </w:rPr>
        <w:t>Για το σκοπό αυτό, ο εγκεκριμένος οργανισμός σύμφωνα με το άρθρο 19 του νόμου της 21ης Μαρτίου 2012, κοινοποιεί, στο πλαίσιο της ετήσιας έκθεσης που προβλέπεται στο άρθρο 35 του νόμου της 21ης Μαρτίου 2012, τις ποσότητες των φιαλών PET, που διατίθενται στην αγορά κατά τη διάρκεια του προηγούμενου έτους καθώς και το μέσο όρο των ανακυκλωμένων πλαστικών υλών που προέρχονται από τις φιάλες αυτές. Εάν η Ευρωπαϊκή Ένωση δεν εκδώσει εκτελεστική πράξη, οι τρόποι υπολογισμού και επαλήθευσης των στόχων καθορίζονται από τη Διοίκηση Περιβάλλοντος.</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 xml:space="preserve">Άρθρο 7. Απαιτήσεις ως προς τη σήμανση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Τα πλαστικά προϊόντα μιας χρήσης που απαριθμούνται στο μέρος Δ του παραρτήματος τα οποία διατίθενται στην αγορά φέρουν μια εμφανή, ευανάγνωστη και ανεξίτηλη σήμανση επί της συσκευασίας τους ή επί του ίδιου του προϊόντος, που να ενημερώνει τους καταναλωτές για τα ακόλουθα:</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τις κατάλληλες επιλογές διαχείρισης του προϊόντος ως απόβλητου ή τους τρόπους διάθεσης αποβλήτων που πρέπει να αποφεύγονται για το συγκεκριμένο προϊόν σύμφωνα με την ιεράρχηση των αποβλήτων, και</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την παρουσία πλαστικών υλών στο προϊόν και τις επακόλουθες αρνητικές περιβαλλοντικές επιπτώσεις της απόρριψής τους στο περιβάλλον ή άλλου ακατάλληλου τρόπου απόρριψης των προϊόντων στο περιβάλλον ως αποβλήτων.</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Οι διατάξεις του παρόντος άρθρου για τα προϊόντα καπνού είναι συμπληρωματικές με εκείνες του τροποποιημένου νόμου της 11ης Αυγούστου 2006 σχετικά με την καταπολέμηση του καπνίσματος.</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Άρθρο 8. Διευρυμένη ευθύνη του παραγωγού</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Για όλα τα πλαστικά προϊόντα μιας χρήσης που απαριθμούνται στο παράρτημα μέρος E καθώς και για τα αλιευτικά εργαλεία που περιέχουν πλαστική ύλη, καθορίζονται υποχρεώσεις διευρυμένης ευθύνης του παραγωγού σύμφωνα με τις σχετικές διατάξεις του νόμου της 21ης Μαρτίου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 xml:space="preserve">2) Οι παραγωγοί των πλαστικών προϊόντων μιας χρήσης που απαριθμούνται στο παράρτημα μέρος E τμήμα I καλύπτουν κάθε κόστος, σύμφωνα με τις διατάξεις περί διευρυμένης ευθύνης του παραγωγού που προβλέπεται στο νόμο της 21ης Μαρτίου 2012 και το νόμο της 21ης Μαρτίου 2017 σχετικά με τις συσκευασίες και τα απορρίμματα συσκευασίας και στο μέτρο που τα κάτωθι δεν έχουν περιληφθεί, καλύπτουν επίσης το κόστος για τα ακόλουθα: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το κόστος των μέτρων ευαισθητοποίησης που προβλέπεται στο άρθρο 10 όσον αφορά τα εν λόγω προϊόντα˙ </w:t>
      </w:r>
    </w:p>
    <w:p w14:paraId="780C6E6C" w14:textId="77777777" w:rsidR="007104F8" w:rsidRPr="00921594"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921594">
        <w:rPr>
          <w:rFonts w:asciiTheme="minorHAnsi" w:hAnsiTheme="minorHAnsi"/>
          <w:b w:val="0"/>
          <w:spacing w:val="-4"/>
          <w:sz w:val="24"/>
          <w:szCs w:val="24"/>
        </w:rPr>
        <w:t xml:space="preserve">2. το κόστος για τη συλλογή των αποβλήτων για εκείνα τα προϊόντα που απορρίπτονται στα δημόσια συστήματα συλλογής, συμπεριλαμβανομένης της υποδομής και της λειτουργίας της, καθώς και την επακόλουθη μεταφορά και επεξεργασία των αποβλήτων· και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το κόστος καθαρισμού ως αποτέλεσμα της απόρριψης στο περιβάλλον των εν λόγω προϊόντων και της επακόλουθης μεταφοράς και επεξεργασίας τους.</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οι παραγωγοί των πλαστικών προϊόντων μιας χρήσης που απαριθμούνται στο παράρτημα μέρος E τμήματα II </w:t>
      </w:r>
      <w:bookmarkEnd w:id="2"/>
      <w:r>
        <w:rPr>
          <w:rFonts w:asciiTheme="minorHAnsi" w:hAnsiTheme="minorHAnsi"/>
          <w:b w:val="0"/>
          <w:sz w:val="24"/>
          <w:szCs w:val="24"/>
        </w:rPr>
        <w:t>και III, του παραρτήματος καλύπτουν το κόστος τουλάχιστον για τα εξής</w:t>
      </w:r>
      <w:bookmarkStart w:id="3" w:name="_Hlk33179167"/>
      <w:r>
        <w:rPr>
          <w:rFonts w:asciiTheme="minorHAnsi" w:hAnsiTheme="minorHAnsi"/>
          <w:b w:val="0"/>
          <w:sz w:val="24"/>
          <w:szCs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το κόστος των μέτρων ευαισθητοποίησης που προβλέπεται στο άρθρο 10 όσον αφορά τα εν λόγω προϊόντα˙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το κόστος καθαρισμού ως αποτέλεσμα της απόρριψης στο περιβάλλον των εν λόγω προϊόντων και της επακόλουθης μεταφοράς και επεξεργασίας˙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το κόστος της συλλογής δεδομένων και υποβολής εκθέσεων σύμφωνα με το άρθρο 19 του νόμου της 21ης Μαρτίου 2012.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Όσον αφορά τα πλαστικά προϊόντα μιας χρήσης που απαριθμούνται στο παράρτημα μέρος E τμήμα III του παραρτήματος, διασφαλίζεται ότι οι παραγωγοί καλύπτουν, επιπλέον, το κόστος της συλλογής των αποβλήτων αυτών των προϊόντων που απορρίπτονται σε δημόσια συστήματα συλλογής, συμπεριλαμβανομένης της υποδομής και της λειτουργίας της, και την επακόλουθη μεταφορά και επεξεργασία των αποβλήτων. Το κόστος μπορεί να περιλαμβάνει τη δημιουργία ειδικής υποδομής για τη συλλογή των αποβλήτων αυτών των προϊόντων, όπως κατάλληλα δοχεία απορριμμάτων σε σημεία όπου τείνουν να συσσωρεύονται τέτοιου είδους απορρίμματα.</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Οι παραγωγοί των πλαστικών προϊόντων που απαριθμούνται στο παράρτημα μέρος E τμήμα III πρέπει να λαμβάνουν τα απαραίτητα μέτρα για την πρόληψη της εγκατάλειψης, της απόρριψης ή της ανεξέλεγκτης διαχείρισης των προϊόντων που κατέστησαν απόβλητα.</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Από την 1η Ιανουαρίου 2024, πρέπει να επιτευχθεί κάθε έτος μείωση τουλάχιστον κατά 10 % σε σχέση με τις απορριφθείσες ποσότητες κατά το προηγούμενο έτος. Η αρμόδια διοίκηση καθορίζει και δημοσιεύει μεθοδολογία υπολογισμού των απορριφθεισών ποσοτήτων και της επαλήθευσης της μείωσης</w:t>
      </w:r>
    </w:p>
    <w:p w14:paraId="2FA016B7" w14:textId="77777777" w:rsidR="007104F8" w:rsidRPr="00921594" w:rsidRDefault="007104F8" w:rsidP="007104F8">
      <w:pPr>
        <w:pStyle w:val="Article"/>
        <w:numPr>
          <w:ilvl w:val="0"/>
          <w:numId w:val="0"/>
        </w:numPr>
        <w:spacing w:before="240"/>
        <w:rPr>
          <w:rFonts w:asciiTheme="minorHAnsi" w:hAnsiTheme="minorHAnsi" w:cs="TimesNewRoman"/>
          <w:b w:val="0"/>
          <w:spacing w:val="-2"/>
          <w:sz w:val="24"/>
          <w:szCs w:val="24"/>
        </w:rPr>
      </w:pPr>
      <w:r w:rsidRPr="00921594">
        <w:rPr>
          <w:rFonts w:asciiTheme="minorHAnsi" w:hAnsiTheme="minorHAnsi"/>
          <w:b w:val="0"/>
          <w:spacing w:val="-2"/>
          <w:sz w:val="24"/>
          <w:szCs w:val="24"/>
        </w:rPr>
        <w:lastRenderedPageBreak/>
        <w:t xml:space="preserve">5) Το κόστος που πρέπει να καλύπτεται, βάσει των παραγράφων 2 και 3, δεν υπερβαίνει το κόστος που απαιτείται για την παροχή των εκεί αναφερομένων υπηρεσιών με οικονομικά αποδοτικό τρόπο και καθορίζεται με διαφάνεια μεταξύ των ενδιαφερόμενων μερών. Το κόστος για τον καθαρισμό από τα απορρίμματα περιορίζεται στις δραστηριότητες που αναλαμβάνονται από τις δημόσιες αρχές ή για λογαριασμό αυτών. Η μεθοδολογία υπολογισμού πρέπει να επιτρέπει τον αναλογικό καθορισμό του κόστους για την απομάκρυνση των απορριμμάτων. Για την ελαχιστοποίηση του διοικητικού κόστους, μπορούν να οριστούν οικονομικές συνεισφορές για τον καθαρισμό απορριμμάτων με τη θέσπιση κατάλληλων πολυετών προκαθορισμένων ποσών. </w:t>
      </w:r>
    </w:p>
    <w:p w14:paraId="2B943E40" w14:textId="77777777" w:rsidR="007104F8" w:rsidRPr="00921594" w:rsidRDefault="007104F8" w:rsidP="007104F8">
      <w:pPr>
        <w:pStyle w:val="Article"/>
        <w:numPr>
          <w:ilvl w:val="0"/>
          <w:numId w:val="0"/>
        </w:numPr>
        <w:spacing w:before="240"/>
        <w:rPr>
          <w:rFonts w:asciiTheme="minorHAnsi" w:hAnsiTheme="minorHAnsi" w:cs="TimesNewRoman"/>
          <w:b w:val="0"/>
          <w:spacing w:val="-2"/>
          <w:sz w:val="24"/>
          <w:szCs w:val="24"/>
        </w:rPr>
      </w:pPr>
      <w:r w:rsidRPr="00921594">
        <w:rPr>
          <w:rFonts w:asciiTheme="minorHAnsi" w:hAnsiTheme="minorHAnsi"/>
          <w:b w:val="0"/>
          <w:spacing w:val="-2"/>
          <w:sz w:val="24"/>
          <w:szCs w:val="24"/>
        </w:rPr>
        <w:t xml:space="preserve">6) Οι παραγωγοί που είναι εγκατεστημένοι σε άλλο κράτος μέλος της Ευρωπαϊκής Ένωσης και διαθέτουν προϊόντα στην αγορά του Λουξεμβούργου μπορούν να ορίζουν νομικό ή φυσικό πρόσωπο εγκατεστημένο στην επικράτειά του Λουξεμβούργου ή σε άλλο κράτος μέλος της Ευρωπαϊκής Ένωσης ως εξουσιοδοτημένο αντιπρόσωπο για τους σκοπούς της εκπλήρωσης των υποχρεώσεων του παραγωγού που απορρέουν από συστήματα διευρυμένης ευθύνης του παραγωγού.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7) Οποιοσδήποτε παραγωγός που είναι εγκατεστημένος στην επικράτειά του Μεγάλου Δουκάτου του Λουξεμβούργου, ο οποίος πωλεί πλαστικά προϊόντα μιας χρήσης που απαριθμούνται στο μέρος Ε του παραρτήματος και αλιευτικά εργαλεία με πλαστικά σε άλλο κράτος μέλος της Ευρωπαϊκής Ένωσης στο οποίο δεν είναι εγκατεστημένος, ορίζει εξουσιοδοτημένο αντιπρόσωπο στο άλλο κράτος μέλος της Ευρωπαϊκής Ένωσης. Ο εξουσιοδοτημένος αντιπρόσωπος είναι το πρόσωπο που είναι υπεύθυνο για την εκπλήρωση των υποχρεώσεων του συγκεκριμένου παραγωγού, σύμφωνα με τον παρόντα νόμο, στην επικράτεια του άλλου κράτους μέλους της Ευρωπαϊκής Ένωσης.</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Όσον αφορά τα συστήματα διευρυμένης ευθύνης του σύνεργα σχετικά με τα αλιευτικά εργαλεία που περιέχουν πλαστική ύλη, οι παραγωγοί αλιευτικών συνέργων που περιέχουν πλαστική ύλη καλύπτουν το κόστος της χωριστής συλλογής αποβλήτων αλιευτικών συνέργων που περιέχουν πλαστική ύλη και έχουν παραδοθεί σε ειδικές εγκαταστάσεις συλλογής, καθώς και το κόστος της επακόλουθης μεταφοράς και επεξεργασίας τους.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Οι παραγωγοί καλύπτουν επίσης το κόστος των μέτρων ευαισθητοποίησης που αναφέρονται στο άρθρο 10 για τα αλιευτικά εργαλεία που περιέχουν πλαστική ύλη.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Άρθρο 9. Χωριστή συλλογή</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Προκειμένου να γίνει ανακύκλωση, η ποσότητα αποβλήτων πλαστικών προϊόντων μιας χρήσης που έχουν συλλεχθεί χωριστά, τα οποία απαριθμούνται στο μέρος ΣΤ του παραρτήματος, πρέπει να αντιστοιχεί στα εξής όρια: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α) έως το 2025, </w:t>
      </w:r>
      <w:bookmarkStart w:id="4" w:name="_Hlk25246527"/>
      <w:r>
        <w:rPr>
          <w:rFonts w:asciiTheme="minorHAnsi" w:hAnsiTheme="minorHAnsi"/>
          <w:b w:val="0"/>
          <w:sz w:val="24"/>
          <w:szCs w:val="24"/>
        </w:rPr>
        <w:t>ποσότητα ίση με το 77 % κατά βάρος των αποβλήτων αυτών των προϊόντων που παράγονται κατά τη διάρκεια ενός δεδομένου έτους, περιλαμβανομένων αυτών που απορρίπτονται στο περιβάλλον</w:t>
      </w:r>
      <w:bookmarkEnd w:id="4"/>
      <w:r>
        <w:t>˙</w:t>
      </w:r>
      <w:r>
        <w:rPr>
          <w:rFonts w:asciiTheme="minorHAnsi" w:hAnsiTheme="minorHAnsi"/>
          <w:b w:val="0"/>
          <w:sz w:val="24"/>
          <w:szCs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β) έως το 2029, ποσότητα ίση με το 90 % των αποβλήτων αυτών των πλαστικών προϊόντων που παράγονται κατά τη διάρκεια ενός δεδομένου έτους, περιλαμβανομένων αυτών που απορρίπτονται στο περιβάλλον, κατά βάρος.</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Άρθρο 10. Μέτρα ευαισθητοποίησης</w:t>
      </w:r>
    </w:p>
    <w:p w14:paraId="148EAE36" w14:textId="77777777" w:rsidR="007104F8" w:rsidRPr="00921594" w:rsidRDefault="007104F8" w:rsidP="007104F8">
      <w:pPr>
        <w:pStyle w:val="Article"/>
        <w:numPr>
          <w:ilvl w:val="0"/>
          <w:numId w:val="0"/>
        </w:numPr>
        <w:spacing w:before="240"/>
        <w:rPr>
          <w:rFonts w:asciiTheme="minorHAnsi" w:hAnsiTheme="minorHAnsi" w:cs="TimesNewRoman"/>
          <w:b w:val="0"/>
          <w:spacing w:val="-4"/>
          <w:sz w:val="24"/>
          <w:szCs w:val="24"/>
        </w:rPr>
      </w:pPr>
      <w:r w:rsidRPr="00921594">
        <w:rPr>
          <w:rFonts w:asciiTheme="minorHAnsi" w:hAnsiTheme="minorHAnsi"/>
          <w:b w:val="0"/>
          <w:spacing w:val="-4"/>
          <w:sz w:val="24"/>
          <w:szCs w:val="24"/>
        </w:rPr>
        <w:t xml:space="preserve">Η Διοίκηση Περιβάλλοντος και η Διοίκηση διαχείρισης των υδάτων, η καθεμία στον τομέα της, λαμβάνουν μέτρα για την ενημέρωση των καταναλωτών και την παροχή κινήτρων για υπεύθυνη καταναλωτική συμπεριφορά, προκειμένου να μειωθούν τα απορρίμματα από προϊόντα που καλύπτονται από τον παρόντα νόμο και λαμβάνουν μέτρα για την πληροφόρηση των καταναλωτών των πλαστικών προϊόντων μιας χρήσης που απαριθμούνται στο μέρος Ζ του παραρτήματος και των χρηστών αλιευτικών εργαλείων που περιέχουν πλαστική ύλη σχετικά με τα παρακάτω: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τη διαθεσιμότητα επαναχρησιμοποιήσιμων εναλλακτικών προϊόντων, συστημάτων επαναχρησιμοποίησης και επιλογών διαχείρισης αποβλήτων για τα εν λόγω πλαστικά προϊόντα μιας χρήσης και για τα αλιευτικά εργαλεία που περιέχουν πλαστική ύλη, καθώς και τις βέλτιστες πρακτικές στην ορθή διαχείριση αποβλήτων που εφαρμόζονται σύμφωνα με το άρθρο 10 του νόμου της 21ης Μαρτίου 2012˙ </w:t>
      </w:r>
    </w:p>
    <w:p w14:paraId="539EAE81" w14:textId="77777777" w:rsidR="007104F8" w:rsidRPr="00921594" w:rsidRDefault="007104F8" w:rsidP="007104F8">
      <w:pPr>
        <w:pStyle w:val="Article"/>
        <w:numPr>
          <w:ilvl w:val="0"/>
          <w:numId w:val="0"/>
        </w:numPr>
        <w:spacing w:before="240"/>
        <w:ind w:left="720"/>
        <w:rPr>
          <w:rFonts w:asciiTheme="minorHAnsi" w:hAnsiTheme="minorHAnsi" w:cs="TimesNewRoman"/>
          <w:b w:val="0"/>
          <w:spacing w:val="-4"/>
          <w:sz w:val="24"/>
          <w:szCs w:val="24"/>
        </w:rPr>
      </w:pPr>
      <w:r w:rsidRPr="00921594">
        <w:rPr>
          <w:rFonts w:asciiTheme="minorHAnsi" w:hAnsiTheme="minorHAnsi"/>
          <w:b w:val="0"/>
          <w:spacing w:val="-4"/>
          <w:sz w:val="24"/>
          <w:szCs w:val="24"/>
        </w:rPr>
        <w:t>2° τις περιβαλλοντικές επιπτώσεις της απόρριψης στο περιβάλλον και άλλων ακατάλληλων τρόπων διάθεσης αποβλήτων πλαστικών προϊόντων μιας χρήσης και αλιευτικών εργαλείων που περιέχουν πλαστική ύλη, ιδίως για το θαλάσσιο περιβάλλον˙ και</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τις επιπτώσεις που έχει ο ακατάλληλος τρόπος διάθεσης των αποβλήτων των εν λόγω πλαστικών προϊόντων μιας χρήσης στο αποχετευτικό δίκτυο.</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Άρθρο 11. Συντονισμός των μέτρων</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Με την επιφύλαξη του άρθρου 4 παράγραφος 1 πρώτο εδάφιο, τα μέτρα που λαμβάνονται δυνάμει του παρόντος νόμου αποτελούν αναπόσπαστο μέρος των προγραμμάτων μέτρων που θεσπίζονται σύμφωνα με τον τροποποιημένο νόμο της 19ης Δεκεμβρίου 2008 σχετικά με τα ύδατα και τα σχέδια διαχείρισης αποβλήτων και τα προγράμματα πρόληψης των αποβλήτων που θεσπίζονται σύμφωνα με τον νόμο της 21ης Μαρτίου 2012 και συνάδουν με αυτά.</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921594" w:rsidRDefault="007104F8" w:rsidP="007104F8">
      <w:pPr>
        <w:autoSpaceDE w:val="0"/>
        <w:autoSpaceDN w:val="0"/>
        <w:adjustRightInd w:val="0"/>
        <w:spacing w:after="0" w:line="240" w:lineRule="auto"/>
        <w:jc w:val="both"/>
        <w:rPr>
          <w:rFonts w:eastAsia="Calibri" w:cs="TimesNewRoman"/>
          <w:spacing w:val="-4"/>
          <w:sz w:val="24"/>
          <w:szCs w:val="24"/>
        </w:rPr>
      </w:pPr>
      <w:r w:rsidRPr="00921594">
        <w:rPr>
          <w:spacing w:val="-4"/>
          <w:sz w:val="24"/>
          <w:szCs w:val="24"/>
        </w:rPr>
        <w:t xml:space="preserve">Τα μέτρα που λαμβάνονται στα άρθρα 4 έως 9 πρέπει να συμμορφώνονται με τις διατάξεις περί τροφίμων, προκειμένου να εξασφαλιστεί ότι δεν θίγεται η υγιεινή και η ασφάλεια των τροφίμων.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Η Διοίκηση Περιβάλλοντος και η Διεύθυνση Υγείας, η καθεμία στον τομέα της, ενθαρρύνουν τη χρήση, όπου είναι δυνατόν, βιώσιμων εναλλακτικών προϊόντων αντί των πλαστικών προϊόντων μιας χρήσης για υλικά που προορίζονται να έλθουν σε επαφή με τρόφιμα.</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lastRenderedPageBreak/>
        <w:t>Άρθρο 12. Προδιαγραφές και κατευθυντήριες γραμμές σχετικά με τα πλαστικά προϊόντα μιας χρήσης</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Προκειμένου να προσδιοριστεί εάν ένας περιέκτης τροφίμων πρέπει να θεωρηθεί πλαστικό προϊόν μιας χρήσης για τους σκοπούς του παρόντος νόμου, επιπλέον των κριτηρίων που παρατίθενται στο παράρτημα όσον αφορά τους περιέκτες τροφίμων, είναι αποφασιστικής σημασίας το κατά πόσον ο εν λόγω περιέκτης τείνει να απορρίπτεται στο περιβάλλον λόγω του όγκου ή του μεγέθους του, ιδίως όσον αφορά ατομικές μερίδες.</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Άρθρο 13. Διοικητικά μέτρα</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Σε περίπτωση μη τήρησης των διατάξεων του άρθρου 5, του άρθρου 6 παράγραφος 1 και 2, σημεία 1 και 2, του άρθρου 7 και του άρθρου 9, ο υπουργός μπορεί: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να επιβάλλει στον υπεύθυνο για συσκευασίες ή στον εγκεκριμένο οργανισμό προθεσμία για να συμμορφωθεί με τις διατάξεις αυτές, προθεσμία που δεν μπορεί να υπερβαίνει τα δύο έτη˙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να αναστείλει, εν όλω ή εν μέρει, τη δραστηριότητα του παραγωγού ή τη λειτουργία της εγκατάστασης ως προσωρινό μέτρο ή να κλείσει την εγκατάσταση εν όλω ή εν μέρει και να τη σφραγίσει.</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Κάθε ενδιαφερόμενο μέρος μπορεί να ζητήσει την εφαρμογή των μέτρων που προβλέπονται στην παράγραφο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Τα μέτρα που προβλέπονται στην παράγραφο 1 αίρονται όταν ο υπεύθυνος για τις συσκευασίες ή ο εγκεκριμένος οργανισμός έχουν συμμορφωθεί.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t>Άρθρο 14. Ειδικές διατάξεις</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Ισχύουν οι ακόλουθες διατάξεις του νόμου της 21ης Μαρτίου 2012:</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τα άρθρα 44, 45 και 46 σχετικά με την έρευνα και τη διαπίστωση των παραβάσεων, οι εξουσίες ελέγχου και τα προνόμια ελέγχου και</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το άρθρο 50, παράγραφος 2, σχετικά με το δικαίωμα προσφυγής ενώπιον δικαστηρίου για τις εγκεκριμένες οικολογικές ενώσεις.</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Άρθρο 15. Παράρτημα</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Το παράρτημα μπορεί να τροποποιηθεί με κανονισμό του Μεγάλου Δουκάτου προκειμένου να προσαρμοστεί στην εξέλιξη της νομοθεσίας της Ευρωπαϊκής Ένωσης στον οικείο τομέα.</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lastRenderedPageBreak/>
        <w:t>Άρθρο 16. Ποινικές κυρώσεις</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Τιμωρούνται με φυλάκιση οκτώ ημερών έως 3 ετών και πρόστιμο 251 ευρώ έως 750 000 ευρώ ή με μία από αυτές τις κυρώσεις μόνο, οι παραβάσεις του άρθρου 5, του άρθρου 6 παράγραφος 1, πρώτο εδάφιο και παράγραφος 2, σημείο 1 και 2, του άρθρου 7, παράγραφος 1, του άρθρου 8, παράγραφος 4 και του άρθρου 9.</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Οι ίδιες κυρώσεις επιβάλλονται σε περίπτωση παράβασης ή μη τήρησης των διοικητικών μέτρων που επιβάλλονται δυνάμει του άρθρου 13.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Άρθρο 17. Διοικητικά πρόστιμα</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szCs w:val="24"/>
        </w:rPr>
        <w:t>Ο υπουργός μπορεί να επιβάλλει πρόστιμο από 250 ευρώ έως 10 000 ευρώ σε περίπτωση παράβασης που προβλέπεται στο άρθρο 4 παράγραφος 4 και στο άρθρο 6, παράγραφος 2, δεύτερο εδάφιο.</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Τα πρόστιμα πρέπει να καταβληθούν εντός δύο μηνών από την κοινοποίηση της γραπτής απόφασης.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Τα διοικητικά πρόστιμα εισπράττονται από την Υπηρεσία ΦΠΑ, Μητρώων και Ακίνητης Περιουσίας. Η είσπραξη γίνεται με τον ίδιο τρόπο όπως με τα τέλη εγγραφής.</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Άρθρο 18. Προσφυγή</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Κατά των αποφάσεων που λαμβάνονται δυνάμει του παρόντος νόμου, η προσφυγή με αίτημα τη μεταρρύθμιση ασκείται ενώπιον του διοικητικού δικαστηρίου. Η προσφυγή αυτή πρέπει να ασκηθεί με τον όρο της λήξης εντός σαράντα ημερών από την κοινοποίηση της απόφασης.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Άρθρο 19. Έναρξη ισχύος</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Ο παρών νόμος τίθεται σε ισχύ την 3η Ιουλίου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Ωστόσο, οι διατάξεις του άρθρου 6, παράγραφος 1, αρχίζουν να ισχύουν μόνο από την 3η Ιουλίου 2024 και οι διατάξεις του άρθρου 8 αρχίζουν να ισχύουν μόνο από τις 31 Δεκεμβρίου 2026, εκτός από τα πλαστικά προϊόντα μιας χρήσης που απαριθμούνται στο μέρος Ε, τμήμα ΙΙΙ του παραρτήματος, για τα οποία η έναρξη ισχύος είναι η 5η Ιανουαρίου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lastRenderedPageBreak/>
        <w:t>Παράρτημα</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ΜΕΡΟΣ Α</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Πλαστικά προϊόντα μιας χρήσης που καλύπτονται από το άρθρο 4 σχετικά με τη μείωση της κατανάλωσης</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Κυπελλάκια για ποτά και τα καπάκια και καλύμματά τους˙</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Περιέκτες τροφίμων, δηλαδή δοχεία όπως κουτιά, με ή χωρίς κάλυμμα, εντός των οποίων τοποθετούνται τρόφιμα τα οποία:</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α) προορίζονται για άμεση κατανάλωση είτε επιτόπου είτε εκτός του καταστήματος,</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β) συνήθως καταναλώνονται από το δοχείο, και</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γ) είναι έτοιμα για κατανάλωση χωρίς περαιτέρω προετοιμασία, π.χ. μαγείρεμα, βράσιμο ή ζέσταμα,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συμπεριλαμβανομένων των περιεκτών που χρησιμοποιούνται για γεύματα ταχυφαγείων ή άλλα γεύματα έτοιμα προς άμεση κατανάλωση, εκτός από περιέκτες ποτών, πιάτα και πακέτα και περιτυλίγματα που περιέχουν τρόφιμα.</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Μέρος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Πλαστικά προϊόντα μιας χρήσης που καλύπτονται από το άρθρο 5 σχετικά με τους περιορισμούς της διάθεσης στην αγορά</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Μπατονέτες, εκτός εάν εμπίπτουν στο πεδίο εφαρμογής της οδηγίας 90/385/ΕΟΚ του Συμβουλίου</w:t>
      </w:r>
      <w:r>
        <w:rPr>
          <w:rStyle w:val="FootnoteReference"/>
          <w:rFonts w:cs="TimesNewRoman"/>
          <w:sz w:val="24"/>
          <w:szCs w:val="24"/>
          <w:lang w:val="fr-LU" w:eastAsia="fr-BE"/>
        </w:rPr>
        <w:footnoteReference w:id="1"/>
      </w:r>
      <w:r>
        <w:rPr>
          <w:sz w:val="24"/>
          <w:szCs w:val="24"/>
        </w:rPr>
        <w:t xml:space="preserve"> ή της οδηγίας 93/42/ΕΟΚ του Συμβουλίου</w:t>
      </w:r>
      <w:r>
        <w:rPr>
          <w:rStyle w:val="FootnoteReference"/>
          <w:rFonts w:cs="TimesNewRoman"/>
          <w:sz w:val="24"/>
          <w:szCs w:val="24"/>
          <w:lang w:val="fr-LU" w:eastAsia="fr-BE"/>
        </w:rPr>
        <w:footnoteReference w:id="2"/>
      </w:r>
      <w:r>
        <w:rPr>
          <w:sz w:val="24"/>
          <w:szCs w:val="24"/>
        </w:rPr>
        <w:t xml:space="preserve"> ˙</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Μαχαιροπίρουνα (πιρούνια, μαχαίρια, κουτάλια, ξυλάκια φαγητού)˙</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Πιάτα˙</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Καλαμάκια, εκτός εάν εμπίπτουν στο πλαίσιο της οδηγίας 90/385/ΕΟΚ ή της οδηγίας 93/42/ΕΟΚ˙</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Αναδευτήρες ποτών˙</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6) Ράβδοι που προσαρτώνται και στηρίζουν μπαλόνια, εκτός από μπαλόνια για βιομηχανικές ή άλλες επαγγελματικές χρήσεις και εφαρμογές που δεν διανέμονται στους καταναλωτές, συμπεριλαμβανομένων μηχανισμών για τέτοια ξυλάκια˙</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Περιέκτες τροφίμων κατασκευασμένοι από διογκωμένο πολυστυρένιο, δηλαδή δοχεία όπως κουτιά, με ή χωρίς κάλυμμα, εντός των οποίων τοποθετούνται τρόφιμα τα οποία:</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α) προορίζονται για άμεση κατανάλωση είτε επιτόπου είτε εκτός του καταστήματος,</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β) συνήθως καταναλώνονται από το δοχείο, και</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γ) είναι έτοιμα για κατανάλωση χωρίς περαιτέρω προετοιμασία, π.χ. μαγείρεμα, βράσιμο ή ζέσταμα,</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συμπεριλαμβανομένων των περιεκτών που χρησιμοποιούνται για γεύματα ταχυφαγείων ή άλλα γεύματα έτοιμα προς άμεση κατανάλωση, εκτός από περιέκτες ποτών, πιάτα και πακέτα και περιτυλίγματα που περιέχουν τρόφιμα˙</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περιέκτες ποτών από διογκωμένο πολυστυρένιο και τα καπάκια και καλύμματά τους·</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κυπελλάκια για ποτά από διογκωμένο πολυστυρένιο και τα καπάκια και καλύμματά τους.</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Μέρος Γ</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Πλαστικά προϊόντα μιας χρήσης που καλύπτονται από το άρθρο 6, παράγραφος 1, σχετικά με τις απαιτήσεις που ισχύουν για τα προϊόντα</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Περιέκτες ποτών με χωρητικότητα έως και τριών λίτρων, δηλαδή δοχεία που χρησιμοποιούνται για υγρά όπως φιάλες ποτών συμπεριλαμβανομένων των καπακιών και των καλυμμάτων τους καθώς και σύνθετες συσκευασίες ποτών συμπεριλαμβανομένων των καπακιών και των καλυμμάτων τους, αλλά όχι:</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921594" w:rsidRDefault="007104F8" w:rsidP="007104F8">
      <w:pPr>
        <w:autoSpaceDE w:val="0"/>
        <w:autoSpaceDN w:val="0"/>
        <w:adjustRightInd w:val="0"/>
        <w:spacing w:after="0" w:line="240" w:lineRule="auto"/>
        <w:ind w:left="720"/>
        <w:rPr>
          <w:rFonts w:cs="TimesNewRoman"/>
          <w:spacing w:val="-6"/>
          <w:sz w:val="24"/>
          <w:szCs w:val="24"/>
        </w:rPr>
      </w:pPr>
      <w:r w:rsidRPr="00921594">
        <w:rPr>
          <w:spacing w:val="-6"/>
          <w:sz w:val="24"/>
          <w:szCs w:val="24"/>
        </w:rPr>
        <w:t>α) γυάλινοι ή μεταλλικοί περιέκτες ποτών που έχουν καπάκια και καλύμματα από πλαστικό,</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β) φιάλες ποτών που προορίζονται και χρησιμοποιούνται για τρόφιμα για ειδικούς ιατρικούς σκοπούς, όπως ορίζεται στο άρθρο 2 στοιχείο ζ) του κανονισμού (ΕΕ) αριθ. 609/2013 του Ευρωπαϊκού Κοινοβουλίου και του Συμβουλίου,</w:t>
      </w:r>
      <w:r>
        <w:rPr>
          <w:rStyle w:val="FootnoteReference"/>
          <w:rFonts w:cs="TimesNewRoman"/>
          <w:sz w:val="24"/>
          <w:szCs w:val="24"/>
          <w:lang w:val="fr-LU" w:eastAsia="fr-BE"/>
        </w:rPr>
        <w:footnoteReference w:id="3"/>
      </w:r>
      <w:r>
        <w:rPr>
          <w:sz w:val="24"/>
          <w:szCs w:val="24"/>
        </w:rPr>
        <w:t xml:space="preserve"> σε υγρή μορφή.</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lastRenderedPageBreak/>
        <w:t>Μέρος Δ</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Πλαστικά προϊόντα μιας χρήσης που προβλέπονται στο άρθρο 7 σχετικά με τις απαιτήσεις σήμανσης</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Σερβιέτες υγιεινής και ταμπόν και εφαρμογείς ταμπόν˙</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Υγρά μαντηλάκια, δηλαδή προδιαβρεγμένα μαντηλάκια προσωπικής υγιεινής και οικιακής χρήσης˙</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Προϊόντα καπνού με φίλτρο και φίλτρα που κυκλοφορούν στο εμπόριο για χρήση σε συνδυασμό με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προϊόντα καπνού˙</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Κυπελλάκια για ποτά.</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ΜΕΡΟΣ Ε</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Πλαστικά προϊόντα μιας χρήσης που προβλέπονται στο άρθρο 8 σχετικά με τη διευρυμένη ευθύνη του παραγωγού</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Περιέκτες τροφίμων, δηλαδή δοχεία όπως κουτιά, με ή χωρίς κάλυμμα, εντός των οποίων τοποθετούνται τρόφιμα τα οποία:</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α) προορίζονται για άμεση κατανάλωση είτε επιτόπου είτε εκτός του καταστήματος,</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β) συνήθως καταναλώνονται από το δοχείο, και</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γ) είναι έτοιμα για κατανάλωση χωρίς περαιτέρω προετοιμασία, π.χ. μαγείρεμα, βράσιμο ή ζέσταμα,</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συμπεριλαμβανομένων των περιεκτών που χρησιμοποιούνται για γεύματα ταχυφαγείων ή άλλα γεύματα έτοιμα προς άμεση κατανάλωση, εκτός από περιέκτες ποτών, πιάτα και πακέτα και περιτυλίγματα που περιέχουν τρόφιμα˙</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Πακέτα και περιτυλίγματα από εύκαμπτο υλικό που περιέχουν τρόφιμα τα οποία προορίζονται για άμεση κατανάλωση από το πακέτο ή από το περιτύλιγμα χωρίς καμία περαιτέρω προετοιμασία˙</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Περιέκτες ποτών με χωρητικότητα έως και τριών λίτρων, δηλαδή δοχεία που χρησιμοποιούνται για υγρά όπως φιάλες ποτών συμπεριλαμβανομένων των καπακιών και των καλυμμάτων τους καθώς και σύνθετες συσκευασίες ποτών συμπεριλαμβανομένων των καπακιών και των καλυμμάτων τους, αλλά όχι γυάλινοι ή μεταλλικοί περιέκτες ποτών που έχουν καπάκια και καλύμματα από πλαστικό˙</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Κυπελλάκια για ποτά και τα καπάκια και καλύμματά τους˙</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5) Λεπτές πλαστικές σακούλες μεταφοράς, όπως ορίζονται στο άρθρο 3 σημείο 1γ) της οδηγίας 94/62/ΕΚ.</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Πλαστικά προϊόντα μιας χρήσης που προβλέπονται στο άρθρο 8, παράγραφος 3, σχετικά με τη διευρυμένη ευθύνη του παραγωγού</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Pr="00921594" w:rsidRDefault="007104F8" w:rsidP="007104F8">
      <w:pPr>
        <w:autoSpaceDE w:val="0"/>
        <w:autoSpaceDN w:val="0"/>
        <w:adjustRightInd w:val="0"/>
        <w:spacing w:after="0" w:line="240" w:lineRule="auto"/>
        <w:rPr>
          <w:rFonts w:cs="TimesNewRoman"/>
          <w:spacing w:val="-4"/>
          <w:sz w:val="24"/>
          <w:szCs w:val="24"/>
        </w:rPr>
      </w:pPr>
      <w:r w:rsidRPr="00921594">
        <w:rPr>
          <w:spacing w:val="-4"/>
          <w:sz w:val="24"/>
          <w:szCs w:val="24"/>
        </w:rPr>
        <w:t>1) Υγρά μαντηλάκια, δηλαδή προδιαβρεγμένα μαντηλάκια προσωπικής υγιεινής και οικιακής χρήσης˙</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Μπαλόνια, εκτός από μπαλόνια για βιομηχανικές ή άλλες επαγγελματικές χρήσεις και εφαρμογές, που δεν διανέμονται στους καταναλωτές.</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Άλλα πλαστικά προϊόντα μιας χρήσης που προβλέπονται στο άρθρο 8, παράγραφος 3, σχετικά με τη διευρυμένη ευθύνη του παραγωγού</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Προϊόντα καπνού με φίλτρο και φίλτρα που κυκλοφορούν στο εμπόριο για χρήση σε συνδυασμό με προϊόντα καπνού.</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ΜΕΡΟΣ ΣΤ</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Πλαστικά προϊόντα μιας χρήσης που καλύπτονται από το άρθρο 9 σχετικά με τη χωριστή συλλογή και το άρθρο 6, παράγραφος 2 σχετικά με τις απαιτήσεις του προϊόντος</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Φιάλες ποτών με χωρητικότητα έως και τριών λίτρων συμπεριλαμβανομένων των καπακιών και των καλυμμάτων τους, αλλά όχι:</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α) γυάλινοι ή μεταλλικοί περιέκτες ποτών που έχουν καπάκια και καλύμματα από πλαστικό˙</w:t>
      </w:r>
    </w:p>
    <w:p w14:paraId="7DFFBF5A" w14:textId="77777777" w:rsidR="007104F8" w:rsidRPr="00921594" w:rsidRDefault="007104F8" w:rsidP="007104F8">
      <w:pPr>
        <w:autoSpaceDE w:val="0"/>
        <w:autoSpaceDN w:val="0"/>
        <w:adjustRightInd w:val="0"/>
        <w:spacing w:after="0" w:line="240" w:lineRule="auto"/>
        <w:rPr>
          <w:rFonts w:cs="TimesNewRoman"/>
          <w:spacing w:val="-4"/>
          <w:sz w:val="24"/>
          <w:szCs w:val="24"/>
        </w:rPr>
      </w:pPr>
      <w:r w:rsidRPr="00921594">
        <w:rPr>
          <w:spacing w:val="-4"/>
          <w:sz w:val="24"/>
          <w:szCs w:val="24"/>
        </w:rPr>
        <w:t>β) φιάλες ποτών που προορίζονται και χρησιμοποιούνται για τρόφιμα σε υγρή μορφή για ειδικούς ιατρικούς σκοπούς, όπως ορίζεται στο άρθρο 2 στοιχείο ζ) του κανονισμού (ΕΕ) αριθ. 609/2013.</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ΜΕΡΟΣ Ζ</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Πλαστικά προϊόντα μιας χρήσης που καλύπτονται από το άρθρο 10 σχετικά με τα μέτρα ευαισθητοποίησης</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Περιέκτες τροφίμων, δηλαδή δοχεία όπως κουτιά, με ή χωρίς κάλυμμα, εντός των οποίων τοποθετούνται τρόφιμα τα οποία:</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α) προορίζονται για άμεση κατανάλωση είτε επιτόπου είτε εκτός του καταστήματος,</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β) συνήθως καταναλώνονται από το δοχείο, και</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γ) είναι έτοιμα για κατανάλωση χωρίς περαιτέρω προετοιμασία, π.χ. μαγείρεμα, βράσιμο ή ζέσταμα,</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συμπεριλαμβανομένων των περιεκτών που χρησιμοποιούνται για γεύματα ταχυφαγείων ή άλλα γεύματα έτοιμα προς άμεση κατανάλωση, εκτός από περιέκτες ποτών, πιάτα και πακέτα και περιτυλίγματα που περιέχουν τρόφιμα˙</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Πακέτα και περιτυλίγματα από εύκαμπτο υλικό που περιέχουν τρόφιμα τα οποία προορίζονται για άμεση κατανάλωση από το πακέτο ή από το περιτύλιγμα χωρίς καμία περαιτέρω προετοιμασία˙</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Περιέκτες ποτών με χωρητικότητα έως και τριών λίτρων, δηλαδή δοχεία που χρησιμοποιούνται για υγρά όπως φιάλες ποτών συμπεριλαμβανομένων των καπακιών και των καλυμμάτων τους καθώς και σύνθετες συσκευασίες ποτών συμπεριλαμβανομένων των καπακιών και των καλυμμάτων τους, αλλά όχι γυάλινοι ή μεταλλικοί περιέκτες ποτών που έχουν καπάκια και καλύμματα από πλαστικό˙</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Κυπελλάκια για ποτά και τα καπάκια και καλύμματά τους˙</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Προϊόντα καπνού με φίλτρο και φίλτρα που κυκλοφορούν στο εμπόριο για χρήση σε συνδυασμό με προϊόντα καπνού</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Υγρά μαντηλάκια, δηλαδή προδιαβρεγμένα μαντηλάκια προσωπικής υγιεινής και οικιακής χρήσης˙</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Μπαλόνια, εκτός από μπαλόνια για βιομηχανικές ή άλλες επαγγελματικές χρήσεις και εφαρμογές, που δεν διανέμονται στους καταναλωτές˙</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Λεπτές πλαστικές σακούλες μεταφοράς, όπως ορίζονται στο άρθρο 3 σημείο 1</w:t>
      </w:r>
      <w:r>
        <w:rPr>
          <w:i/>
          <w:sz w:val="24"/>
          <w:szCs w:val="24"/>
        </w:rPr>
        <w:t>γ)</w:t>
      </w:r>
      <w:r>
        <w:rPr>
          <w:sz w:val="24"/>
          <w:szCs w:val="24"/>
        </w:rPr>
        <w:t xml:space="preserve"> της οδηγίας 94/62/ΕΚ˙</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Σερβιέτες υγιεινής και ταμπόν και εφαρμογείς ταμπόν.</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Οδηγία 90/385/ΕΟΚ του Συμβουλίου, της 20ής Ιουνίου 1990, για την προσέγγιση των νομοθεσιών των κρατών μελών σχετικά με τα ενεργά εμφυτεύσιμα ιατρικά βοηθήματα (ΕΕ L 189 της 20.7.1990, σ. 17).</w:t>
      </w:r>
    </w:p>
  </w:footnote>
  <w:footnote w:id="2">
    <w:p w14:paraId="42EC3717" w14:textId="77777777" w:rsidR="007104F8" w:rsidRPr="006227D4" w:rsidRDefault="007104F8" w:rsidP="007104F8">
      <w:pPr>
        <w:pStyle w:val="FootnoteText"/>
      </w:pPr>
      <w:r>
        <w:rPr>
          <w:rStyle w:val="FootnoteReference"/>
        </w:rPr>
        <w:footnoteRef/>
      </w:r>
      <w:r>
        <w:t xml:space="preserve"> </w:t>
      </w:r>
      <w:r>
        <w:t xml:space="preserve">Οδηγία </w:t>
      </w:r>
      <w:r>
        <w:t>93/42/ΕΟΚ του Συμβουλίου της 14ης Ιουνίου 1993 περί των ιατροτεχνολογικών προϊόντων (ΕΕ L 169 της 12.7.1993, σ. 1).</w:t>
      </w:r>
    </w:p>
  </w:footnote>
  <w:footnote w:id="3">
    <w:p w14:paraId="7B0A379B" w14:textId="77777777" w:rsidR="007104F8" w:rsidRPr="006227D4" w:rsidRDefault="007104F8" w:rsidP="007104F8">
      <w:pPr>
        <w:pStyle w:val="FootnoteText"/>
      </w:pPr>
      <w:r>
        <w:rPr>
          <w:rStyle w:val="FootnoteReference"/>
        </w:rPr>
        <w:footnoteRef/>
      </w:r>
      <w:r>
        <w:t xml:space="preserve"> </w:t>
      </w:r>
      <w:r>
        <w:t xml:space="preserve">Κανονισμός </w:t>
      </w:r>
      <w:r>
        <w:t>(ΕΕ) αριθ. 609/2013 του Ευρωπαϊκού Κοινοβουλίου και του Συμβουλίου, της 12ης Ιουνίου 2013, για τα τρόφιμα τα οποία προορίζονται για βρέφη και μικρά παιδιά και για τα τρόφιμα που προορίζονται για ειδικούς ιατρικούς σκοπούς, και ως υποκατάστατα του συνόλου του διαιτολογίου για τον έλεγχο του σωματικού βάρους και για την κατάργηση της οδηγίας 92/52/ΕΟΚ του Συμβουλίου, των οδηγιών της Επιτροπής 96/8/ΕΚ, 1999/21/ΕΚ, 2006/125/ΕΚ και 2006/141/ΕΚ, της οδηγίας 2009/39/ΕΚ του Ευρωπαϊκού Κοινοβουλίου και του Συμβουλίου και των κανονισμών της Επιτροπής (ΕΚ) αριθ. 41/2009 και (ΕΚ) αριθ. 953/2009 (ΕΕ L 181 της 29.6.2013, σ.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7104F8"/>
    <w:rsid w:val="00921594"/>
    <w:rsid w:val="00A613C2"/>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el-GR"/>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4176</Words>
  <Characters>23809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2020-08-12T09:06:00Z</dcterms:modified>
</cp:coreProperties>
</file>