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LV- ------ 20200812 --- --- PROJET</w:t>
      </w:r>
    </w:p>
    <w:p w14:paraId="5AB4C723" w14:textId="5E46F097" w:rsidR="007104F8" w:rsidRPr="008E1574" w:rsidRDefault="007104F8" w:rsidP="00206537">
      <w:pPr>
        <w:keepNext/>
        <w:keepLines/>
        <w:jc w:val="center"/>
        <w:rPr>
          <w:b/>
          <w:sz w:val="32"/>
          <w:szCs w:val="32"/>
        </w:rPr>
      </w:pPr>
      <w:r>
        <w:rPr>
          <w:b/>
          <w:sz w:val="32"/>
          <w:szCs w:val="32"/>
        </w:rPr>
        <w:t>Likumprojekts par dažu plastmasas izstrādājumu ietekmes uz vidi samazināšanu</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1. pants. Mērķi</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Šā likuma mērķis ir novērst un samazināt dažu plastmasas izstrādājumu ietekmi uz vidi, jo īpaši uz ūdens vidi, un uz cilvēku veselību, kā arī ar uzņēmējdarbības modeļiem, novatoriskiem un ilgtspējīgiem izstrādājumiem un materiāliem veicināt pāreju uz aprites ekonomiku, tādējādi arī sekmējot efektīvu iekšējā tirgus darbību.</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2. pants. Piemērošanas joma</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Šis likums attiecas uz vienreizlietojamiem plastmasas izstrādājumiem, kas uzskaitīti pielikumā, izstrādājumiem, kuri izgatavoti no oksonoārdāmas plastmasas, un zvejas rīkiem, kas satur plastmasu.</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Tas ir īpašs likums salīdzinājumā ar grozīto 2012. gada 21. marta Likumu par atkritumiem un resursiem (turpmāk tekstā — “2012. gada 21. marta likums”) un grozīto 2017. gada 21. marta Likumu par iepakojumu un izlietoto iepakojumu.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3. pants. Definīcijas</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Šajā likumā: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“zvejas rīku atkritumi” ir jebkuri zvejas rīki, uz kuriem attiecas “atkritumu” definīcija, kas sniegta 2012. gada 21. marta likuma 4. pantā, ieskaitot visas sastāvdaļas, vielas vai atdalītus materiālus, kas ir bijuši daļa no zvejas rīka vai ir bijuši tam piesaistīti, kad tas tika izmests, ieskaitot gadījumus, kad tas tika pamests vai nozaudēts;</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“iepakojums” ir iepakojums grozītā 2017. gada 21. marta Likuma par iepakojumu un izlietoto iepakojumu 3. panta nozīmē;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“zvejas rīks” ir jebkurš priekšmets vai aprīkojuma elements, ko izmanto zivsaimniecībā vai akvakultūrā, lai nomērķētu, sagūstītu vai aizturētu jūras bioloģiskos resursus, vai kas peld pa jūras virsmu un ir izvietots ar mērķi piesaistīt un sagūstīt vai izvilkt šādus bioloģiskos resursus no jūras;</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“pieejamības nodrošināšana tirgū” ir tāda izstrādājuma nodrošināšana, kas paredzēts izplatīšanai, patērēšanai vai izmantošanai Luksemburgas tirgū par maksu vai bez maksas komercdarbības ietvaros;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“laišana tirgū” ir izstrādājuma pirmreizējas pieejamības nodrošināšana Luksemburgas tirgū;</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6) “saskaņotais standarts” ir saskaņots standarts Regulas (ES) Nr. 1025/2012 2. panta 1. punkta c) apakšpunkta nozīmē;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“plastmasa” ir materiāls, kas izgatavots no polimēra, kā definēts Regulas (EK) Nr. 1907/2006 3. panta 5. punktā, kuram var būt pievienotas piedevas vai citas vielas un kas var būt galaprodukta galvenā strukturālā sastāvdaļa, ieskaitot kaučuka gumijas uz polimēru bāzes un bioloģiskas izcelsmes vai bioloģiski noārdāmas plastmasas, neatkarīgi no tā, vai tās ir iegūtas no biomasas vai ir paredzēts, ka tās laika gaitā bioloģiski sadalīsies.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Šajā definīcijā neietilpst dabiskie polimēri, kas nav ķīmiski modificēti;</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“plastmasa, kas bioloģiski sadalās” ir plastmasa, kas var fiziski vai bioloģiski sadalīties tā, ka visbeidzot tā sadalās par oglekļa dioksīdu (CO</w:t>
      </w:r>
      <w:r>
        <w:rPr>
          <w:rFonts w:asciiTheme="minorHAnsi" w:hAnsiTheme="minorHAnsi"/>
          <w:b w:val="0"/>
          <w:sz w:val="24"/>
          <w:szCs w:val="24"/>
          <w:vertAlign w:val="subscript"/>
        </w:rPr>
        <w:t>2</w:t>
      </w:r>
      <w:r>
        <w:rPr>
          <w:rFonts w:asciiTheme="minorHAnsi" w:hAnsiTheme="minorHAnsi"/>
          <w:b w:val="0"/>
          <w:sz w:val="24"/>
          <w:szCs w:val="24"/>
        </w:rPr>
        <w:t>), biomasu un ūdeni, un atbilstīgi Eiropas standartiem, kas piemērojami iepakojumam, ir reģenerējama, kompostējot un anaerobi pārstrādājot;</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“oksonoārdāma plastmasa” ir plastmasas materiāli, kas satur tādas piedevas, kuras oksidācijas rezultātā izraisa plastmasas sadrumstalošanos mikrofragmentos vai ķīmisku sadalīšanos;</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“tabakas izstrādājumi” ir tabakas izstrādājumi grozītā 2006. gada 11. augusta Likuma par tabakas kontroli 2. panta 1. punkta a) apakšpunkta nozīmē;</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“vienreizlietojams plastmasas izstrādājums” ir izstrādājums, kas pilnībā vai daļēji izgatavots no plastmasas un kas nav izstrādāts, izveidots vai laists tirgū kā tāds, kurš savā kalpošanas laikā tiek vairākkārt nogādāts vai apgrozīts, proti, nodots atpakaļ ražotājam atkārtotai uzpildīšanai, vai kas nav izstrādāts, izveidots vai laists tirgū atkārtotai izmantošanai tādam pašam mērķim, kādam tas sākotnēji izstrādāts;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Tiek piemērotas grozītā 2012. gada 21. marta likuma 4. pantā norādītās terminu “atkritumi”, “savākšana”, “atsevišķa savākšana”, “apstrāde”, “izstrādājumu ražotājs” un “ražotāja paplašinātas atbildības shēma” definīcijas.</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4. pants. Patēriņa samazināšana</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Izstrādājumu ražotāji veic pasākumus, kuru rezultātā līdz 2026. gadam ir izmērāms kvantitatīvs pielikuma A daļā uzskaitīto vienreizlietojamo plastmasas izstrādājumu patēriņa samazinājums salīdzinājumā ar 2022. gadu. Šim samazinājumam attiecīgajā laikposmā jābūt vismaz par 20 % salīdzinājumā ar tirgū laistajām vienībām. No 2026. gada 1. janvāra katru gadu jāpanāk samazinājums vismaz par 10 % salīdzinājumā ar iepriekšējā gadā tirgū laistajiem apjomiem. Izstrādājumu ražotājiem šī pienākuma izpilde jāuztic iestādei, kas apstiprināta saskaņā ar 2012. gada 21. marta likuma 19. pantu.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Par vidi atbildīgais ministrs, turpmāk tekstā — “ministrs”, nodrošina to pasākumu koordināciju, kas nepieciešami, lai sasniegtu vērienīgu un noturīgu šā lēmuma pielikuma A daļā uzskaitīto vienreizlietojamo plastmasas izstrādājumu patēriņa samazināšanu saskaņā ar vispārējiem </w:t>
      </w:r>
      <w:r>
        <w:rPr>
          <w:rFonts w:asciiTheme="minorHAnsi" w:hAnsiTheme="minorHAnsi"/>
          <w:b w:val="0"/>
          <w:sz w:val="24"/>
          <w:szCs w:val="24"/>
        </w:rPr>
        <w:lastRenderedPageBreak/>
        <w:t xml:space="preserve">Savienības atkritumu politikas mērķiem, jo​īpaši atkritumu rašanās novēršanu tā, lai izraisītu patēriņa augšupejošo tendenču būtisku maiņu.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Vides pārvalde seko pielikuma A daļā uzskaitīto vienreizlietojamo plastmasas izstrādājumu, kas tiek laisti tirgū, un pieņemto samazināšanas pasākumu uzskaitei.</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Šajā nolūkā pilnvarotā iestāde 2012. gada 21. marta likuma 35. pantā minētā gada pārskata ietvaros paziņo par pielikuma A daļā minēto vienreizlietojamo plastmasas izstrādājumu atjauninātajiem daudzumiem, kas laisti tirgū iepriekšējā gadā.</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5. pants. Laišanas tirgū ierobežošana</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Ir aizliegts laist tirgū pielikuma B daļā uzskaitītos vienreizlietojamos plastmasas izstrādājumus un izstrādājumus, kas ražoti no oksonoārdāmas plastmasas.</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6. pants. Izstrādājumiem piemērojamās prasības</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Pielikuma C daļā uzskaitītos vienreizlietojamos plastmasas izstrādājumus, kuriem ir plastmasas korķi un vāki, drīkst laist tirgū tikai tad, ja to korķi un vāki paliek piestiprināti pie traukiem izstrādājumu paredzētās izmantošanas laikā.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Metāla korķus un vākus ar plastmasas blīvēm neuzskata par izgatavotiem no plastmasas.</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Uz pielikuma F daļā uzskaitītajām dzērienu pudelēm attiecas šādas prasības: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1) no 2025. gada pielikuma F daļā uzskaitītās dzērienu pudeles, kas pārsvarā ir izgatavotas no polietilēntereftalāta (turpmāk tekstā —“PET pudeles”), satur vismaz 25 % pārstrādātas plastmasas, ko aprēķina kā vidējo daudzumu uz visām PET pudelēm, kuras tirgū laidis</w:t>
      </w:r>
      <w:bookmarkStart w:id="1" w:name="_Hlk25242138"/>
      <w:r>
        <w:rPr>
          <w:rFonts w:asciiTheme="minorHAnsi" w:hAnsiTheme="minorHAnsi"/>
          <w:b w:val="0"/>
          <w:sz w:val="24"/>
          <w:szCs w:val="24"/>
        </w:rPr>
        <w:t xml:space="preserve"> attiecīgais ražotājs;</w:t>
      </w:r>
      <w:bookmarkEnd w:id="1"/>
      <w:r>
        <w:rPr>
          <w:rFonts w:asciiTheme="minorHAnsi" w:hAnsiTheme="minorHAnsi"/>
          <w:b w:val="0"/>
          <w:sz w:val="24"/>
          <w:szCs w:val="24"/>
        </w:rPr>
        <w:t xml:space="preserve"> un</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no 2030. gada pielikuma F daļā uzskaitītās dzērienu pudeles satur vismaz 30 % pārstrādātas plastmasas, ko aprēķina kā vidējo daudzumu uz visām minētajām dzērienu pudelēm, kuras tirgū laidis attiecīgais ražotājs.</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Šajā nolūkā iestāde, kas pilnvarota saskaņā ar 2012. gada 21. marta likuma 19. pantu, tā paša likuma 35. pantā minētā gada pārskata ietvaros ziņo, kāds ir iepriekšējā gadā tirgū laisto PET pudeļu daudzums un vidējais no šīm pudelēm iegūtais pārstrādātās plastmasas daudzums procentos. Tā kā Eiropas Savienība nav pieņēmusi īstenošanas tiesību aktu, mērķu aprēķināšanas un pārbaudes metodes nosaka Vides pārvalde.</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 xml:space="preserve">7. pants. Prasības attiecībā uz marķēšanu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Uz visiem tirgū laistajiem vienreizlietojamajiem plastmasas izstrādājumiem, kas uzskaitīti pielikuma D daļā, jābūt redzamiem, skaidri salasāmiem un neizdzēšamiem marķējumiem, kas piestiprināti uz tā iesaiņojuma vai paša izstrādājuma, informējot patērētājus par:</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atbilstošiem šī izstrādājuma radīto atkritumu apsaimniekošanas risinājumiem vai likvidēšanas līdzekļiem, no kuriem saistībā ar šo izstrādājumu saskaņā ar atkritumu hierarhiju ir jāizvairās; un</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plastmasas klātbūtni izstrādājumā un kaitīgo ietekmi uz vidi, ko rada nelikumīga atbrīvošanās vai citi neatbilstoši līdzekļi saistībā ar šo izstrādājumu radušos atkritumu iznīcināšanu.</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Šā panta noteikumi par tabakas izstrādājumiem ir papildinājums noteikumiem, kas paredzēti grozītajā 2006. gada 11. augusta Likumā par tabakas kontroli.</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8. pants. Ražotāju paplašinātā atbildība</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Attiecībā uz visiem pielikuma E daļā uzskaitītajiem vienreizlietojamiem plastmasas izstrādājumiem un plastmasu saturošiem zvejas rīkiem saskaņā ar 2012. gada 21. marta likuma attiecīgajiem noteikumiem ir noteiktas ražotāja paplašinātas atbildības shēmas.</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Pielikuma E daļas I iedaļā uzskaitīto vienreizlietojamo plastmasas izstrādājumu ražotāji sedz izmaksas saskaņā ar noteikumiem par ražotāja paplašinātu atbildību, kas ietverti 2012. gada 21. marta likumā un 2017. gada 21. marta likumā, kurš attiecas uz iepakojumu un izlietoto iepakojumu, un, ciktāl tie vēl nav iekļauti, sedz šādas izmaksas: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izmaksas, kas saistītas ar šā likuma 10. pantā minētajiem izpratnes veidošanas pasākumiem par šiem izstrādājumiem;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izmaksas par to šo izstrādājumu radīto atkritumu savākšanu, kas tiek nodoti valsts savākšanas sistēmām, ieskaitot tos, kuri saistīti ar infrastruktūru un to darbību, kā arī par šādu atkritumu pārvadāšanu un turpmāko apstrādi; un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šo izstrādājumu radīto atkritumu savākšanas, kā arī šādu atkritumu pārvadāšanas un turpmākās apstrādes izmaksas.</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Pielikuma E daļas II </w:t>
      </w:r>
      <w:bookmarkEnd w:id="2"/>
      <w:r>
        <w:rPr>
          <w:rFonts w:asciiTheme="minorHAnsi" w:hAnsiTheme="minorHAnsi"/>
          <w:b w:val="0"/>
          <w:sz w:val="24"/>
          <w:szCs w:val="24"/>
        </w:rPr>
        <w:t>un III iedaļā uzskaitīto vienreizlietojamo plastmasas izstrādājumu ražotāji sedz vismaz šādas izmaksas</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izmaksas, kas saistītas ar šā likuma 10. pantā minētajiem izpratnes veidošanas pasākumiem saistībā ar šiem izstrādājumiem;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šo izstrādājumu radīto atkritumu savākšanas, kā arī šādu atkritumu pārvadāšanas un turpmākās apstrādes izmaksas; un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3) datu vākšanas un to paziņošanas izmaksas saskaņā ar 2012. gada 21. marta likuma 19. pantu. </w:t>
      </w:r>
    </w:p>
    <w:p w14:paraId="023DC410" w14:textId="77777777" w:rsidR="007104F8" w:rsidRPr="00AE1FF9"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AE1FF9">
        <w:rPr>
          <w:rFonts w:asciiTheme="minorHAnsi" w:hAnsiTheme="minorHAnsi"/>
          <w:b w:val="0"/>
          <w:spacing w:val="-4"/>
          <w:sz w:val="24"/>
          <w:szCs w:val="24"/>
        </w:rPr>
        <w:t>Attiecībā uz pielikuma E daļas III iedaļā uzskaitītajiem vienreizlietojamiem plastmasas izstrādājumiem šo izstrādājumu ražotāji sedz arī izmaksas par šo izstrādājumu radīto atkritumu savākšanu, kuri tiek nodoti publiskajām savākšanas sistēmām, ieskaitot tos, kas saistīti ar infrastruktūru un to darbību, kā arī šādu atkritumu pārvadāšanu un turpmāko apstrādi. Izmaksās ietilpst īpašas infrastruktūras izveidošana šo izstrādājumu radīto atkritumu savākšanai, piemēram, piemērotas tvertnes vietās, kur atkritumus visbiežāk izmet.</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E daļas III iedaļā uzskaitīto vienreizlietojamo plastmasas izstrādājumu ražotājiem jāveic nepieciešamie pasākumi, lai novērstu šo izstrādājumu pamešanu, izmešanu un nekontrolētu apsaimniekošanu, kad tie ir kļuvuši par atkritumiem.</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No 2024. gada 1. janvāra katru gadu ir jāpanāk samazinājums vismaz par 10 % salīdzinājumā ar iepriekšējā gadā izmesto daudzumu. Kompetentā iestāde izveido un publicē metodoloģiju izmestā daudzuma kvantitatīvai noteikšanai un samazinājuma pārbaudei.</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Šā panta 2. un 3. punktā paredzētās izmaksas, kas jāsedz, nepārsniedz izmaksas, kuras vajadzīgas šajos punktos minēto pakalpojumu sniegšanai rentablā veidā, un tās pārredzami sadala starp iesaistītajiem dalībniekiem. Atkritumu savākšanas izmaksas aprēķina tikai par tām darbībām, ko veic valsts iestādes vai kas tiek veiktas to uzdevumā. Aprēķina metodi izstrādā tā, lai atkritumu savākšanas izmaksas varētu noteikt proporcionāli. Lai samazinātu administratīvās izmaksas, nosakot atbilstīgas fiksētas summas vairākiem gadiem uz priekšu, var paredzēt finansiālu ieguldījumu atkritumu savākšanas izmaksās.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Tiem izstrādājumu ražotājiem, kas reģistrēti kādā citā Eiropas Savienības dalībvalstī un kas laiž produktus Luksemburgas tirgū, ir atļauts iecelt valsts teritorijā vai citā dalībvalstī reģistrētu fizisku vai juridisku personu par pārstāvi, kurš atbild par ražotāja saistību izpildi atbilstīgi ražotāja paplašinātas atbildības shēmām.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Jebkuram ražotājam, kas reģistrēts Luksemburgas Lielhercogistē un kurš pārdod pielikuma E daļā uzskaitītos vienreizlietojamos plastmasas izstrādājumus, kā arī plastmasu saturošus zvejas rīkus citā Eiropas Savienības dalībvalstī, kurā viņš nav reģistrēts, ir jāieceļ pārstāvis šajā citā Eiropas Savienības dalībvalstī. Pārstāvis ir persona, kas ir atbildīga par to saistību izpildi, kuras šim ražotājam saskaņā ar šo likumu ir jāpilda šīs citas Eiropas Savienības dalībvalsts teritorijā.</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Attiecībā uz ražotāju paplašinātas atbildības shēmām saistībā ar plastmasu saturošiem zvejas rīkiem plastmasu saturošu zvejas rīku ražotājiem jāsedz izmaksas par plastmasu saturošu zvejas rīku radītu atkritumu dalītu savākšanu, ja tos savāc noteiktas savākšanas sistēmas ietvaros, kā arī jāsedz to pārvadāšanas un turpmākās apstrādes izmaksas.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Ražotāji sedz arī šā likuma 10. pantā minēto izpratnes veidošanas par plastmasu saturošiem zvejas rīkiem pasākumu izmaksas.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9. pants. Atsevišķa savākšana</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Pārstrādei atsevišķi savāktu pielikuma F daļā uzskaitīto vienreizlietojamo plastmasas izstrādājumu atkritumu daudzumam jāatbilst: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vēlākais līdz 2025. gadam </w:t>
      </w:r>
      <w:bookmarkStart w:id="4" w:name="_Hlk25246527"/>
      <w:r>
        <w:rPr>
          <w:rFonts w:asciiTheme="minorHAnsi" w:hAnsiTheme="minorHAnsi"/>
          <w:b w:val="0"/>
          <w:sz w:val="24"/>
          <w:szCs w:val="24"/>
        </w:rPr>
        <w:t> — līdz 77 % no visu šo produktu atkritumu apjoma svara, kas radies attiecīgajā gadā, ieskaitot nelikumīgi izmestos atkritumus</w:t>
      </w:r>
      <w:bookmarkEnd w:id="4"/>
      <w:r>
        <w:rPr>
          <w:rFonts w:asciiTheme="minorHAnsi" w:hAnsiTheme="minorHAnsi"/>
          <w:b w:val="0"/>
          <w:sz w:val="24"/>
          <w:szCs w:val="24"/>
        </w:rPr>
        <w:t xml:space="preserve">; </w:t>
      </w:r>
    </w:p>
    <w:p w14:paraId="39395F5D" w14:textId="318B301E" w:rsidR="007104F8" w:rsidRPr="008E1574" w:rsidRDefault="00BD61CD"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vēlākais līdz 2029. gadam</w:t>
      </w:r>
      <w:r w:rsidR="007104F8">
        <w:rPr>
          <w:rFonts w:asciiTheme="minorHAnsi" w:hAnsiTheme="minorHAnsi"/>
          <w:b w:val="0"/>
          <w:sz w:val="24"/>
          <w:szCs w:val="24"/>
        </w:rPr>
        <w:t> — līdz 90 % no visu šo produktu atkritumu apjoma svara, kas radies attiecīgajā gadā, ieskaitot nelikumīgi izmestos atkritumus.</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10. pants. Izpratnes veidošanas pasākumi</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Vides pārvalde un Ūdenssaimniecības pārvalde katra savā atbildības jomā nodrošina, lai patērētāji tiktu informēti un mudināti pāriet uz atbildīgiem patēriņa ieradumiem, lai samazinātu to atkritumu daudzumu, kuru rada izstrādājumi, uz kuriem attiecas šis likums, un nodrošina, lai pielikuma G daļā uzskaitīto vienreizlietojamo plastmasas izstrādājumu un plastmasu saturošu zvejas rīku izmantotājiem tiktu sniegta šāda informācija: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par atkārtoti izmantojamu alternatīvu izstrādājumu, atkārtotas izmantošanas sistēmu un atkritumu apsaimniekošanas risinājumu pieejamību saistībā ar šiem vienreizlietojamajiem plastmasas izstrādājumiem un plastmasu saturošajiem zvejas rīkiem, kā arī par racionālas atkritumu apsaimniekošanas paraugpraksi, kas tiek īstenota saskaņā ar 2012. gada 21. marta likuma 10. pantu;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par vienreizlietojamo plastmasas izstrādājumu un plastmasu saturošo zvejas rīku radīto atkritumu nelikumīgas izmešanas un cita veida neatbilstošas​atkritumu iznīcināšanas ietekmi uz vidi un jo īpaši uz jūras vidi; un</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par šo vienreizlietojamo plastmasas izstrādājumu nepareizas iznīcināšanas ietekmi uz kanalizācijas sistēmu.</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11. pants. Pasākumu koordinēšana</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Neskarot 4. panta 1. punkta 1. daļu, šā likuma ietvaros veiktie pasākumi ir neatņemama to pasākumu programmu sastāvdaļa, kuras izveidotas saskaņā ar grozīto 2008. gada 19. decembra Likumu par ūdeni un atkritumu apsaimniekošanas plāniem, kā arī to atkritumu rašanās novēršanas pasākumu programmu sastāvdaļa, kas izveidotas saskaņā ar 2012. gada 21. marta likumu, un tiem jābūt saskaņotiem ar šajās programmās ietvertajiem pasākumiem.</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Šā likuma 4. līdz 9. pantā minētajiem pasākumiem jābūt saskaņā ar noteikumiem, kas attiecas uz pārtikas produktiem, lai nodrošinātu, ka netiek apdraudēta pārtikas higiēna un pārtikas nekaitīgums.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lastRenderedPageBreak/>
        <w:t>Vides pārvalde un Veselības departaments katrs savā atbildības jomā sekmē ilgtspējīgu, vienreizlietojamai plastmasai alternatīvu risinājumu izmantošanas veicināšanu izstrādājumos, kas paredzēti saskarei ar pārtiku.</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12. pants. Specifikācijas un norādījumi saistībā ar vienreizlietojamiem plastmasas izstrādājumiem</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Lai noteiktu, vai trauks pārtikai šā likuma nozīmē būtu uzskatāms par vienreizlietojamu plastmasas izstrādājumu, papildus kritērijiem, kas attiecībā uz traukiem pārtikai uzskaitīti pielikumā, izšķiroša loma ir trauka iespējai kļūt par nelikumīgi izmestu atkritumu sava tilpuma vai izmēra dēļ, it īpaši atsevišķām porcijām paredzētu trauku gadījumā.</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13. pants. Administratīvie pasākumi</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Ja netiek ievēroti šā likuma 5. panta, 6. panta 1. punkta un 2. punkta 1. un 2 apakšpunkta, 7. un 9. panta noteikumi, ministrs var: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ražotājam vai pilnvarotajai iestādei noteikt termiņu, kurā pēdējam jāievēro šie noteikumi un kurš nedrīkst pārsniegt divus gadus;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pilnībā vai daļēji apturēt ražotāja darbību vai uzņēmuma darbību kā pagaidu pasākumu vai pilnībā vai daļēji slēgt uzņēmumu un to noplombēt.</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Šā panta 1. punktā minēto pasākumu piemērošanu var pieprasīt jebkura ieinteresētā persona.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Šā panta 1. punktā uzskaitītos pasākumus atceļ, kad ražotājs vai apstiprinātā iestāde ir nodrošinājusi atbilstību.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14. pants. Īpaši noteikumi</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Tiek piemēroti šādi 2012. gada 21. marta likuma noteikumi:</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44., 45. un 46. pants par pārkāpumu izmeklēšanu un konstatēšanu, kontroles pilnvarām un kontroles prerogatīvām; un</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50. panta 2. punkts par pilnvaroto vides apvienību tiesībām vērsties tiesā.</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15. pants. Pielikums</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Pielikumu var grozīt ar Lielhercogistes regulējumu, lai pielāgotu to izmaiņām Eiropas Savienības tiesību aktos šajā jomā.</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16. pants. Soda sankcijas</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Par 5. panta, 6. panta 1. punkta pirmās daļas un 2. punkta 1. un 2. apakšpunkta, 7. panta 1. punkta, 8. panta 4. punkta un 9. panta pārkāpumiem piemēro cietumsodu no astoņām dienām līdz trīs gadiem un naudas sodu no 251 EUR līdz 750 000 EUR vai tikai vienu no šiem sodiem.</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Tādas pašas sankcijas piemēro par administratīvo pasākumu, kas veikti saskaņā ar 13. pantu, kavēšanu vai neievērošanu.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17. pants. Administratīvie sodi</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Par 4. panta 4. punkta un 6. panta 2. punkta otrās daļas pārkāpumiem ministrs var piemērot administratīvu naudas sodu no 250 līdz 10 000 EUR apmērā.</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Naudas sodi nomaksājami divu mēnešu laikā pēc rakstiskā lēmuma paziņošanas.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Administratīvos naudas sodus iekasē Reģistrācijas, īpašumu un PVN pārvalde. Iekasēšana tiek veikta tāpat kā reģistrācijas maksas iekasēšana.</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18. pants. Pārsūdzības kārtība</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Pret lēmumiem, kas pieņemti, pamatojoties uz šo likumu, Administratīvajā tiesā var iesniegt pārsūdzības prasību. Lai izvairītos no tiesību zaudēšanas, šī prasība jāiesniedz 40 dienu laikā pēc lēmuma paziņošanas.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19. pants. Stāšanās spēkā</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Šis likums stājas spēkā 2021. gada 3. jūlijā.</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Tomēr 6. panta 1. punkta noteikumi stājas spēkā tikai 2024. gada 3. jūlijā un 8. panta noteikumi stājas spēkā 2026. gada 31. decembrī, izņemot pielikuma E daļas III iedaļā uzskaitītos vienreizlietojamos plastmasas izstrādājumus, attiecībā uz kuriem noteikumi stājas spēkā 2023. gada 5. janvārī.</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lastRenderedPageBreak/>
        <w:t>Pielikums</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A DAĻA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4. pantā par patēriņa samazināšanu minētie vienreizlietojamie plastmasas izstrādājumi</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Dzērienu glāzes, ieskaitot to aizvākojumus un vākus;</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pārtikas trauki, t. i., tādi trauki kā, piemēram, kārbas, ar vai bez aizvēršanas līdzekļiem, kuras izmanto tādas pārtikas uzglabāšanai:</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kas ir paredzēta tūlītējam patēriņam vai nu uz vietas, vai arī līdzņemšanai;</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 parasti ēd no šī trauka, un</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kas ir gatava ēšanai bez papildu gatavošanas, piemēram, cepot, vārot vai to uzsildot;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tostarp trauki pārtikai, kurus izmanto ātrās ēdināšanas uzņēmumos, vai citām maltītēm, kas gatavas tūlītējam patēriņam, izņemot dzērienu traukus, šķīvjus un maisiņus un iepakojumus, kuros ir pārtika.</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B DAĻA</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5. pantā par ierobežojumiem laišanai tirgū minētie vienreizlietojamie plastmasas izstrādājumi</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Vates kociņi, izņemot gadījumus, uz kuriem attiecas Padomes Direktīva 90/385/EEK</w:t>
      </w:r>
      <w:r>
        <w:rPr>
          <w:rStyle w:val="FootnoteReference"/>
          <w:rFonts w:cs="TimesNewRoman"/>
          <w:sz w:val="24"/>
          <w:szCs w:val="24"/>
          <w:lang w:val="fr-LU" w:eastAsia="fr-BE"/>
        </w:rPr>
        <w:footnoteReference w:id="1"/>
      </w:r>
      <w:r>
        <w:rPr>
          <w:sz w:val="24"/>
          <w:szCs w:val="24"/>
        </w:rPr>
        <w:t xml:space="preserve"> vai Padomes Direktīva 93/42/EEK</w:t>
      </w:r>
      <w:r>
        <w:rPr>
          <w:rStyle w:val="FootnoteReference"/>
          <w:rFonts w:cs="TimesNewRoman"/>
          <w:sz w:val="24"/>
          <w:szCs w:val="24"/>
          <w:lang w:val="fr-LU" w:eastAsia="fr-BE"/>
        </w:rPr>
        <w:footnoteReference w:id="2"/>
      </w:r>
      <w:r>
        <w:rPr>
          <w:sz w:val="24"/>
          <w:szCs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galda piederumi (dakšiņas, naži, karotes, irbulīši);</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šķīvji;</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salmiņi, izņemot gadījumus, kad uz tiem attiecas Direktīva 90/385/EEK vai Direktīva 93/42/EEK;</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nūjiņas dzērienu maisīšanai;</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caurulītes, ko paredzēts piestiprināt kā rokturi gaisa baloniem, izņemot tādus gaisa balonus, kurus izmanto rūpnieciskiem vai profesionāliem nolūkiem un kurus neizplata patērētājiem, kā arī šo caurulīšu mehānismi;</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putupolistirola pārtikas trauki, t. i., trauki, piemēram, kārbas, ar vai bez aizvēršanas līdzekļiem, kuras izmanto tādas pārtikas uzglabāšanai:</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kas ir paredzēta tūlītējam patēriņam vai nu uz vietas, vai arī līdzņemšanai;</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 parasti ēd no šī trauka; un</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kas ir gatava ēšanai bez papildu gatavošanas, piemēram, cepot, vārot vai to uzsildot;</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tostarp trauki pārtikai, kurus izmanto ātrās ēdināšanas uzņēmumos, vai citām maltītēm, kas gatavas tūlītējam patēriņam, izņemot dzērienu traukus, šķīvjus un maisiņus un iepakojumus, kuros ir pārtika;</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putupolistirola pārtikas trauki, tostarp to korķi un vāki;</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putupolistirola dzērienu glāzes, ieskaitot to aizvākojumus un vākus.</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C DAĻA</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6. panta 1. punktā par izstrādājumiem piemērojamajām prasībām minētie vienreizlietojamie plastmasas izstrādājumi</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Dzērienu trauki ar tilpumu līdz trim litriem, t. i., tvertnes, kuras izmanto šķidrumu turēšanai, piemēram, dzērienu pudeles un to korķi un vāki, kā arī dzērienu iesaiņojumi, kas sastāv no vairākiem materiāliem, un to korķi un vāki, izņemot:</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stikla vai metāla dzērienu trauki ar plastmasas korķiem un vākiem;</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dzērienu trauki, kas paredzēti un tiek izmantoti pārtikas produktiem, kuri paredzēti īpašiem medicīniskiem nolūkiem Eiropas Parlamenta un Padomes Regulas (ES) Nr. 609/2013</w:t>
      </w:r>
      <w:r>
        <w:rPr>
          <w:rStyle w:val="FootnoteReference"/>
          <w:rFonts w:cs="TimesNewRoman"/>
          <w:sz w:val="24"/>
          <w:szCs w:val="24"/>
          <w:lang w:val="fr-LU" w:eastAsia="fr-BE"/>
        </w:rPr>
        <w:footnoteReference w:id="3"/>
      </w:r>
      <w:r>
        <w:rPr>
          <w:sz w:val="24"/>
          <w:szCs w:val="24"/>
        </w:rPr>
        <w:t xml:space="preserve"> nozīmē un kuri ir šķidrā formā.</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D DAĻA</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7. pantā par marķēšanas prasībām minētie vienreizlietojamie plastmasas izstrādājumi</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Higiēniskās paketes, tamponi un tamponu aplikatori;</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mitrās salvetes, t. i., iepriekš samērcētas salvetes ķermeņa tīrīšanas un mājsaimniecības vajadzībām;</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tabakas izstrādājumi ar filtriem un filtri, ko tirgo izmantošanai kopā ar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tabakas izstrādājumiem;</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dzērienu glāzes.</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E DAĻA</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Likuma 8. pantā par ražotāju paplašinātu atbildību minētie vienreizlietojamie plastmasas izstrādājumi</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pārtikas trauki, t. i., tādi trauki kā, piemēram, kārbas, ar vai bez aizvēršanas līdzekļiem, kuras izmanto tādas pārtikas uzglabāšanai:</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kas ir paredzēta tūlītējam patēriņam vai nu uz vietas, vai arī līdzņemšanai;</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ko parasti ēd no šī trauka; un</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kas ir gatava ēšanai bez papildu gatavošanas, piemēram, cepot, vārot vai to uzsildot;</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tostarp trauki pārtikai, kurus izmanto ātrās ēdināšanas uzņēmumos, vai citām maltītēm, kas gatavas tūlītējam patēriņam, izņemot dzērienu traukus, šķīvjus un maisiņus un iepakojumus, kuros ir pārtika;</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no mīkstiem materiāliem izgatavoti maisiņi un iepakojums, kas paredzēts tūlīt patērējamai pārtikai no maisiņa vai iesaiņojuma bez turpmākas sagatavošanas;</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dzērienu trauki ar tilpumu līdz trim litriem, t. i., tvertnes, kuras izmanto šķidrumu turēšanai, piemēram, dzērienu pudeles un to korķi un vāki, kā arī dzērienu iesaiņojumi, kas sastāv no vairākiem materiāliem, un to korķi un vāki, izņemot stikla vai metāla dzērienu traukus ar plastmasas korķiem un vākiem;</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dzērienu glāzes, ieskaitot to aizvākojumus un vākus;</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vieglie plastmasas maisiņi, kā definēts Direktīvas 94/62/EK 3. panta 1.c punktā.</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Likuma 8. panta 3. punktā par ražotāju paplašinātu atbildību minētie vienreizlietojamie plastmasas izstrādājumi</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mitrās salvetes, t. i., iepriekš samērcētas salvetes ķermeņa tīrīšanas un mājsaimniecības vajadzībām;</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gaisa baloni, izņemot tādus gaisa balonus, ko izmanto rūpnieciskiem vai profesionāliem nolūkiem un ko neizplata patērētājiem.</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Citi likuma 8. panta 3. punktā par ražotāju paplašinātu atbildību minētie vienreizlietojamie plastmasas izstrādājumi</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Tabakas izstrādājumi ar filtriem un filtri, ko tirgo izmantošanai kopā ar tabakas izstrādājumiem.</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F DAĻA</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9. pantā par atsevišķu savākšanu un 6. panta 2. punktā par izstrādājumiem piemērojamajām prasībām minētie vienreizlietojamie plastmasas izstrādājumi</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Dzērienu pudeles ar tilpumu līdz trim litriem, tostarp to korķi un vāki, izņemot:</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stikla vai metāla dzērienu pudeles ar plastmasas korķiem un vākiem;</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dzērienu pudeles, kas paredzētas un tiek izmantotas pārtikas produktiem, kuri paredzēti īpašiem medicīniskiem nolūkiem Regulas (ES) Nr. 609/2013 2. panta 1. punkta g) apakšpunkta nozīmē un kuri ir šķidrā formā.</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G DAĻA</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Likuma 10. pantā par izpratnes veidošanas pasākumiem minētie vienreizlietojamie plastmasas izstrādājumi</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pārtikas trauki, t. i., tādi trauki kā, piemēram, kārbas, ar vai bez aizvēršanas līdzekļiem, kuras izmanto tādas pārtikas uzglabāšanai:</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kas ir paredzēta tūlītējam patēriņam vai nu uz vietas, vai arī līdzņemšanai;</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ko parasti ēd no šī trauka; un</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kas ir gatava ēšanai bez papildu gatavošanas, piemēram, cepot, vārot vai to uzsildot;</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tostarp trauki pārtikai, kurus izmanto ātrās ēdināšanas uzņēmumos, vai citām maltītēm, kas gatavas tūlītējam patēriņam, izņemot dzērienu traukus, šķīvjus un maisiņus un iepakojumus, kuros ir pārtika;</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no mīkstiem materiāliem izgatavoti maisiņi un iepakojums, kas paredzēts tūlīt patērējamai pārtikai no maisiņa vai iesaiņojuma bez turpmākas sagatavošanas;</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dzērienu trauki ar tilpumu līdz trim litriem, t. i., tvertnes, kuras izmanto šķidrumu turēšanai, piemēram, dzērienu pudeles un to korķi un vāki, kā arī dzērienu iesaiņojumi, kas sastāv no vairākiem materiāliem, un to korķi un vāki, izņemot stikla vai metāla dzērienu traukus ar plastmasas korķiem un vākiem;</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dzērienu glāzes, ieskaitot to aizvākojumus un vākus;</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tabakas izstrādājumi ar filtriem un filtri, ko tirgo izmantošanai kopā ar tabakas izstrādājumiem;</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mitrās salvetes, t. i., iepriekš samērcētas salvetes ķermeņa tīrīšanas un mājsaimniecības vajadzībām;</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gaisa baloni, izņemot tādus gaisa balonus, ko izmanto rūpnieciskiem vai profesionāliem nolūkiem un ko neizplata patērētājiem;</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vieglie plastmasas maisiņi, kā definēts Direktīvas 94/62/EK 3. panta 1.c punktā;</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higiēniskās paketes, tamponi un tamponu aplikatori.</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Padomes 1990. gada 20. jūnija Direktīva 90/385/EEK par dalībvalstu tiesību aktu tuvināšanu attiecībā uz implantējamām medicīnas ierīcēm (OV L 189, 20.7.1990., 17. lpp.)</w:t>
      </w:r>
    </w:p>
  </w:footnote>
  <w:footnote w:id="2">
    <w:p w14:paraId="42EC3717" w14:textId="77777777" w:rsidR="007104F8" w:rsidRPr="006227D4" w:rsidRDefault="007104F8" w:rsidP="007104F8">
      <w:pPr>
        <w:pStyle w:val="FootnoteText"/>
      </w:pPr>
      <w:r>
        <w:rPr>
          <w:rStyle w:val="FootnoteReference"/>
        </w:rPr>
        <w:footnoteRef/>
      </w:r>
      <w:r>
        <w:t xml:space="preserve"> Padomes 1993. gada 14. jūnija Direktīva 93/42/EEK par medicīnas ierīcēm (OV L 169, 12.7.1993., 1. lpp.)</w:t>
      </w:r>
    </w:p>
  </w:footnote>
  <w:footnote w:id="3">
    <w:p w14:paraId="7B0A379B" w14:textId="77777777" w:rsidR="007104F8" w:rsidRPr="006227D4" w:rsidRDefault="007104F8" w:rsidP="007104F8">
      <w:pPr>
        <w:pStyle w:val="FootnoteText"/>
      </w:pPr>
      <w:r>
        <w:rPr>
          <w:rStyle w:val="FootnoteReference"/>
        </w:rPr>
        <w:footnoteRef/>
      </w:r>
      <w:r>
        <w:t xml:space="preserve"> Eiropas Parlamenta un Padomes 2013. gada 12. jūnija Regula (ES) Nr. 609/2013 par zīdaiņiem un maziem bērniem paredzētu pārtiku, īpašiem medicīniskiem nolūkiem paredzētu pārtiku un par pilnīgiem uztura aizstājējiem svara kontrolei, un ar ko atceļ Padomes Direktīvu 92/52/EEK, Komisijas Direktīvas 96/8/EK, 1999/21/EK, 2006/125/EK un 2006/141/EK, Eiropas Parlamenta un Padomes Direktīvu 2009/39/EK un Komisijas Regulas (EK) Nr. 41/2009 un (EK) Nr. 953/2009 (OV L 181, 29.6.2013., 35.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A613C2"/>
    <w:rsid w:val="00AE1FF9"/>
    <w:rsid w:val="00BD61CD"/>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lv-LV"/>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3724</Words>
  <Characters>21228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4</cp:revision>
  <dcterms:created xsi:type="dcterms:W3CDTF">2020-07-29T07:14:00Z</dcterms:created>
  <dcterms:modified xsi:type="dcterms:W3CDTF">2020-08-13T07:34:00Z</dcterms:modified>
</cp:coreProperties>
</file>