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5C06C" w14:textId="7944446A" w:rsidR="00E16AF7" w:rsidRPr="006E4EB6" w:rsidRDefault="00E16AF7" w:rsidP="00E16AF7">
      <w:pPr>
        <w:jc w:val="center"/>
        <w:rPr>
          <w:sz w:val="20"/>
          <w:rFonts w:ascii="Courier New" w:hAnsi="Courier New"/>
        </w:rPr>
      </w:pPr>
      <w:r>
        <w:rPr>
          <w:sz w:val="20"/>
          <w:rFonts w:ascii="Courier New" w:hAnsi="Courier New"/>
        </w:rPr>
        <w:t xml:space="preserve">1.</w:t>
      </w:r>
      <w:r>
        <w:rPr>
          <w:sz w:val="20"/>
          <w:rFonts w:ascii="Courier New" w:hAnsi="Courier New"/>
        </w:rPr>
        <w:t xml:space="preserve"> </w:t>
      </w:r>
      <w:r>
        <w:rPr>
          <w:sz w:val="20"/>
          <w:rFonts w:ascii="Courier New" w:hAnsi="Courier New"/>
        </w:rPr>
        <w:t xml:space="preserve">------IND- 2021 0018 F-- SL- ------ 20210121 --- --- PROJET</w:t>
      </w:r>
    </w:p>
    <w:bookmarkEnd w:id="0"/>
    <w:p w14:paraId="488568CD" w14:textId="77777777" w:rsidR="00FF5321" w:rsidRPr="003277B4" w:rsidRDefault="00FF5321">
      <w:pPr>
        <w:jc w:val="center"/>
        <w:rPr>
          <w:b/>
          <w:lang w:eastAsia="en-US"/>
        </w:rPr>
      </w:pPr>
    </w:p>
    <w:tbl>
      <w:tblPr>
        <w:tblW w:w="3982" w:type="dxa"/>
        <w:tblInd w:w="-10" w:type="dxa"/>
        <w:tblCellMar>
          <w:left w:w="10" w:type="dxa"/>
          <w:right w:w="10" w:type="dxa"/>
        </w:tblCellMar>
        <w:tblLook w:val="04A0" w:firstRow="1" w:lastRow="0" w:firstColumn="1" w:lastColumn="0" w:noHBand="0" w:noVBand="1"/>
      </w:tblPr>
      <w:tblGrid>
        <w:gridCol w:w="1327"/>
        <w:gridCol w:w="1327"/>
        <w:gridCol w:w="1328"/>
      </w:tblGrid>
      <w:tr w:rsidR="00ED40B5" w:rsidRPr="003277B4" w14:paraId="267BF435" w14:textId="77777777" w:rsidTr="00ED40B5">
        <w:trPr>
          <w:cantSplit/>
        </w:trPr>
        <w:tc>
          <w:tcPr>
            <w:tcW w:w="3982" w:type="dxa"/>
            <w:gridSpan w:val="3"/>
            <w:shd w:val="clear" w:color="auto" w:fill="auto"/>
          </w:tcPr>
          <w:p w14:paraId="794D5327" w14:textId="614E656C" w:rsidR="00ED40B5" w:rsidRPr="003277B4" w:rsidRDefault="00ED40B5" w:rsidP="00ED40B5">
            <w:pPr>
              <w:jc w:val="center"/>
            </w:pPr>
            <w:r>
              <w:rPr>
                <w:b/>
                <w:bCs/>
                <w:szCs w:val="20"/>
              </w:rPr>
              <w:t xml:space="preserve">FRANCOSKA REPUBLIKA</w:t>
            </w:r>
          </w:p>
        </w:tc>
      </w:tr>
      <w:tr w:rsidR="00ED40B5" w:rsidRPr="003277B4" w14:paraId="568A962C" w14:textId="77777777" w:rsidTr="00ED40B5">
        <w:trPr>
          <w:cantSplit/>
          <w:trHeight w:hRule="exact" w:val="113"/>
        </w:trPr>
        <w:tc>
          <w:tcPr>
            <w:tcW w:w="1327" w:type="dxa"/>
            <w:shd w:val="clear" w:color="auto" w:fill="auto"/>
          </w:tcPr>
          <w:p w14:paraId="4072B545" w14:textId="77777777" w:rsidR="00ED40B5" w:rsidRPr="003277B4" w:rsidRDefault="00ED40B5">
            <w:pPr>
              <w:suppressAutoHyphens w:val="0"/>
              <w:rPr>
                <w:rFonts w:ascii="Calibri, 'Times New Roman'" w:eastAsia="Calibri, 'Times New Roman'" w:hAnsi="Calibri, 'Times New Roman'" w:cs="Calibri, 'Times New Roman'"/>
                <w:b/>
                <w:bCs/>
                <w:sz w:val="20"/>
                <w:szCs w:val="20"/>
                <w:lang w:eastAsia="fr-FR"/>
              </w:rPr>
            </w:pPr>
          </w:p>
        </w:tc>
        <w:tc>
          <w:tcPr>
            <w:tcW w:w="1327" w:type="dxa"/>
            <w:tcBorders>
              <w:bottom w:val="single" w:sz="4" w:space="0" w:color="auto"/>
            </w:tcBorders>
            <w:shd w:val="clear" w:color="auto" w:fill="auto"/>
          </w:tcPr>
          <w:p w14:paraId="0BA0E313" w14:textId="77777777" w:rsidR="00ED40B5" w:rsidRPr="003277B4" w:rsidRDefault="00ED40B5">
            <w:pPr>
              <w:suppressAutoHyphens w:val="0"/>
              <w:rPr>
                <w:rFonts w:ascii="Calibri, 'Times New Roman'" w:eastAsia="Calibri, 'Times New Roman'" w:hAnsi="Calibri, 'Times New Roman'" w:cs="Calibri, 'Times New Roman'"/>
                <w:b/>
                <w:bCs/>
                <w:sz w:val="20"/>
                <w:szCs w:val="20"/>
                <w:lang w:eastAsia="fr-FR"/>
              </w:rPr>
            </w:pPr>
          </w:p>
        </w:tc>
        <w:tc>
          <w:tcPr>
            <w:tcW w:w="1328" w:type="dxa"/>
            <w:shd w:val="clear" w:color="auto" w:fill="auto"/>
          </w:tcPr>
          <w:p w14:paraId="4CA44F7F" w14:textId="05023332" w:rsidR="00ED40B5" w:rsidRPr="003277B4" w:rsidRDefault="00ED40B5">
            <w:pPr>
              <w:suppressAutoHyphens w:val="0"/>
              <w:rPr>
                <w:rFonts w:ascii="Calibri, 'Times New Roman'" w:eastAsia="Calibri, 'Times New Roman'" w:hAnsi="Calibri, 'Times New Roman'" w:cs="Calibri, 'Times New Roman'"/>
                <w:b/>
                <w:bCs/>
                <w:sz w:val="20"/>
                <w:szCs w:val="20"/>
                <w:lang w:eastAsia="fr-FR"/>
              </w:rPr>
            </w:pPr>
          </w:p>
        </w:tc>
      </w:tr>
      <w:tr w:rsidR="00ED40B5" w:rsidRPr="003277B4" w14:paraId="7FB5FAB3" w14:textId="77777777" w:rsidTr="00ED40B5">
        <w:trPr>
          <w:cantSplit/>
        </w:trPr>
        <w:tc>
          <w:tcPr>
            <w:tcW w:w="3982" w:type="dxa"/>
            <w:gridSpan w:val="3"/>
            <w:shd w:val="clear" w:color="auto" w:fill="auto"/>
          </w:tcPr>
          <w:p w14:paraId="021877BB" w14:textId="460E75B2" w:rsidR="00ED40B5" w:rsidRPr="003277B4" w:rsidRDefault="00ED40B5" w:rsidP="00ED40B5">
            <w:pPr>
              <w:suppressAutoHyphens w:val="0"/>
              <w:spacing w:before="240"/>
              <w:jc w:val="center"/>
            </w:pPr>
            <w:r>
              <w:t xml:space="preserve">Ministrstvo za ekološko preoblikovanje</w:t>
            </w:r>
            <w:r>
              <w:t xml:space="preserve"> </w:t>
            </w:r>
          </w:p>
        </w:tc>
      </w:tr>
      <w:tr w:rsidR="00ED40B5" w:rsidRPr="003277B4" w14:paraId="72B7B2D9" w14:textId="77777777" w:rsidTr="00ED40B5">
        <w:trPr>
          <w:cantSplit/>
          <w:trHeight w:hRule="exact" w:val="227"/>
        </w:trPr>
        <w:tc>
          <w:tcPr>
            <w:tcW w:w="1327" w:type="dxa"/>
            <w:shd w:val="clear" w:color="auto" w:fill="auto"/>
          </w:tcPr>
          <w:p w14:paraId="10AEB7F1" w14:textId="77777777" w:rsidR="00ED40B5" w:rsidRPr="003277B4" w:rsidRDefault="00ED40B5">
            <w:pPr>
              <w:suppressAutoHyphens w:val="0"/>
              <w:rPr>
                <w:rFonts w:ascii="Calibri, 'Times New Roman'" w:eastAsia="Calibri, 'Times New Roman'" w:hAnsi="Calibri, 'Times New Roman'" w:cs="Calibri, 'Times New Roman'"/>
                <w:sz w:val="20"/>
                <w:szCs w:val="20"/>
                <w:lang w:eastAsia="fr-FR"/>
              </w:rPr>
            </w:pPr>
          </w:p>
        </w:tc>
        <w:tc>
          <w:tcPr>
            <w:tcW w:w="1327" w:type="dxa"/>
            <w:tcBorders>
              <w:bottom w:val="single" w:sz="4" w:space="0" w:color="auto"/>
            </w:tcBorders>
            <w:shd w:val="clear" w:color="auto" w:fill="auto"/>
          </w:tcPr>
          <w:p w14:paraId="19D3400A" w14:textId="77777777" w:rsidR="00ED40B5" w:rsidRPr="003277B4" w:rsidRDefault="00ED40B5">
            <w:pPr>
              <w:suppressAutoHyphens w:val="0"/>
              <w:rPr>
                <w:rFonts w:ascii="Calibri, 'Times New Roman'" w:eastAsia="Calibri, 'Times New Roman'" w:hAnsi="Calibri, 'Times New Roman'" w:cs="Calibri, 'Times New Roman'"/>
                <w:sz w:val="20"/>
                <w:szCs w:val="20"/>
                <w:lang w:eastAsia="fr-FR"/>
              </w:rPr>
            </w:pPr>
          </w:p>
        </w:tc>
        <w:tc>
          <w:tcPr>
            <w:tcW w:w="1328" w:type="dxa"/>
            <w:shd w:val="clear" w:color="auto" w:fill="auto"/>
          </w:tcPr>
          <w:p w14:paraId="0794CE36" w14:textId="7B193261" w:rsidR="00ED40B5" w:rsidRPr="003277B4" w:rsidRDefault="00ED40B5">
            <w:pPr>
              <w:suppressAutoHyphens w:val="0"/>
              <w:rPr>
                <w:rFonts w:ascii="Calibri, 'Times New Roman'" w:eastAsia="Calibri, 'Times New Roman'" w:hAnsi="Calibri, 'Times New Roman'" w:cs="Calibri, 'Times New Roman'"/>
                <w:sz w:val="20"/>
                <w:szCs w:val="20"/>
                <w:lang w:eastAsia="fr-FR"/>
              </w:rPr>
            </w:pPr>
          </w:p>
        </w:tc>
      </w:tr>
    </w:tbl>
    <w:p w14:paraId="2A3D47A3" w14:textId="77777777" w:rsidR="00FF5321" w:rsidRPr="003277B4" w:rsidRDefault="00FF5321">
      <w:pPr>
        <w:jc w:val="center"/>
        <w:rPr>
          <w:b/>
          <w:lang w:eastAsia="en-US"/>
        </w:rPr>
      </w:pPr>
    </w:p>
    <w:p w14:paraId="0BF1F955" w14:textId="77777777" w:rsidR="00FF5321" w:rsidRPr="003277B4" w:rsidRDefault="0078133A">
      <w:pPr>
        <w:jc w:val="center"/>
        <w:rPr>
          <w:b/>
        </w:rPr>
      </w:pPr>
      <w:r>
        <w:rPr>
          <w:b/>
        </w:rPr>
        <w:t xml:space="preserve">Osnutek uredbe</w:t>
      </w:r>
    </w:p>
    <w:p w14:paraId="5CF6DF6F" w14:textId="77777777" w:rsidR="00FF5321" w:rsidRPr="003277B4" w:rsidRDefault="00FF5321">
      <w:pPr>
        <w:jc w:val="center"/>
        <w:rPr>
          <w:b/>
        </w:rPr>
      </w:pPr>
    </w:p>
    <w:p w14:paraId="05E68FF3" w14:textId="77777777" w:rsidR="00FF5321" w:rsidRPr="003277B4" w:rsidRDefault="0078133A">
      <w:pPr>
        <w:jc w:val="center"/>
        <w:rPr>
          <w:b/>
        </w:rPr>
      </w:pPr>
      <w:r>
        <w:rPr>
          <w:b/>
        </w:rPr>
        <w:t xml:space="preserve">o prepovedi namestitve sistemov za ogrevanje in pripravo tople sanitarne vode, ki porabljajo predvsem goriva z visoko stopnjo emisij toplogrednih plinov v stavbah za stanovanjsko ali poklicno uporabo</w:t>
      </w:r>
    </w:p>
    <w:p w14:paraId="792D22F5" w14:textId="77777777" w:rsidR="00FF5321" w:rsidRPr="003277B4" w:rsidRDefault="00FF5321">
      <w:pPr>
        <w:rPr>
          <w:b/>
        </w:rPr>
      </w:pPr>
    </w:p>
    <w:p w14:paraId="53A30E5C" w14:textId="77777777" w:rsidR="00FF5321" w:rsidRPr="003277B4" w:rsidRDefault="0078133A">
      <w:pPr>
        <w:spacing w:after="600"/>
        <w:jc w:val="center"/>
      </w:pPr>
      <w:r>
        <w:t xml:space="preserve">NOR:</w:t>
      </w:r>
      <w:r>
        <w:t xml:space="preserve"> </w:t>
      </w:r>
      <w:r>
        <w:t xml:space="preserve">TRER2021746D</w:t>
      </w:r>
    </w:p>
    <w:p w14:paraId="316AB4EB" w14:textId="77777777" w:rsidR="00FF5321" w:rsidRPr="003277B4" w:rsidRDefault="0078133A">
      <w:pPr>
        <w:jc w:val="both"/>
        <w:rPr>
          <w:i/>
        </w:rPr>
      </w:pPr>
      <w:r>
        <w:rPr>
          <w:i/>
        </w:rPr>
        <w:t xml:space="preserve">Ciljna javnost: lastniki stavb za stanovanjsko ali poklicno uporabo, ki želijo namestiti novo opremo za ogrevanje ali pripravo tople sanitarne vode.</w:t>
      </w:r>
      <w:r>
        <w:rPr>
          <w:i/>
        </w:rPr>
        <w:t xml:space="preserve"> </w:t>
      </w:r>
    </w:p>
    <w:p w14:paraId="65AB5883" w14:textId="77777777" w:rsidR="00FF5321" w:rsidRPr="003277B4" w:rsidRDefault="00FF5321">
      <w:pPr>
        <w:jc w:val="both"/>
      </w:pPr>
    </w:p>
    <w:p w14:paraId="796F7BD1" w14:textId="77777777" w:rsidR="00FF5321" w:rsidRPr="003277B4" w:rsidRDefault="0078133A">
      <w:pPr>
        <w:jc w:val="both"/>
        <w:rPr>
          <w:i/>
        </w:rPr>
      </w:pPr>
      <w:r>
        <w:rPr>
          <w:i/>
        </w:rPr>
        <w:t xml:space="preserve">Predmet: določitev največjega praga emisij toplogrednih plinov za sisteme za ogrevanje ali pripravo tople sanitarne vode, ki jih je mogoče namestiti v stavbah za stanovanjsko ali poklicno uporabo</w:t>
      </w:r>
      <w:r>
        <w:rPr>
          <w:i/>
        </w:rPr>
        <w:t xml:space="preserve"> </w:t>
      </w:r>
    </w:p>
    <w:p w14:paraId="44EE0626" w14:textId="77777777" w:rsidR="00FF5321" w:rsidRPr="003277B4" w:rsidRDefault="00FF5321">
      <w:pPr>
        <w:jc w:val="both"/>
        <w:rPr>
          <w:b/>
          <w:i/>
        </w:rPr>
      </w:pPr>
    </w:p>
    <w:p w14:paraId="7A6EB824" w14:textId="3944557D" w:rsidR="00FF5321" w:rsidRPr="003277B4" w:rsidRDefault="0078133A">
      <w:pPr>
        <w:jc w:val="both"/>
      </w:pPr>
      <w:r>
        <w:rPr>
          <w:i/>
        </w:rPr>
        <w:t xml:space="preserve">Začetek veljavnosti: določbe začnejo veljati 1. julija 2021 za nove stavbe in 1. januarja 2022 za obstoječe stavbe</w:t>
      </w:r>
    </w:p>
    <w:p w14:paraId="049B4334" w14:textId="77777777" w:rsidR="00A64ECF" w:rsidRPr="003277B4" w:rsidRDefault="00A64ECF">
      <w:pPr>
        <w:jc w:val="both"/>
        <w:rPr>
          <w:i/>
        </w:rPr>
      </w:pPr>
    </w:p>
    <w:p w14:paraId="1EE0064D" w14:textId="791A0A26" w:rsidR="00453C0B" w:rsidRPr="003277B4" w:rsidRDefault="0078133A" w:rsidP="00453C0B">
      <w:pPr>
        <w:jc w:val="both"/>
        <w:rPr>
          <w:i/>
        </w:rPr>
      </w:pPr>
      <w:r>
        <w:rPr>
          <w:i/>
        </w:rPr>
        <w:t xml:space="preserve">Obvestilo:</w:t>
      </w:r>
      <w:r>
        <w:rPr>
          <w:i/>
        </w:rPr>
        <w:t xml:space="preserve"> </w:t>
      </w:r>
      <w:r>
        <w:rPr>
          <w:i/>
        </w:rPr>
        <w:t xml:space="preserve">člena L111-9 in L111-10 Zakonika o gradnji in stanovanjih omogočata določitev ravni energetske in okoljske učinkovitosti, združljive s cilji nacionalne energetske politike, oziroma za nove in obstoječe stavbe, v uredbi Državnega sveta.</w:t>
      </w:r>
      <w:r>
        <w:rPr>
          <w:i/>
        </w:rPr>
        <w:t xml:space="preserve"> </w:t>
      </w:r>
    </w:p>
    <w:p w14:paraId="536DDAC3" w14:textId="0C88F7DB" w:rsidR="00FF5321" w:rsidRPr="003277B4" w:rsidRDefault="00453C0B" w:rsidP="00453C0B">
      <w:pPr>
        <w:jc w:val="both"/>
        <w:rPr>
          <w:i/>
        </w:rPr>
      </w:pPr>
      <w:r>
        <w:rPr>
          <w:i/>
        </w:rPr>
        <w:t xml:space="preserve">Ta uredba določa merila za zamenjavo sistemov za ogrevanje ali pripravo tople sanitarne vode, zlasti glede emisij toplogrednih plinov, v novih in obstoječih stavbah za stanovanjsko ali poklicno uporabo.</w:t>
      </w:r>
    </w:p>
    <w:p w14:paraId="386E3F82" w14:textId="77777777" w:rsidR="00FF5321" w:rsidRPr="003277B4" w:rsidRDefault="00FF5321">
      <w:pPr>
        <w:jc w:val="both"/>
        <w:rPr>
          <w:i/>
        </w:rPr>
      </w:pPr>
    </w:p>
    <w:p w14:paraId="788741CE" w14:textId="77777777" w:rsidR="00FF5321" w:rsidRPr="003277B4" w:rsidRDefault="0078133A">
      <w:pPr>
        <w:jc w:val="both"/>
      </w:pPr>
      <w:r>
        <w:rPr>
          <w:i/>
          <w:iCs/>
        </w:rPr>
        <w:t xml:space="preserve">Referenčna besedila: besedilo, uvedeno s to uredbo,, je na voljo na spletni strani Légifrance</w:t>
      </w:r>
      <w:r>
        <w:rPr>
          <w:i/>
        </w:rPr>
        <w:t xml:space="preserve"> (</w:t>
      </w:r>
      <w:hyperlink r:id="rId8">
        <w:r>
          <w:rPr>
            <w:rStyle w:val="LienInternet"/>
            <w:i/>
          </w:rPr>
          <w:t xml:space="preserve">http://www.legifrance.gouv.fr</w:t>
        </w:r>
      </w:hyperlink>
      <w:r>
        <w:rPr>
          <w:i/>
        </w:rPr>
        <w:t xml:space="preserve">)</w:t>
      </w:r>
    </w:p>
    <w:p w14:paraId="77F46508" w14:textId="77777777" w:rsidR="00FF5321" w:rsidRPr="003277B4" w:rsidRDefault="00FF5321">
      <w:pPr>
        <w:pStyle w:val="SNAutorit"/>
        <w:spacing w:before="0" w:after="0"/>
        <w:ind w:firstLine="709"/>
        <w:jc w:val="both"/>
      </w:pPr>
    </w:p>
    <w:p w14:paraId="75D4E501" w14:textId="77777777" w:rsidR="00FF5321" w:rsidRPr="003277B4" w:rsidRDefault="0078133A">
      <w:pPr>
        <w:pStyle w:val="SNAutorit"/>
        <w:spacing w:before="0" w:after="0"/>
        <w:ind w:firstLine="709"/>
        <w:jc w:val="both"/>
      </w:pPr>
      <w:r>
        <w:t xml:space="preserve">Predsednik vlade –</w:t>
      </w:r>
    </w:p>
    <w:p w14:paraId="0362565F" w14:textId="77777777" w:rsidR="00FF5321" w:rsidRPr="003277B4" w:rsidRDefault="00FF5321">
      <w:pPr>
        <w:pStyle w:val="SNAutorit"/>
        <w:spacing w:before="0" w:after="0"/>
        <w:ind w:firstLine="709"/>
        <w:jc w:val="both"/>
      </w:pPr>
    </w:p>
    <w:p w14:paraId="6E98297D" w14:textId="0D9078BA" w:rsidR="00FF5321" w:rsidRPr="003277B4" w:rsidRDefault="0078133A">
      <w:pPr>
        <w:pStyle w:val="SNRapport"/>
        <w:spacing w:before="0" w:after="0"/>
        <w:ind w:firstLine="709"/>
        <w:jc w:val="both"/>
      </w:pPr>
      <w:r>
        <w:t xml:space="preserve">na podlagi poročila ministrice za ekološko preoblikovanje;</w:t>
      </w:r>
    </w:p>
    <w:p w14:paraId="5E7C9C57" w14:textId="77777777" w:rsidR="00FF5321" w:rsidRPr="003277B4" w:rsidRDefault="00FF5321">
      <w:pPr>
        <w:pStyle w:val="NormalWeb"/>
        <w:spacing w:before="0" w:after="0"/>
      </w:pPr>
    </w:p>
    <w:p w14:paraId="6D86A03A" w14:textId="77777777" w:rsidR="00A64ECF" w:rsidRPr="003277B4" w:rsidRDefault="00A64ECF">
      <w:pPr>
        <w:pStyle w:val="NormalWeb"/>
        <w:spacing w:before="0" w:after="0"/>
        <w:ind w:firstLine="709"/>
      </w:pPr>
      <w:r>
        <w:t xml:space="preserve">ob upoštevanju Direktive (EU) 2015/1535 Evropskega parlamenta in Sveta z dne 9. septembra 2015 o določitvi postopka za zbiranje informacij na področju tehničnih predpisov in pravil za storitve informacijske družbe, zlasti uradnega obvestila št. 2016/677/F;</w:t>
      </w:r>
    </w:p>
    <w:p w14:paraId="60BDBD1E" w14:textId="77777777" w:rsidR="00A64ECF" w:rsidRPr="003277B4" w:rsidRDefault="00A64ECF">
      <w:pPr>
        <w:pStyle w:val="NormalWeb"/>
        <w:spacing w:before="0" w:after="0"/>
        <w:ind w:firstLine="709"/>
      </w:pPr>
    </w:p>
    <w:p w14:paraId="6A0CFF0A" w14:textId="77777777" w:rsidR="00A64ECF" w:rsidRPr="003277B4" w:rsidRDefault="00A64ECF">
      <w:pPr>
        <w:pStyle w:val="NormalWeb"/>
        <w:spacing w:before="0" w:after="0"/>
        <w:ind w:firstLine="709"/>
      </w:pPr>
      <w:r>
        <w:t xml:space="preserve">ob upoštevanju Uredbe (EU) št. 305/2011 Evropskega parlamenta in Sveta z dne 9. marca 2011 o določitvi usklajenih pogojev za trženje gradbenih proizvodov in razveljavitvi Direktive Sveta 89/106/EGS;</w:t>
      </w:r>
      <w:r>
        <w:t xml:space="preserve"> </w:t>
      </w:r>
    </w:p>
    <w:p w14:paraId="0FA105FE" w14:textId="77777777" w:rsidR="00A64ECF" w:rsidRPr="003277B4" w:rsidRDefault="00A64ECF">
      <w:pPr>
        <w:pStyle w:val="NormalWeb"/>
        <w:spacing w:before="0" w:after="0"/>
        <w:ind w:firstLine="709"/>
      </w:pPr>
    </w:p>
    <w:p w14:paraId="2F6F8F35" w14:textId="7A7422A7" w:rsidR="00FF5321" w:rsidRPr="003277B4" w:rsidRDefault="0078133A">
      <w:pPr>
        <w:pStyle w:val="NormalWeb"/>
        <w:spacing w:before="0" w:after="0"/>
        <w:ind w:firstLine="709"/>
      </w:pPr>
      <w:r>
        <w:t xml:space="preserve">ob upoštevanju Zakonika o gradnji in stanovanjih, zlasti členov L. 111-9 in L. 111-10;</w:t>
      </w:r>
    </w:p>
    <w:p w14:paraId="65D5A4FD" w14:textId="77777777" w:rsidR="00FF5321" w:rsidRPr="003277B4" w:rsidRDefault="00FF5321">
      <w:pPr>
        <w:pStyle w:val="NormalWeb"/>
        <w:spacing w:before="0" w:after="0"/>
        <w:rPr>
          <w:sz w:val="22"/>
          <w:szCs w:val="22"/>
        </w:rPr>
      </w:pPr>
    </w:p>
    <w:p w14:paraId="50277BB7" w14:textId="6A22B7FF" w:rsidR="00FF5321" w:rsidRPr="003277B4" w:rsidRDefault="0078133A">
      <w:pPr>
        <w:pStyle w:val="NormalWeb"/>
        <w:spacing w:before="0" w:after="0"/>
        <w:ind w:firstLine="709"/>
      </w:pPr>
      <w:r>
        <w:t xml:space="preserve">ob upoštevanju mnenja Vrhovnega sveta za gradnjo in energetsko učinkovitost z dne DDMMLLLL;</w:t>
      </w:r>
    </w:p>
    <w:p w14:paraId="15C1F459" w14:textId="77777777" w:rsidR="00FF5321" w:rsidRPr="003277B4" w:rsidRDefault="00FF5321">
      <w:pPr>
        <w:pStyle w:val="NormalWeb"/>
        <w:spacing w:before="0" w:after="0"/>
        <w:ind w:firstLine="709"/>
      </w:pPr>
    </w:p>
    <w:p w14:paraId="4CC7BE24" w14:textId="50F9A447" w:rsidR="00FF5321" w:rsidRPr="003277B4" w:rsidRDefault="0078133A">
      <w:pPr>
        <w:pStyle w:val="NormalWeb"/>
        <w:spacing w:before="0" w:after="0"/>
        <w:ind w:firstLine="709"/>
      </w:pPr>
      <w:r>
        <w:t xml:space="preserve">ob upoštevanju mnenja Vrhovnega sveta za energijo z dne […];</w:t>
      </w:r>
    </w:p>
    <w:p w14:paraId="25D653AE" w14:textId="77777777" w:rsidR="00FF5321" w:rsidRPr="003277B4" w:rsidRDefault="00FF5321">
      <w:pPr>
        <w:pStyle w:val="NormalWeb"/>
        <w:spacing w:before="0" w:after="0"/>
      </w:pPr>
    </w:p>
    <w:p w14:paraId="2A550391" w14:textId="14200E30" w:rsidR="00FF5321" w:rsidRPr="003277B4" w:rsidRDefault="0078133A">
      <w:pPr>
        <w:pStyle w:val="NormalWeb"/>
        <w:spacing w:before="0" w:after="0"/>
        <w:ind w:firstLine="709"/>
      </w:pPr>
      <w:r>
        <w:t xml:space="preserve">ob upoštevanju mnenja Nacionalnega sveta za ocenjevanje standardov z dne […];</w:t>
      </w:r>
    </w:p>
    <w:p w14:paraId="1A76A4D9" w14:textId="77777777" w:rsidR="00FF5321" w:rsidRPr="003277B4" w:rsidRDefault="00FF5321">
      <w:pPr>
        <w:pStyle w:val="NormalWeb"/>
        <w:spacing w:before="0" w:after="0"/>
        <w:ind w:firstLine="709"/>
      </w:pPr>
    </w:p>
    <w:p w14:paraId="549EE422" w14:textId="513DF819" w:rsidR="00FF5321" w:rsidRPr="003277B4" w:rsidRDefault="0078133A">
      <w:pPr>
        <w:pStyle w:val="NormalWeb"/>
        <w:spacing w:before="0" w:after="0"/>
        <w:ind w:firstLine="709"/>
      </w:pPr>
      <w:r>
        <w:t xml:space="preserve">ob upoštevanju pripomb, podanih med javnim posvetovanjem, ki je potekalo od DDMMLLLL do DDMMLLLL, na podlagi člena L. 123-19-1 Okoljskega zakonika;</w:t>
      </w:r>
    </w:p>
    <w:p w14:paraId="6EA2DB3E" w14:textId="77777777" w:rsidR="00FF5321" w:rsidRPr="003277B4" w:rsidRDefault="00FF5321">
      <w:pPr>
        <w:pStyle w:val="NormalWeb"/>
        <w:spacing w:before="0" w:after="0"/>
        <w:ind w:firstLine="709"/>
      </w:pPr>
    </w:p>
    <w:p w14:paraId="78C1D321" w14:textId="77777777" w:rsidR="00FF5321" w:rsidRPr="003277B4" w:rsidRDefault="0078133A">
      <w:pPr>
        <w:pStyle w:val="NormalWeb"/>
        <w:spacing w:before="0" w:after="0"/>
        <w:ind w:firstLine="709"/>
      </w:pPr>
      <w:r>
        <w:t xml:space="preserve">ob upoštevanju mnenja Državnega sveta (oddelek za javna dela) –</w:t>
      </w:r>
    </w:p>
    <w:p w14:paraId="3ECD91B3" w14:textId="77777777" w:rsidR="00FF5321" w:rsidRPr="003277B4" w:rsidRDefault="00FF5321">
      <w:pPr>
        <w:pStyle w:val="SNVisa"/>
        <w:spacing w:before="0" w:after="0"/>
        <w:ind w:firstLine="709"/>
        <w:jc w:val="both"/>
      </w:pPr>
    </w:p>
    <w:p w14:paraId="6F5B4B7A" w14:textId="77777777" w:rsidR="00FF5321" w:rsidRPr="003277B4" w:rsidRDefault="00FF5321">
      <w:pPr>
        <w:pStyle w:val="SNActe"/>
        <w:spacing w:before="0" w:after="0"/>
        <w:ind w:firstLine="709"/>
      </w:pPr>
    </w:p>
    <w:p w14:paraId="1C6B8427" w14:textId="77777777" w:rsidR="00FF5321" w:rsidRPr="003277B4" w:rsidRDefault="00FF5321">
      <w:pPr>
        <w:pStyle w:val="SNActe"/>
        <w:spacing w:before="0" w:after="0"/>
        <w:ind w:firstLine="709"/>
      </w:pPr>
    </w:p>
    <w:p w14:paraId="63B99752" w14:textId="77777777" w:rsidR="00FF5321" w:rsidRPr="003277B4" w:rsidRDefault="00FF5321">
      <w:pPr>
        <w:pStyle w:val="SNActe"/>
        <w:spacing w:before="0" w:after="0"/>
        <w:ind w:firstLine="709"/>
      </w:pPr>
    </w:p>
    <w:p w14:paraId="61EF05BF" w14:textId="77777777" w:rsidR="00FF5321" w:rsidRPr="003277B4" w:rsidRDefault="0078133A" w:rsidP="000E5B68">
      <w:pPr>
        <w:pStyle w:val="SNActe"/>
        <w:keepNext/>
        <w:spacing w:before="0" w:after="0"/>
        <w:ind w:firstLine="709"/>
      </w:pPr>
      <w:r>
        <w:t xml:space="preserve">odreja:</w:t>
      </w:r>
    </w:p>
    <w:p w14:paraId="29BC4BE0" w14:textId="77777777" w:rsidR="00FF5321" w:rsidRPr="003277B4" w:rsidRDefault="00FF5321" w:rsidP="000E5B68">
      <w:pPr>
        <w:pStyle w:val="SNActe"/>
        <w:keepNext/>
        <w:spacing w:before="0" w:after="0"/>
        <w:ind w:firstLine="709"/>
      </w:pPr>
    </w:p>
    <w:p w14:paraId="37B7A1E6" w14:textId="77777777" w:rsidR="00FF5321" w:rsidRPr="003277B4" w:rsidRDefault="0078133A" w:rsidP="000E5B68">
      <w:pPr>
        <w:pStyle w:val="SNArticle"/>
        <w:keepNext/>
        <w:spacing w:before="0" w:after="0"/>
        <w:ind w:firstLine="709"/>
      </w:pPr>
      <w:r>
        <w:t xml:space="preserve">Člen 1</w:t>
      </w:r>
    </w:p>
    <w:p w14:paraId="1ACAC003" w14:textId="77777777" w:rsidR="00FF5321" w:rsidRPr="003277B4" w:rsidRDefault="00FF5321" w:rsidP="000E5B68">
      <w:pPr>
        <w:pStyle w:val="BodyText"/>
        <w:keepNext/>
        <w:spacing w:after="0"/>
        <w:rPr>
          <w:bCs/>
        </w:rPr>
      </w:pPr>
    </w:p>
    <w:p w14:paraId="6F34E331" w14:textId="7D73E037" w:rsidR="00FF5321" w:rsidRPr="003277B4" w:rsidRDefault="0078133A" w:rsidP="000E5B68">
      <w:pPr>
        <w:pStyle w:val="BodyText"/>
        <w:keepNext/>
        <w:spacing w:after="0"/>
        <w:ind w:firstLine="709"/>
      </w:pPr>
      <w:r>
        <w:t xml:space="preserve">Na začetku naslova III knjige I Zakonika o gradnji in stanovanjih se vstavi naslednje uvodno poglavje:</w:t>
      </w:r>
    </w:p>
    <w:p w14:paraId="5AFCC02A" w14:textId="77777777" w:rsidR="00FF5321" w:rsidRPr="003277B4" w:rsidRDefault="0078133A">
      <w:pPr>
        <w:pStyle w:val="western"/>
      </w:pPr>
      <w:r>
        <w:t xml:space="preserve">„Uvodno poglavje:</w:t>
      </w:r>
      <w:r>
        <w:t xml:space="preserve"> </w:t>
      </w:r>
      <w:r>
        <w:t xml:space="preserve">Okoljska učinkovitost sistemov za ogrevanje in pripravo tople sanitarne vode</w:t>
      </w:r>
    </w:p>
    <w:p w14:paraId="2D6504B8" w14:textId="77777777" w:rsidR="00FF5321" w:rsidRPr="003277B4" w:rsidRDefault="0078133A" w:rsidP="000E5B68">
      <w:pPr>
        <w:pStyle w:val="western"/>
        <w:keepNext/>
      </w:pPr>
      <w:r>
        <w:t xml:space="preserve">„Člen R. 130-1:</w:t>
      </w:r>
    </w:p>
    <w:p w14:paraId="1772CB2E" w14:textId="36BB6966" w:rsidR="00FF5321" w:rsidRPr="003277B4" w:rsidRDefault="00DF19CD">
      <w:pPr>
        <w:pStyle w:val="western"/>
      </w:pPr>
      <w:r>
        <w:t xml:space="preserve">„I. – Prepovedana je namestitev sistemov za ogrevanje ali pripravo tople sanitarne vode v stavbah, ki v glavnem porabljajo goriva, katerih emisije toplogrednih plinov so večje ali enake 250 gCO2eq/kWh PCI, vključno z zamenjavo obstoječih naprav.</w:t>
      </w:r>
    </w:p>
    <w:p w14:paraId="6280E9C6" w14:textId="7CE3AEF9" w:rsidR="0060561A" w:rsidRPr="003277B4" w:rsidRDefault="00DF19CD" w:rsidP="000E5B68">
      <w:pPr>
        <w:pStyle w:val="western"/>
        <w:keepNext/>
      </w:pPr>
      <w:r>
        <w:t xml:space="preserve">„II.</w:t>
      </w:r>
      <w:r>
        <w:t xml:space="preserve"> </w:t>
      </w:r>
      <w:r>
        <w:t xml:space="preserve">– Ta določba ne velja za obstoječe stavbe, ki upravičujejo:</w:t>
      </w:r>
    </w:p>
    <w:p w14:paraId="42FC266F" w14:textId="314ED723" w:rsidR="0060561A" w:rsidRPr="003277B4" w:rsidRDefault="0060561A">
      <w:pPr>
        <w:pStyle w:val="western"/>
      </w:pPr>
      <w:r>
        <w:t xml:space="preserve">„1. bodisi očitno tehnično nezmožnost zamenjave obstoječe opreme s sistemom za ogrevanje ali pripravo tople sanitarne vode, ki izpolnjuje prag emisij toplogrednih plinov, opredeljen v odstavku I, zlasti zaradi preobremenjenosti v primeru neskladnosti s storitvami ali zakonodajnimi oziroma regulativnimi določbami v zvezi z namembnostjo zemljišč ali lastninsko pravico;</w:t>
      </w:r>
    </w:p>
    <w:p w14:paraId="29E9705D" w14:textId="1001564D" w:rsidR="00DF19CD" w:rsidRPr="003277B4" w:rsidRDefault="0060561A">
      <w:pPr>
        <w:pStyle w:val="western"/>
      </w:pPr>
      <w:r>
        <w:t xml:space="preserve">„2. bodisi odsotnost rešitve za priključitev na toplotna omrežja ali omrežja zemeljskega plina in kadar namestitev nove opreme, ki upošteva določbe odstavka I, zahteva dela za izboljšanje na javnem omrežju za distribucijo električne energije.</w:t>
      </w:r>
      <w:r>
        <w:t xml:space="preserve"> </w:t>
      </w:r>
    </w:p>
    <w:p w14:paraId="69B08D63" w14:textId="5F7836C7" w:rsidR="00166E29" w:rsidRPr="003277B4" w:rsidRDefault="00DF19CD" w:rsidP="009D5007">
      <w:pPr>
        <w:pStyle w:val="western"/>
        <w:spacing w:before="0"/>
      </w:pPr>
      <w:r>
        <w:t xml:space="preserve">III.</w:t>
      </w:r>
      <w:r>
        <w:t xml:space="preserve"> </w:t>
      </w:r>
      <w:r>
        <w:t xml:space="preserve">– Naročnik dokaže, da stavba spada v enega od primerov iz odstavka II, tako da na lastno odgovornost predloži oceno strokovnjaka.</w:t>
      </w:r>
    </w:p>
    <w:p w14:paraId="6492B3BD" w14:textId="52124137" w:rsidR="00FF5321" w:rsidRPr="003277B4" w:rsidRDefault="00166E29" w:rsidP="00426DA9">
      <w:pPr>
        <w:pStyle w:val="western"/>
        <w:spacing w:before="0" w:after="0"/>
      </w:pPr>
      <w:r>
        <w:t xml:space="preserve">IV.</w:t>
      </w:r>
      <w:r>
        <w:t xml:space="preserve"> </w:t>
      </w:r>
      <w:r>
        <w:t xml:space="preserve">– Določbe tega člena veljajo za gradnjo novih stavb, za katere je bila vloga za gradbeno dovoljenje vložena po 1. juliju 2021, in za obstoječe stavbe, za katere so se  dela, navedena v odstavku I, začela po 1. januarju 2022.</w:t>
      </w:r>
      <w:r>
        <w:t xml:space="preserve"> </w:t>
      </w:r>
      <w:r>
        <w:t xml:space="preserve">“</w:t>
      </w:r>
    </w:p>
    <w:p w14:paraId="74EC101B" w14:textId="0E40A002" w:rsidR="00FF5321" w:rsidRPr="003277B4" w:rsidRDefault="00FF5321">
      <w:pPr>
        <w:ind w:firstLine="709"/>
      </w:pPr>
    </w:p>
    <w:p w14:paraId="1F32D1D3" w14:textId="77777777" w:rsidR="00FF5321" w:rsidRPr="003277B4" w:rsidRDefault="00FF5321">
      <w:pPr>
        <w:ind w:firstLine="709"/>
        <w:rPr>
          <w:bCs/>
        </w:rPr>
      </w:pPr>
    </w:p>
    <w:p w14:paraId="7BA8426C" w14:textId="6047382D" w:rsidR="00FF5321" w:rsidRPr="003277B4" w:rsidRDefault="0078133A" w:rsidP="000E5B68">
      <w:pPr>
        <w:keepNext/>
        <w:ind w:firstLine="709"/>
        <w:jc w:val="center"/>
        <w:rPr>
          <w:b/>
          <w:bCs/>
        </w:rPr>
      </w:pPr>
      <w:r>
        <w:rPr>
          <w:b/>
          <w:bCs/>
        </w:rPr>
        <w:t xml:space="preserve">Člen 2</w:t>
      </w:r>
    </w:p>
    <w:p w14:paraId="010920F9" w14:textId="77777777" w:rsidR="00FF5321" w:rsidRPr="003277B4" w:rsidRDefault="00FF5321" w:rsidP="000E5B68">
      <w:pPr>
        <w:keepNext/>
        <w:ind w:firstLine="709"/>
        <w:jc w:val="both"/>
      </w:pPr>
    </w:p>
    <w:p w14:paraId="5642AE1F" w14:textId="20E782C7" w:rsidR="00FF5321" w:rsidRPr="003277B4" w:rsidRDefault="0078133A">
      <w:pPr>
        <w:ind w:firstLine="709"/>
        <w:jc w:val="both"/>
      </w:pPr>
      <w:r>
        <w:t xml:space="preserve">Ministrica za ekološko preoblikovanje in ministrica pri ministrici za ekološko preoblikovanje, odgovorna za stanovanjska vprašanja, sta odgovorni za izvajanje te uredbe, ki bo objavljena v </w:t>
      </w:r>
      <w:r>
        <w:rPr>
          <w:i/>
          <w:iCs/>
        </w:rPr>
        <w:t xml:space="preserve">Uradnem listu</w:t>
      </w:r>
      <w:r>
        <w:t xml:space="preserve"> Francoske republike.</w:t>
      </w:r>
    </w:p>
    <w:p w14:paraId="571EC7E8" w14:textId="77777777" w:rsidR="00FF5321" w:rsidRPr="003277B4" w:rsidRDefault="00FF5321">
      <w:pPr>
        <w:ind w:firstLine="709"/>
        <w:jc w:val="both"/>
      </w:pPr>
    </w:p>
    <w:p w14:paraId="52E8031F" w14:textId="77777777" w:rsidR="00FF5321" w:rsidRPr="003277B4" w:rsidRDefault="00FF5321">
      <w:pPr>
        <w:ind w:firstLine="709"/>
        <w:jc w:val="both"/>
      </w:pPr>
    </w:p>
    <w:p w14:paraId="29CC8F0F" w14:textId="6C90C636" w:rsidR="00FF5321" w:rsidRPr="003277B4" w:rsidRDefault="0078133A">
      <w:r>
        <w:t xml:space="preserve">Dne</w:t>
      </w:r>
      <w:r>
        <w:t xml:space="preserve"> </w:t>
      </w:r>
    </w:p>
    <w:p w14:paraId="0910EF1F" w14:textId="69B22225" w:rsidR="00544005" w:rsidRPr="003277B4" w:rsidRDefault="00544005"/>
    <w:p w14:paraId="71D4D3E2" w14:textId="2EFAA8A8" w:rsidR="00544005" w:rsidRPr="003277B4" w:rsidRDefault="00544005">
      <w:r>
        <w:t xml:space="preserve">Za predsednika vlade</w:t>
      </w:r>
    </w:p>
    <w:p w14:paraId="27990147" w14:textId="77777777" w:rsidR="00FF5321" w:rsidRPr="003277B4" w:rsidRDefault="00FF5321"/>
    <w:p w14:paraId="33D2B791" w14:textId="77777777" w:rsidR="00FF5321" w:rsidRPr="003277B4" w:rsidRDefault="00FF5321">
      <w:pPr>
        <w:rPr>
          <w:lang w:eastAsia="fr-FR"/>
        </w:rPr>
      </w:pPr>
    </w:p>
    <w:p w14:paraId="35D9070D" w14:textId="77777777" w:rsidR="00FF5321" w:rsidRPr="003277B4" w:rsidRDefault="0078133A">
      <w:pPr>
        <w:suppressAutoHyphens w:val="0"/>
        <w:jc w:val="right"/>
      </w:pPr>
      <w:r>
        <w:t xml:space="preserve">Ministrica za ekološko preoblikovanje,</w:t>
      </w:r>
    </w:p>
    <w:p w14:paraId="61F03B3D" w14:textId="77777777" w:rsidR="00FF5321" w:rsidRPr="003277B4" w:rsidRDefault="00FF5321">
      <w:pPr>
        <w:suppressAutoHyphens w:val="0"/>
        <w:rPr>
          <w:lang w:eastAsia="fr-FR"/>
        </w:rPr>
      </w:pPr>
    </w:p>
    <w:p w14:paraId="581D71DE" w14:textId="77777777" w:rsidR="00FF5321" w:rsidRPr="003277B4" w:rsidRDefault="00FF5321">
      <w:pPr>
        <w:suppressAutoHyphens w:val="0"/>
        <w:rPr>
          <w:lang w:eastAsia="fr-FR"/>
        </w:rPr>
      </w:pPr>
    </w:p>
    <w:p w14:paraId="7CA64243" w14:textId="77777777" w:rsidR="00FF5321" w:rsidRPr="003277B4" w:rsidRDefault="0078133A">
      <w:pPr>
        <w:suppressAutoHyphens w:val="0"/>
        <w:jc w:val="right"/>
      </w:pPr>
      <w:r>
        <w:t xml:space="preserve">Barbara POMPILI</w:t>
      </w:r>
    </w:p>
    <w:p w14:paraId="114904C5" w14:textId="77777777" w:rsidR="00FF5321" w:rsidRPr="003277B4" w:rsidRDefault="00FF5321">
      <w:pPr>
        <w:suppressAutoHyphens w:val="0"/>
        <w:jc w:val="right"/>
        <w:rPr>
          <w:lang w:eastAsia="fr-FR"/>
        </w:rPr>
      </w:pPr>
    </w:p>
    <w:p w14:paraId="3948B9EE" w14:textId="3DC220BF" w:rsidR="00FF5321" w:rsidRPr="003277B4" w:rsidRDefault="0078133A" w:rsidP="00564508">
      <w:pPr>
        <w:suppressAutoHyphens w:val="0"/>
        <w:ind w:right="4032"/>
      </w:pPr>
      <w:r>
        <w:t xml:space="preserve">Ministrica pri ministrici za ekološko preoblikovanje, odgovorna za stanovanjska vprašanja,</w:t>
      </w:r>
    </w:p>
    <w:p w14:paraId="3611BA6D" w14:textId="77777777" w:rsidR="00FF5321" w:rsidRPr="003277B4" w:rsidRDefault="00FF5321">
      <w:pPr>
        <w:suppressAutoHyphens w:val="0"/>
        <w:rPr>
          <w:lang w:eastAsia="fr-FR"/>
        </w:rPr>
      </w:pPr>
    </w:p>
    <w:p w14:paraId="6129AEB4" w14:textId="2AF7261A" w:rsidR="00FF5321" w:rsidRPr="003277B4" w:rsidRDefault="0078133A" w:rsidP="0078133A">
      <w:pPr>
        <w:suppressAutoHyphens w:val="0"/>
      </w:pPr>
      <w:r>
        <w:t xml:space="preserve">Emmanuelle WARGON</w:t>
      </w:r>
    </w:p>
    <w:sectPr w:rsidR="00FF5321" w:rsidRPr="003277B4">
      <w:pgSz w:w="11906" w:h="16838"/>
      <w:pgMar w:top="1417" w:right="1417" w:bottom="1417" w:left="1417"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025D1" w14:textId="77777777" w:rsidR="00AE2648" w:rsidRDefault="00AE2648" w:rsidP="004C2249">
      <w:r>
        <w:separator/>
      </w:r>
    </w:p>
  </w:endnote>
  <w:endnote w:type="continuationSeparator" w:id="0">
    <w:p w14:paraId="6D4AFAE0" w14:textId="77777777" w:rsidR="00AE2648" w:rsidRDefault="00AE2648" w:rsidP="004C2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Times New Roman'">
    <w:altName w:val="Times New Roman"/>
    <w:panose1 w:val="00000000000000000000"/>
    <w:charset w:val="00"/>
    <w:family w:val="roman"/>
    <w:notTrueType/>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5D978" w14:textId="77777777" w:rsidR="00AE2648" w:rsidRDefault="00AE2648" w:rsidP="004C2249">
      <w:r>
        <w:separator/>
      </w:r>
    </w:p>
  </w:footnote>
  <w:footnote w:type="continuationSeparator" w:id="0">
    <w:p w14:paraId="333ACE6C" w14:textId="77777777" w:rsidR="00AE2648" w:rsidRDefault="00AE2648" w:rsidP="004C22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B61417"/>
    <w:multiLevelType w:val="hybridMultilevel"/>
    <w:tmpl w:val="11240A9E"/>
    <w:lvl w:ilvl="0" w:tplc="46EC6264">
      <w:numFmt w:val="bullet"/>
      <w:lvlText w:val=""/>
      <w:lvlJc w:val="left"/>
      <w:pPr>
        <w:ind w:left="720" w:hanging="360"/>
      </w:pPr>
      <w:rPr>
        <w:rFonts w:ascii="Wingdings" w:eastAsia="Times New Roman" w:hAnsi="Wingdings"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7344660"/>
    <w:multiLevelType w:val="hybridMultilevel"/>
    <w:tmpl w:val="7EAAA912"/>
    <w:lvl w:ilvl="0" w:tplc="3CC0EAD4">
      <w:numFmt w:val="bullet"/>
      <w:lvlText w:val=""/>
      <w:lvlJc w:val="left"/>
      <w:pPr>
        <w:ind w:left="720" w:hanging="360"/>
      </w:pPr>
      <w:rPr>
        <w:rFonts w:ascii="Wingdings" w:eastAsia="Times New Roman" w:hAnsi="Wingdings"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321"/>
    <w:rsid w:val="00093A8C"/>
    <w:rsid w:val="000A51D1"/>
    <w:rsid w:val="000E5B68"/>
    <w:rsid w:val="00144D22"/>
    <w:rsid w:val="00166E29"/>
    <w:rsid w:val="003157C1"/>
    <w:rsid w:val="003277B4"/>
    <w:rsid w:val="00355D19"/>
    <w:rsid w:val="003D48E8"/>
    <w:rsid w:val="003F1679"/>
    <w:rsid w:val="00425342"/>
    <w:rsid w:val="00426DA9"/>
    <w:rsid w:val="00453C0B"/>
    <w:rsid w:val="0047200C"/>
    <w:rsid w:val="00487E9D"/>
    <w:rsid w:val="004C2249"/>
    <w:rsid w:val="0052541C"/>
    <w:rsid w:val="00544005"/>
    <w:rsid w:val="00564508"/>
    <w:rsid w:val="005816B7"/>
    <w:rsid w:val="0060561A"/>
    <w:rsid w:val="00622B0C"/>
    <w:rsid w:val="006455FC"/>
    <w:rsid w:val="006D7694"/>
    <w:rsid w:val="006E4EB6"/>
    <w:rsid w:val="0078133A"/>
    <w:rsid w:val="007B58F9"/>
    <w:rsid w:val="00834E5E"/>
    <w:rsid w:val="009019C9"/>
    <w:rsid w:val="00936FB4"/>
    <w:rsid w:val="009D5007"/>
    <w:rsid w:val="00A64ECF"/>
    <w:rsid w:val="00AE2648"/>
    <w:rsid w:val="00B40FF8"/>
    <w:rsid w:val="00B41E7E"/>
    <w:rsid w:val="00BB2011"/>
    <w:rsid w:val="00C0605D"/>
    <w:rsid w:val="00C12090"/>
    <w:rsid w:val="00CA5186"/>
    <w:rsid w:val="00CD4C4F"/>
    <w:rsid w:val="00CD630A"/>
    <w:rsid w:val="00DF19CD"/>
    <w:rsid w:val="00E16AF7"/>
    <w:rsid w:val="00E94691"/>
    <w:rsid w:val="00ED40B5"/>
    <w:rsid w:val="00EE77FC"/>
    <w:rsid w:val="00F052DF"/>
    <w:rsid w:val="00F411CA"/>
    <w:rsid w:val="00FF4589"/>
    <w:rsid w:val="00FF532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86843"/>
  <w15:docId w15:val="{F7FFC9C0-778D-449E-9136-74790765A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Unicode MS" w:hAnsi="Calibri" w:cs="Calibri"/>
        <w:sz w:val="22"/>
        <w:szCs w:val="22"/>
        <w:lang w:val="sl-SI" w:eastAsia="en-US" w:bidi="ar-SA"/>
      </w:rPr>
    </w:rPrDefault>
    <w:pPrDefault>
      <w:pPr>
        <w:spacing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uto"/>
    </w:pPr>
    <w:rPr>
      <w:rFonts w:ascii="Times New Roman" w:eastAsia="Times New Roman" w:hAnsi="Times New Roman" w:cs="Times New Roman"/>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etexteCar">
    <w:name w:val="corps de texte Car"/>
    <w:qFormat/>
    <w:rPr>
      <w:rFonts w:ascii="Times New Roman" w:eastAsia="Times New Roman" w:hAnsi="Times New Roman" w:cs="Times New Roman"/>
      <w:sz w:val="24"/>
      <w:szCs w:val="24"/>
      <w:lang w:eastAsia="fr-FR"/>
    </w:rPr>
  </w:style>
  <w:style w:type="character" w:customStyle="1" w:styleId="LienInternet">
    <w:name w:val="Lien Internet"/>
    <w:rPr>
      <w:color w:val="000080"/>
      <w:u w:val="single"/>
    </w:rPr>
  </w:style>
  <w:style w:type="character" w:customStyle="1" w:styleId="TextedebullesCar">
    <w:name w:val="Texte de bulles Car"/>
    <w:basedOn w:val="DefaultParagraphFont"/>
    <w:qFormat/>
    <w:rPr>
      <w:rFonts w:ascii="Segoe UI" w:eastAsia="SimSun" w:hAnsi="Segoe UI" w:cs="Mangal"/>
      <w:kern w:val="2"/>
      <w:sz w:val="18"/>
      <w:szCs w:val="16"/>
      <w:lang w:eastAsia="zh-CN" w:bidi="hi-IN"/>
    </w:rPr>
  </w:style>
  <w:style w:type="paragraph" w:styleId="Title">
    <w:name w:val="Title"/>
    <w:basedOn w:val="Normal"/>
    <w:next w:val="BodyText"/>
    <w:qFormat/>
    <w:pPr>
      <w:keepNext/>
      <w:spacing w:before="240" w:after="120"/>
    </w:pPr>
    <w:rPr>
      <w:rFonts w:ascii="Arial" w:eastAsia="Arial Unicode MS" w:hAnsi="Arial" w:cs="Arial Unicode MS"/>
      <w:sz w:val="28"/>
      <w:szCs w:val="28"/>
    </w:rPr>
  </w:style>
  <w:style w:type="paragraph" w:styleId="BodyText">
    <w:name w:val="Body Text"/>
    <w:basedOn w:val="Normal"/>
    <w:pPr>
      <w:spacing w:after="120"/>
      <w:jc w:val="both"/>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SNAutorit">
    <w:name w:val="SNAutorité"/>
    <w:basedOn w:val="Normal"/>
    <w:qFormat/>
    <w:pPr>
      <w:spacing w:before="720" w:after="240"/>
      <w:ind w:firstLine="720"/>
    </w:pPr>
    <w:rPr>
      <w:b/>
    </w:rPr>
  </w:style>
  <w:style w:type="paragraph" w:customStyle="1" w:styleId="SNRapport">
    <w:name w:val="SNRapport"/>
    <w:basedOn w:val="Normal"/>
    <w:qFormat/>
    <w:pPr>
      <w:spacing w:before="240" w:after="120"/>
      <w:ind w:firstLine="720"/>
    </w:pPr>
  </w:style>
  <w:style w:type="paragraph" w:customStyle="1" w:styleId="SNVisa">
    <w:name w:val="SNVisa"/>
    <w:basedOn w:val="Normal"/>
    <w:qFormat/>
    <w:pPr>
      <w:spacing w:before="120" w:after="120"/>
      <w:ind w:firstLine="720"/>
    </w:pPr>
  </w:style>
  <w:style w:type="paragraph" w:customStyle="1" w:styleId="SNActe">
    <w:name w:val="SNActe"/>
    <w:basedOn w:val="Normal"/>
    <w:qFormat/>
    <w:pPr>
      <w:spacing w:before="480" w:after="360"/>
      <w:jc w:val="center"/>
    </w:pPr>
    <w:rPr>
      <w:b/>
    </w:rPr>
  </w:style>
  <w:style w:type="paragraph" w:customStyle="1" w:styleId="SNArticle">
    <w:name w:val="SNArticle"/>
    <w:basedOn w:val="Normal"/>
    <w:qFormat/>
    <w:pPr>
      <w:spacing w:before="240" w:after="240"/>
      <w:jc w:val="center"/>
    </w:pPr>
    <w:rPr>
      <w:b/>
    </w:rPr>
  </w:style>
  <w:style w:type="paragraph" w:customStyle="1" w:styleId="Default">
    <w:name w:val="Default"/>
    <w:qFormat/>
    <w:pPr>
      <w:suppressAutoHyphens/>
      <w:spacing w:line="240" w:lineRule="auto"/>
    </w:pPr>
    <w:rPr>
      <w:rFonts w:ascii="Times New Roman" w:eastAsia="Times New Roman" w:hAnsi="Times New Roman" w:cs="Times New Roman"/>
      <w:color w:val="000000"/>
      <w:kern w:val="2"/>
      <w:sz w:val="24"/>
      <w:szCs w:val="24"/>
      <w:lang w:eastAsia="zh-CN"/>
    </w:rPr>
  </w:style>
  <w:style w:type="paragraph" w:styleId="NormalWeb">
    <w:name w:val="Normal (Web)"/>
    <w:basedOn w:val="Normal"/>
    <w:qFormat/>
    <w:pPr>
      <w:suppressAutoHyphens w:val="0"/>
      <w:spacing w:before="280" w:after="119"/>
      <w:jc w:val="both"/>
    </w:pPr>
    <w:rPr>
      <w:color w:val="000000"/>
    </w:rPr>
  </w:style>
  <w:style w:type="paragraph" w:customStyle="1" w:styleId="western">
    <w:name w:val="western"/>
    <w:basedOn w:val="Normal"/>
    <w:qFormat/>
    <w:pPr>
      <w:suppressAutoHyphens w:val="0"/>
      <w:spacing w:before="100" w:after="119"/>
      <w:jc w:val="both"/>
    </w:pPr>
    <w:rPr>
      <w:lang w:eastAsia="fr-FR" w:bidi="ar-SA"/>
    </w:rPr>
  </w:style>
  <w:style w:type="paragraph" w:customStyle="1" w:styleId="corpsdetexte">
    <w:name w:val="corps de texte"/>
    <w:basedOn w:val="Normal"/>
    <w:qFormat/>
    <w:pPr>
      <w:suppressAutoHyphens w:val="0"/>
      <w:spacing w:after="240"/>
      <w:ind w:firstLine="709"/>
      <w:jc w:val="both"/>
    </w:pPr>
    <w:rPr>
      <w:lang w:eastAsia="fr-FR" w:bidi="ar-SA"/>
    </w:rPr>
  </w:style>
  <w:style w:type="paragraph" w:styleId="BalloonText">
    <w:name w:val="Balloon Text"/>
    <w:basedOn w:val="Normal"/>
    <w:qFormat/>
    <w:rPr>
      <w:rFonts w:ascii="Segoe UI" w:hAnsi="Segoe UI" w:cs="Mangal"/>
      <w:sz w:val="18"/>
      <w:szCs w:val="16"/>
    </w:rPr>
  </w:style>
  <w:style w:type="paragraph" w:customStyle="1" w:styleId="Contenudetableau">
    <w:name w:val="Contenu de tableau"/>
    <w:basedOn w:val="Normal"/>
    <w:qFormat/>
    <w:pPr>
      <w:suppressLineNumbers/>
    </w:pPr>
  </w:style>
  <w:style w:type="paragraph" w:styleId="CommentText">
    <w:name w:val="annotation text"/>
    <w:basedOn w:val="Normal"/>
    <w:link w:val="CommentTextChar"/>
    <w:uiPriority w:val="99"/>
    <w:unhideWhenUsed/>
    <w:rPr>
      <w:rFonts w:cs="Mangal"/>
      <w:sz w:val="20"/>
      <w:szCs w:val="18"/>
    </w:rPr>
  </w:style>
  <w:style w:type="character" w:customStyle="1" w:styleId="CommentTextChar">
    <w:name w:val="Comment Text Char"/>
    <w:basedOn w:val="DefaultParagraphFont"/>
    <w:link w:val="CommentText"/>
    <w:uiPriority w:val="99"/>
    <w:rPr>
      <w:rFonts w:ascii="Times New Roman" w:eastAsia="Times New Roman" w:hAnsi="Times New Roman" w:cs="Mangal"/>
      <w:kern w:val="2"/>
      <w:sz w:val="20"/>
      <w:szCs w:val="18"/>
      <w:lang w:eastAsia="zh-CN" w:bidi="hi-IN"/>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64ECF"/>
    <w:rPr>
      <w:b/>
      <w:bCs/>
    </w:rPr>
  </w:style>
  <w:style w:type="character" w:customStyle="1" w:styleId="CommentSubjectChar">
    <w:name w:val="Comment Subject Char"/>
    <w:basedOn w:val="CommentTextChar"/>
    <w:link w:val="CommentSubject"/>
    <w:uiPriority w:val="99"/>
    <w:semiHidden/>
    <w:rsid w:val="00A64ECF"/>
    <w:rPr>
      <w:rFonts w:ascii="Times New Roman" w:eastAsia="Times New Roman" w:hAnsi="Times New Roman" w:cs="Mangal"/>
      <w:b/>
      <w:bCs/>
      <w:kern w:val="2"/>
      <w:sz w:val="20"/>
      <w:szCs w:val="18"/>
      <w:lang w:eastAsia="zh-CN" w:bidi="hi-IN"/>
    </w:rPr>
  </w:style>
  <w:style w:type="character" w:styleId="Hyperlink">
    <w:name w:val="Hyperlink"/>
    <w:basedOn w:val="DefaultParagraphFont"/>
    <w:uiPriority w:val="99"/>
    <w:semiHidden/>
    <w:unhideWhenUsed/>
    <w:rsid w:val="00CD4C4F"/>
    <w:rPr>
      <w:color w:val="0000FF"/>
      <w:u w:val="single"/>
    </w:rPr>
  </w:style>
  <w:style w:type="paragraph" w:styleId="Header">
    <w:name w:val="header"/>
    <w:basedOn w:val="Normal"/>
    <w:link w:val="HeaderChar"/>
    <w:uiPriority w:val="99"/>
    <w:unhideWhenUsed/>
    <w:rsid w:val="004C2249"/>
    <w:pPr>
      <w:tabs>
        <w:tab w:val="center" w:pos="4680"/>
        <w:tab w:val="right" w:pos="9360"/>
      </w:tabs>
    </w:pPr>
    <w:rPr>
      <w:rFonts w:cs="Mangal"/>
      <w:szCs w:val="21"/>
    </w:rPr>
  </w:style>
  <w:style w:type="character" w:customStyle="1" w:styleId="HeaderChar">
    <w:name w:val="Header Char"/>
    <w:basedOn w:val="DefaultParagraphFont"/>
    <w:link w:val="Header"/>
    <w:uiPriority w:val="99"/>
    <w:rsid w:val="004C2249"/>
    <w:rPr>
      <w:rFonts w:ascii="Times New Roman" w:eastAsia="Times New Roman" w:hAnsi="Times New Roman" w:cs="Mangal"/>
      <w:kern w:val="2"/>
      <w:sz w:val="24"/>
      <w:szCs w:val="21"/>
      <w:lang w:eastAsia="zh-CN" w:bidi="hi-IN"/>
    </w:rPr>
  </w:style>
  <w:style w:type="paragraph" w:styleId="Footer">
    <w:name w:val="footer"/>
    <w:basedOn w:val="Normal"/>
    <w:link w:val="FooterChar"/>
    <w:uiPriority w:val="99"/>
    <w:unhideWhenUsed/>
    <w:rsid w:val="004C2249"/>
    <w:pPr>
      <w:tabs>
        <w:tab w:val="center" w:pos="4680"/>
        <w:tab w:val="right" w:pos="9360"/>
      </w:tabs>
    </w:pPr>
    <w:rPr>
      <w:rFonts w:cs="Mangal"/>
      <w:szCs w:val="21"/>
    </w:rPr>
  </w:style>
  <w:style w:type="character" w:customStyle="1" w:styleId="FooterChar">
    <w:name w:val="Footer Char"/>
    <w:basedOn w:val="DefaultParagraphFont"/>
    <w:link w:val="Footer"/>
    <w:uiPriority w:val="99"/>
    <w:rsid w:val="004C2249"/>
    <w:rPr>
      <w:rFonts w:ascii="Times New Roman" w:eastAsia="Times New Roman" w:hAnsi="Times New Roman"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257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 standalone="yes"?>
<Relationships xmlns="http://schemas.openxmlformats.org/package/2006/relationships"><Relationship Id="rId8" Type="http://schemas.openxmlformats.org/officeDocument/2006/relationships/hyperlink" Target="http://www.legifrance.gouv.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74AE2-E9F1-44C5-9FBF-BBE43FA17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779</Words>
  <Characters>4443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DOZIERES Alexandre</dc:creator>
  <dc:description/>
  <cp:lastModifiedBy>Liu, Lei</cp:lastModifiedBy>
  <cp:revision>7</cp:revision>
  <dcterms:created xsi:type="dcterms:W3CDTF">2020-12-30T13:00:00Z</dcterms:created>
  <dcterms:modified xsi:type="dcterms:W3CDTF">2021-01-18T02:25:00Z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