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A5A5" w14:textId="602FEEEB"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ÉCONOMIE ET AFFAIRES MARITIMES</w:t>
      </w:r>
    </w:p>
    <w:p w14:paraId="4BE6550D"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Cabinet du secrétaire d’État à l’économie</w:t>
      </w:r>
    </w:p>
    <w:p w14:paraId="5E59B0B5" w14:textId="77777777"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lang w:eastAsia="pt-PT"/>
        </w:rPr>
      </w:pPr>
    </w:p>
    <w:p w14:paraId="31DCF98E" w14:textId="51AB327C" w:rsidR="00CD6108" w:rsidRPr="00912F31" w:rsidRDefault="00CD6108" w:rsidP="00CD6108">
      <w:pPr>
        <w:shd w:val="clear" w:color="auto" w:fill="FFFFFF" w:themeFill="background1"/>
        <w:spacing w:after="225" w:line="360" w:lineRule="auto"/>
        <w:jc w:val="center"/>
        <w:rPr>
          <w:rFonts w:ascii="Garamond" w:eastAsia="Times New Roman" w:hAnsi="Garamond" w:cs="Times New Roman"/>
          <w:bCs/>
          <w:sz w:val="24"/>
          <w:szCs w:val="24"/>
        </w:rPr>
      </w:pPr>
      <w:r>
        <w:rPr>
          <w:rFonts w:ascii="Garamond" w:hAnsi="Garamond"/>
          <w:sz w:val="24"/>
        </w:rPr>
        <w:t>Ordonnance nº XXX/2023</w:t>
      </w:r>
    </w:p>
    <w:p w14:paraId="055E8259" w14:textId="77777777" w:rsidR="00CD6108" w:rsidRPr="00912F31" w:rsidRDefault="00CD6108" w:rsidP="00CD6108">
      <w:pPr>
        <w:shd w:val="clear" w:color="auto" w:fill="FFFFFF" w:themeFill="background1"/>
        <w:spacing w:after="225" w:line="360" w:lineRule="auto"/>
        <w:rPr>
          <w:rFonts w:ascii="Garamond" w:eastAsia="Times New Roman" w:hAnsi="Garamond" w:cs="Times New Roman"/>
          <w:bCs/>
          <w:sz w:val="24"/>
          <w:szCs w:val="24"/>
          <w:lang w:eastAsia="pt-PT"/>
        </w:rPr>
      </w:pPr>
    </w:p>
    <w:p w14:paraId="15BB47EF" w14:textId="51345528" w:rsidR="00CD6108" w:rsidRDefault="00CD6108" w:rsidP="00CD6108">
      <w:pPr>
        <w:shd w:val="clear" w:color="auto" w:fill="FFFFFF" w:themeFill="background1"/>
        <w:spacing w:after="225" w:line="360" w:lineRule="auto"/>
        <w:jc w:val="both"/>
        <w:rPr>
          <w:rFonts w:ascii="Garamond" w:eastAsia="Times New Roman" w:hAnsi="Garamond" w:cs="Times New Roman"/>
          <w:bCs/>
          <w:sz w:val="24"/>
          <w:szCs w:val="24"/>
        </w:rPr>
      </w:pPr>
      <w:r>
        <w:rPr>
          <w:rFonts w:ascii="Garamond" w:hAnsi="Garamond"/>
          <w:sz w:val="24"/>
        </w:rPr>
        <w:t>Résumé: Ordonnance portant règlement sur le contrôle métrologique légal des opacimètres</w:t>
      </w:r>
    </w:p>
    <w:p w14:paraId="4AE88BD5" w14:textId="0D92811E" w:rsidR="00501FB0" w:rsidRDefault="00752C59" w:rsidP="00501FB0">
      <w:pPr>
        <w:spacing w:after="120" w:line="360" w:lineRule="auto"/>
        <w:jc w:val="both"/>
        <w:rPr>
          <w:rFonts w:ascii="Garamond" w:hAnsi="Garamond" w:cs="Arial"/>
          <w:sz w:val="24"/>
          <w:szCs w:val="24"/>
        </w:rPr>
      </w:pPr>
      <w:r>
        <w:rPr>
          <w:rFonts w:ascii="Garamond" w:hAnsi="Garamond"/>
          <w:sz w:val="24"/>
        </w:rPr>
        <w:t>Le contrôle métrologique des méthodes et des instruments de mesure au Portugal est conforme au régime général approuvé par le décret-loi nº 29/2022 du 7 avril, aux dispositions réglementaires générales prévues par le règlement général sur le contrôle métrologique approuvé par l’ordonnance nº 211/2022 du 23 août, ainsi qu’aux dispositions prévues par les ordonnances spécifiques à chaque instrument de mesure.</w:t>
      </w:r>
    </w:p>
    <w:p w14:paraId="0689E6B7" w14:textId="3B86FDFE" w:rsidR="00CB623B" w:rsidRDefault="00CB623B" w:rsidP="00B86C46">
      <w:pPr>
        <w:shd w:val="clear" w:color="auto" w:fill="FFFFFF" w:themeFill="background1"/>
        <w:spacing w:after="120" w:line="360" w:lineRule="auto"/>
        <w:jc w:val="both"/>
        <w:rPr>
          <w:rFonts w:ascii="Garamond" w:hAnsi="Garamond" w:cs="Arial"/>
          <w:sz w:val="24"/>
          <w:szCs w:val="24"/>
        </w:rPr>
      </w:pPr>
      <w:bookmarkStart w:id="0" w:name="_Hlk66124405"/>
      <w:r>
        <w:rPr>
          <w:rFonts w:ascii="Garamond" w:hAnsi="Garamond"/>
          <w:sz w:val="24"/>
        </w:rPr>
        <w:t>Compte tenu de la publication de ce cadre juridique, il est nécessaire d’adopter la réglementation spécifique à laquelle doit répondre le contrôle métrologique des opacimètres, abrogeant l’ordonnance nº 797/2009 du 1er décembre.</w:t>
      </w:r>
    </w:p>
    <w:p w14:paraId="44CADCEE" w14:textId="5BD42CB3" w:rsidR="00473279" w:rsidRPr="00B86C46" w:rsidRDefault="00473279" w:rsidP="00B86C46">
      <w:pPr>
        <w:shd w:val="clear" w:color="auto" w:fill="FFFFFF" w:themeFill="background1"/>
        <w:spacing w:after="120" w:line="360" w:lineRule="auto"/>
        <w:jc w:val="both"/>
        <w:rPr>
          <w:rFonts w:ascii="Garamond" w:eastAsia="Times New Roman" w:hAnsi="Garamond" w:cs="Times New Roman"/>
          <w:bCs/>
          <w:sz w:val="24"/>
          <w:szCs w:val="24"/>
        </w:rPr>
      </w:pPr>
      <w:r>
        <w:rPr>
          <w:rFonts w:ascii="Garamond" w:hAnsi="Garamond"/>
          <w:sz w:val="24"/>
        </w:rPr>
        <w:t>La présente ordonnance a été soumise à la procédure d’information dans le domaine des réglementations techniques et des règles relatives aux services de la société de l’information prévue par la Directive (UE) 2015/1535 du Parlement européen et du Conseil du 9 septembre 2015.</w:t>
      </w:r>
    </w:p>
    <w:bookmarkEnd w:id="0"/>
    <w:p w14:paraId="03472A57" w14:textId="157F5F06" w:rsidR="00752C59" w:rsidRPr="003D5AFB" w:rsidRDefault="001E2713" w:rsidP="000E7B45">
      <w:pPr>
        <w:spacing w:after="120" w:line="360" w:lineRule="auto"/>
        <w:jc w:val="both"/>
        <w:rPr>
          <w:rFonts w:ascii="Garamond" w:hAnsi="Garamond" w:cs="Arial"/>
          <w:sz w:val="24"/>
          <w:szCs w:val="24"/>
        </w:rPr>
      </w:pPr>
      <w:r>
        <w:rPr>
          <w:rFonts w:ascii="Garamond" w:hAnsi="Garamond"/>
          <w:sz w:val="24"/>
        </w:rPr>
        <w:t>Ainsi:</w:t>
      </w:r>
    </w:p>
    <w:p w14:paraId="675622A4" w14:textId="215B8811" w:rsidR="00CB623B" w:rsidRPr="00CA3DB1" w:rsidRDefault="00CB623B" w:rsidP="00CB623B">
      <w:pPr>
        <w:spacing w:after="120" w:line="360" w:lineRule="auto"/>
        <w:jc w:val="both"/>
        <w:rPr>
          <w:rFonts w:ascii="Garamond" w:hAnsi="Garamond" w:cs="Arial"/>
          <w:sz w:val="24"/>
          <w:szCs w:val="24"/>
        </w:rPr>
      </w:pPr>
      <w:r>
        <w:rPr>
          <w:rFonts w:ascii="Garamond" w:hAnsi="Garamond"/>
          <w:sz w:val="24"/>
        </w:rPr>
        <w:t>En vertu des dispositions de l’article 2, point a), et de l’article 25, paragraphe 1, du décret-loi nº 29/2022 du 7 avril, conjuguées aux dispositions de l’article premier, paragraphe 4, du règlement annexé à l’ordonnance nº 211/2022 du 23 août, le gouvernement, par l’intermédiaire du secrétaire d’État à l’économie, ordonne ce qui suit:</w:t>
      </w:r>
    </w:p>
    <w:p w14:paraId="222F76DE" w14:textId="77777777" w:rsidR="00DB3A4E" w:rsidRPr="003D5AFB" w:rsidRDefault="00DB3A4E" w:rsidP="000E7B45">
      <w:pPr>
        <w:spacing w:after="120" w:line="360" w:lineRule="auto"/>
        <w:jc w:val="center"/>
        <w:rPr>
          <w:rFonts w:ascii="Garamond" w:hAnsi="Garamond"/>
          <w:sz w:val="24"/>
          <w:szCs w:val="24"/>
        </w:rPr>
      </w:pPr>
    </w:p>
    <w:p w14:paraId="1AA088A4" w14:textId="127C5176" w:rsidR="00503EE6" w:rsidRPr="003D5AFB" w:rsidRDefault="00503EE6" w:rsidP="000E7B45">
      <w:pPr>
        <w:spacing w:after="120" w:line="360" w:lineRule="auto"/>
        <w:jc w:val="center"/>
        <w:rPr>
          <w:rFonts w:ascii="Garamond" w:hAnsi="Garamond" w:cs="Arial"/>
          <w:b/>
          <w:bCs/>
          <w:sz w:val="24"/>
          <w:szCs w:val="24"/>
        </w:rPr>
      </w:pPr>
      <w:r>
        <w:rPr>
          <w:rFonts w:ascii="Garamond" w:hAnsi="Garamond"/>
          <w:sz w:val="24"/>
        </w:rPr>
        <w:t>Article premier</w:t>
      </w:r>
    </w:p>
    <w:p w14:paraId="1BA6C310"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Objet</w:t>
      </w:r>
    </w:p>
    <w:p w14:paraId="02F0580C" w14:textId="4858DA5D" w:rsidR="00572E2D" w:rsidRPr="003D5AFB" w:rsidRDefault="00503EE6" w:rsidP="00501FB0">
      <w:pPr>
        <w:spacing w:after="120" w:line="360" w:lineRule="auto"/>
        <w:jc w:val="both"/>
        <w:rPr>
          <w:rFonts w:ascii="Garamond" w:hAnsi="Garamond" w:cs="Arial"/>
          <w:sz w:val="24"/>
          <w:szCs w:val="24"/>
        </w:rPr>
      </w:pPr>
      <w:r>
        <w:rPr>
          <w:rFonts w:ascii="Garamond" w:hAnsi="Garamond"/>
          <w:sz w:val="24"/>
        </w:rPr>
        <w:t>Le règlement relatif au contrôle métrologique légal des opacimètres annexé à la présente ordonnance, dont il fait partie intégrante, est approuvé.</w:t>
      </w:r>
    </w:p>
    <w:p w14:paraId="3265F547" w14:textId="77777777" w:rsidR="00A57A1C" w:rsidRPr="003D5AFB" w:rsidRDefault="00A57A1C" w:rsidP="00501FB0">
      <w:pPr>
        <w:spacing w:after="120" w:line="360" w:lineRule="auto"/>
        <w:jc w:val="both"/>
        <w:rPr>
          <w:rFonts w:ascii="Garamond" w:hAnsi="Garamond" w:cs="Arial"/>
          <w:sz w:val="24"/>
          <w:szCs w:val="24"/>
        </w:rPr>
      </w:pPr>
    </w:p>
    <w:p w14:paraId="198BBB32" w14:textId="65BF9CD4"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Article 2</w:t>
      </w:r>
    </w:p>
    <w:p w14:paraId="209921D8"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Clause d’abrogation</w:t>
      </w:r>
    </w:p>
    <w:p w14:paraId="2DB40EAF" w14:textId="1318F5B8" w:rsidR="00503EE6" w:rsidRPr="003D5AFB" w:rsidRDefault="00503EE6" w:rsidP="00501FB0">
      <w:pPr>
        <w:spacing w:after="120" w:line="360" w:lineRule="auto"/>
        <w:jc w:val="both"/>
        <w:rPr>
          <w:rFonts w:ascii="Garamond" w:hAnsi="Garamond" w:cs="Arial"/>
          <w:sz w:val="24"/>
          <w:szCs w:val="24"/>
        </w:rPr>
      </w:pPr>
      <w:r>
        <w:rPr>
          <w:rFonts w:ascii="Garamond" w:hAnsi="Garamond"/>
          <w:sz w:val="24"/>
        </w:rPr>
        <w:t>L’ordonnance nº 797/2009 du 1 décembre est abrogée.</w:t>
      </w:r>
    </w:p>
    <w:p w14:paraId="0F60FE99" w14:textId="77777777" w:rsidR="00A57A1C" w:rsidRPr="003D5AFB" w:rsidRDefault="00A57A1C" w:rsidP="00501FB0">
      <w:pPr>
        <w:spacing w:after="120" w:line="360" w:lineRule="auto"/>
        <w:jc w:val="both"/>
        <w:rPr>
          <w:rFonts w:ascii="Garamond" w:hAnsi="Garamond" w:cs="Arial"/>
          <w:sz w:val="24"/>
          <w:szCs w:val="24"/>
        </w:rPr>
      </w:pPr>
    </w:p>
    <w:p w14:paraId="6FA41C09" w14:textId="77777777"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Article 3</w:t>
      </w:r>
    </w:p>
    <w:p w14:paraId="05D48045"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Entrée en vigueur</w:t>
      </w:r>
    </w:p>
    <w:p w14:paraId="06329FD8" w14:textId="0217627E" w:rsidR="000D5C89" w:rsidRPr="000E7B45" w:rsidRDefault="000D5C89" w:rsidP="000D5C89">
      <w:pPr>
        <w:spacing w:after="120" w:line="360" w:lineRule="auto"/>
        <w:jc w:val="both"/>
        <w:rPr>
          <w:rFonts w:ascii="Garamond" w:hAnsi="Garamond" w:cs="Arial"/>
          <w:sz w:val="24"/>
          <w:szCs w:val="24"/>
        </w:rPr>
      </w:pPr>
      <w:r>
        <w:rPr>
          <w:rFonts w:ascii="Garamond" w:hAnsi="Garamond"/>
          <w:sz w:val="24"/>
        </w:rPr>
        <w:t>La présente ordonnance entre en vigueur le jour suivant sa publication.</w:t>
      </w:r>
    </w:p>
    <w:p w14:paraId="5F2AE5CD" w14:textId="77777777" w:rsidR="000D5C89" w:rsidRDefault="000D5C89" w:rsidP="000D5C89">
      <w:pPr>
        <w:spacing w:after="120" w:line="360" w:lineRule="auto"/>
        <w:jc w:val="both"/>
        <w:rPr>
          <w:rFonts w:ascii="Garamond" w:hAnsi="Garamond" w:cs="Arial"/>
          <w:sz w:val="24"/>
          <w:szCs w:val="24"/>
        </w:rPr>
      </w:pPr>
    </w:p>
    <w:p w14:paraId="0BBEDC7E" w14:textId="77777777" w:rsidR="000D5C89" w:rsidRDefault="000D5C89" w:rsidP="000D5C89">
      <w:pPr>
        <w:spacing w:after="120" w:line="360" w:lineRule="auto"/>
        <w:jc w:val="both"/>
        <w:rPr>
          <w:rFonts w:ascii="Garamond" w:hAnsi="Garamond" w:cs="Arial"/>
          <w:sz w:val="24"/>
          <w:szCs w:val="24"/>
        </w:rPr>
      </w:pPr>
    </w:p>
    <w:p w14:paraId="341D7A48" w14:textId="652BB506" w:rsidR="000D5C89" w:rsidRPr="00BF69F3" w:rsidRDefault="000D5C89" w:rsidP="000D5C89">
      <w:pPr>
        <w:spacing w:after="120" w:line="360" w:lineRule="auto"/>
        <w:rPr>
          <w:rFonts w:ascii="Garamond" w:hAnsi="Garamond" w:cs="Arial"/>
          <w:sz w:val="24"/>
          <w:szCs w:val="24"/>
        </w:rPr>
      </w:pPr>
      <w:r>
        <w:rPr>
          <w:rFonts w:ascii="Garamond" w:hAnsi="Garamond"/>
          <w:sz w:val="24"/>
        </w:rPr>
        <w:t xml:space="preserve">xx </w:t>
      </w:r>
      <w:proofErr w:type="spellStart"/>
      <w:r>
        <w:rPr>
          <w:rFonts w:ascii="Garamond" w:hAnsi="Garamond"/>
          <w:sz w:val="24"/>
        </w:rPr>
        <w:t>xxxxxx</w:t>
      </w:r>
      <w:proofErr w:type="spellEnd"/>
      <w:r>
        <w:rPr>
          <w:rFonts w:ascii="Garamond" w:hAnsi="Garamond"/>
          <w:sz w:val="24"/>
        </w:rPr>
        <w:t xml:space="preserve"> 2023. – Le secrétaire d’État à l’économie, </w:t>
      </w:r>
      <w:r>
        <w:rPr>
          <w:rFonts w:ascii="Garamond" w:hAnsi="Garamond"/>
          <w:i/>
          <w:sz w:val="24"/>
        </w:rPr>
        <w:t xml:space="preserve">Pedro </w:t>
      </w:r>
      <w:proofErr w:type="spellStart"/>
      <w:r>
        <w:rPr>
          <w:rFonts w:ascii="Garamond" w:hAnsi="Garamond"/>
          <w:i/>
          <w:sz w:val="24"/>
        </w:rPr>
        <w:t>Cilínio</w:t>
      </w:r>
      <w:proofErr w:type="spellEnd"/>
      <w:r>
        <w:rPr>
          <w:rFonts w:ascii="Garamond" w:hAnsi="Garamond"/>
          <w:sz w:val="24"/>
        </w:rPr>
        <w:t>.</w:t>
      </w:r>
    </w:p>
    <w:p w14:paraId="2FABC214" w14:textId="77777777" w:rsidR="00FC7BA5" w:rsidRPr="003D5AFB" w:rsidRDefault="00FC7BA5" w:rsidP="00BF69F3">
      <w:pPr>
        <w:spacing w:after="120" w:line="360" w:lineRule="auto"/>
        <w:jc w:val="both"/>
        <w:rPr>
          <w:rFonts w:ascii="Garamond" w:hAnsi="Garamond" w:cs="Arial"/>
          <w:sz w:val="24"/>
          <w:szCs w:val="24"/>
        </w:rPr>
      </w:pPr>
    </w:p>
    <w:p w14:paraId="7BDA659C" w14:textId="77777777" w:rsidR="00327929" w:rsidRPr="003D5AFB" w:rsidRDefault="00327929">
      <w:pPr>
        <w:rPr>
          <w:rFonts w:ascii="Garamond" w:hAnsi="Garamond" w:cs="Arial"/>
          <w:sz w:val="24"/>
          <w:szCs w:val="24"/>
        </w:rPr>
      </w:pPr>
      <w:r>
        <w:br w:type="page"/>
      </w:r>
    </w:p>
    <w:p w14:paraId="67F457C7" w14:textId="010A1BD5" w:rsidR="00503EE6" w:rsidRPr="003D5AFB" w:rsidRDefault="00503EE6" w:rsidP="00BF69F3">
      <w:pPr>
        <w:spacing w:after="120" w:line="360" w:lineRule="auto"/>
        <w:jc w:val="center"/>
        <w:rPr>
          <w:rFonts w:ascii="Garamond" w:hAnsi="Garamond" w:cs="Arial"/>
          <w:sz w:val="24"/>
          <w:szCs w:val="24"/>
        </w:rPr>
      </w:pPr>
      <w:r>
        <w:rPr>
          <w:rFonts w:ascii="Garamond" w:hAnsi="Garamond"/>
          <w:sz w:val="24"/>
        </w:rPr>
        <w:lastRenderedPageBreak/>
        <w:t>ANNEXE</w:t>
      </w:r>
    </w:p>
    <w:p w14:paraId="7BBDD6D4" w14:textId="792EC905" w:rsidR="00B55531" w:rsidRPr="003D5AFB" w:rsidRDefault="00B55531" w:rsidP="000E7B45">
      <w:pPr>
        <w:spacing w:after="120" w:line="360" w:lineRule="auto"/>
        <w:jc w:val="center"/>
        <w:rPr>
          <w:rFonts w:ascii="Garamond" w:hAnsi="Garamond" w:cs="Arial"/>
          <w:b/>
          <w:bCs/>
          <w:sz w:val="24"/>
          <w:szCs w:val="24"/>
        </w:rPr>
      </w:pPr>
      <w:r>
        <w:rPr>
          <w:rFonts w:ascii="Garamond" w:hAnsi="Garamond"/>
          <w:b/>
          <w:sz w:val="24"/>
        </w:rPr>
        <w:t>RÉGLEMENTATION RELATIVE AU CONTRÔLE MÉTROLOGIQUE LÉGAL DES OPACIMÈTRES</w:t>
      </w:r>
    </w:p>
    <w:p w14:paraId="1024B4FA" w14:textId="77777777" w:rsidR="00FC7BA5" w:rsidRPr="003D5AFB" w:rsidRDefault="00FC7BA5" w:rsidP="00501FB0">
      <w:pPr>
        <w:spacing w:after="120" w:line="360" w:lineRule="auto"/>
        <w:jc w:val="center"/>
        <w:rPr>
          <w:rFonts w:ascii="Garamond" w:hAnsi="Garamond" w:cs="Arial"/>
          <w:sz w:val="24"/>
          <w:szCs w:val="24"/>
        </w:rPr>
      </w:pPr>
    </w:p>
    <w:p w14:paraId="0E18C89E" w14:textId="0E3486D1"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Article premier</w:t>
      </w:r>
    </w:p>
    <w:p w14:paraId="67D520C6" w14:textId="77777777" w:rsidR="00503EE6" w:rsidRPr="003D5AFB" w:rsidRDefault="00503EE6" w:rsidP="000E7B45">
      <w:pPr>
        <w:spacing w:after="120" w:line="360" w:lineRule="auto"/>
        <w:jc w:val="center"/>
        <w:rPr>
          <w:rFonts w:ascii="Garamond" w:hAnsi="Garamond" w:cs="Arial"/>
          <w:b/>
          <w:bCs/>
          <w:sz w:val="24"/>
          <w:szCs w:val="24"/>
        </w:rPr>
      </w:pPr>
      <w:r>
        <w:rPr>
          <w:rFonts w:ascii="Garamond" w:hAnsi="Garamond"/>
          <w:b/>
          <w:sz w:val="24"/>
        </w:rPr>
        <w:t>Champ d’application</w:t>
      </w:r>
    </w:p>
    <w:p w14:paraId="4356A378" w14:textId="58CC8C8E" w:rsidR="00B55531" w:rsidRPr="003D5AFB" w:rsidRDefault="00B55531" w:rsidP="000E7B45">
      <w:pPr>
        <w:spacing w:after="120" w:line="360" w:lineRule="auto"/>
        <w:jc w:val="both"/>
        <w:rPr>
          <w:rFonts w:ascii="Garamond" w:hAnsi="Garamond" w:cs="Arial"/>
          <w:sz w:val="24"/>
          <w:szCs w:val="24"/>
        </w:rPr>
      </w:pPr>
      <w:r>
        <w:rPr>
          <w:rFonts w:ascii="Garamond" w:hAnsi="Garamond"/>
          <w:sz w:val="24"/>
        </w:rPr>
        <w:t>Le présent règlement s’applique aux opacimètres destinés à mesurer l’opacité des émissions d’échappement des véhicules à moteur diesel.</w:t>
      </w:r>
    </w:p>
    <w:p w14:paraId="7531927A" w14:textId="77777777" w:rsidR="00A57A1C" w:rsidRPr="003D5AFB" w:rsidRDefault="00A57A1C" w:rsidP="000E7B45">
      <w:pPr>
        <w:spacing w:after="120" w:line="360" w:lineRule="auto"/>
        <w:jc w:val="both"/>
        <w:rPr>
          <w:rFonts w:ascii="Garamond" w:hAnsi="Garamond" w:cs="Arial"/>
          <w:sz w:val="24"/>
          <w:szCs w:val="24"/>
        </w:rPr>
      </w:pPr>
    </w:p>
    <w:p w14:paraId="38FD58A9" w14:textId="0558B44D" w:rsidR="00503EE6" w:rsidRPr="003D5AFB" w:rsidRDefault="00503EE6" w:rsidP="000E7B45">
      <w:pPr>
        <w:spacing w:after="120" w:line="360" w:lineRule="auto"/>
        <w:jc w:val="center"/>
        <w:rPr>
          <w:rFonts w:ascii="Garamond" w:hAnsi="Garamond" w:cs="Arial"/>
          <w:sz w:val="24"/>
          <w:szCs w:val="24"/>
        </w:rPr>
      </w:pPr>
      <w:r>
        <w:rPr>
          <w:rFonts w:ascii="Garamond" w:hAnsi="Garamond"/>
          <w:sz w:val="24"/>
        </w:rPr>
        <w:t>Article 2</w:t>
      </w:r>
    </w:p>
    <w:p w14:paraId="5FB19F42" w14:textId="3A391A93"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 xml:space="preserve">Définition </w:t>
      </w:r>
    </w:p>
    <w:p w14:paraId="216E5843" w14:textId="78AA9014" w:rsidR="00A57A1C" w:rsidRDefault="00E144AF" w:rsidP="000E7B45">
      <w:pPr>
        <w:spacing w:after="120" w:line="360" w:lineRule="auto"/>
        <w:jc w:val="both"/>
        <w:rPr>
          <w:rFonts w:ascii="Garamond" w:hAnsi="Garamond" w:cs="Arial"/>
          <w:sz w:val="24"/>
          <w:szCs w:val="24"/>
        </w:rPr>
      </w:pPr>
      <w:r>
        <w:rPr>
          <w:rFonts w:ascii="Garamond" w:hAnsi="Garamond"/>
          <w:sz w:val="24"/>
        </w:rPr>
        <w:t>Aux fins du présent règlement, on entend par «opacimètres» les instruments conçus pour mesurer en continu l’opacité des gaz d’échappement émis par les véhicules.</w:t>
      </w:r>
    </w:p>
    <w:p w14:paraId="0EC431E1" w14:textId="77777777" w:rsidR="00C97828" w:rsidRPr="003D5AFB" w:rsidRDefault="00C97828" w:rsidP="000E7B45">
      <w:pPr>
        <w:spacing w:after="120" w:line="360" w:lineRule="auto"/>
        <w:jc w:val="both"/>
        <w:rPr>
          <w:rFonts w:ascii="Garamond" w:hAnsi="Garamond" w:cs="Arial"/>
          <w:sz w:val="24"/>
          <w:szCs w:val="24"/>
        </w:rPr>
      </w:pPr>
    </w:p>
    <w:p w14:paraId="0C24B2CF" w14:textId="65386484" w:rsidR="00503EE6" w:rsidRPr="003D5AFB" w:rsidRDefault="00503EE6" w:rsidP="000E7B45">
      <w:pPr>
        <w:spacing w:after="120" w:line="360" w:lineRule="auto"/>
        <w:jc w:val="center"/>
        <w:rPr>
          <w:rFonts w:ascii="Garamond" w:hAnsi="Garamond" w:cs="Arial"/>
          <w:sz w:val="24"/>
          <w:szCs w:val="24"/>
        </w:rPr>
      </w:pPr>
      <w:bookmarkStart w:id="1" w:name="_Hlk63432496"/>
      <w:r>
        <w:rPr>
          <w:rFonts w:ascii="Garamond" w:hAnsi="Garamond"/>
          <w:sz w:val="24"/>
        </w:rPr>
        <w:t>Article 3</w:t>
      </w:r>
    </w:p>
    <w:bookmarkEnd w:id="1"/>
    <w:p w14:paraId="58D3E434" w14:textId="77777777" w:rsidR="006D605C" w:rsidRPr="003D5AFB" w:rsidRDefault="006D605C" w:rsidP="006D605C">
      <w:pPr>
        <w:spacing w:after="120" w:line="360" w:lineRule="auto"/>
        <w:jc w:val="center"/>
        <w:rPr>
          <w:rFonts w:ascii="Garamond" w:hAnsi="Garamond" w:cs="Arial"/>
          <w:b/>
          <w:bCs/>
          <w:sz w:val="24"/>
          <w:szCs w:val="24"/>
        </w:rPr>
      </w:pPr>
      <w:r>
        <w:rPr>
          <w:rFonts w:ascii="Garamond" w:hAnsi="Garamond"/>
          <w:b/>
          <w:sz w:val="24"/>
        </w:rPr>
        <w:t>Mise en service</w:t>
      </w:r>
    </w:p>
    <w:p w14:paraId="53E67223" w14:textId="39B9CF21" w:rsidR="006D605C" w:rsidRPr="003D5AFB" w:rsidRDefault="006D605C" w:rsidP="006D605C">
      <w:pPr>
        <w:spacing w:after="120" w:line="360" w:lineRule="auto"/>
        <w:jc w:val="both"/>
        <w:rPr>
          <w:rFonts w:ascii="Garamond" w:hAnsi="Garamond" w:cs="Arial"/>
          <w:sz w:val="24"/>
          <w:szCs w:val="24"/>
        </w:rPr>
      </w:pPr>
      <w:r>
        <w:rPr>
          <w:rFonts w:ascii="Garamond" w:hAnsi="Garamond"/>
          <w:sz w:val="24"/>
        </w:rPr>
        <w:t xml:space="preserve">Les opacimètres doivent répondre aux exigences métrologiques et techniques définies </w:t>
      </w:r>
      <w:bookmarkStart w:id="2" w:name="_Hlk63409046"/>
      <w:bookmarkStart w:id="3" w:name="_Hlk63674255"/>
      <w:r>
        <w:rPr>
          <w:rFonts w:ascii="Garamond" w:hAnsi="Garamond"/>
          <w:sz w:val="24"/>
        </w:rPr>
        <w:t xml:space="preserve">par la </w:t>
      </w:r>
      <w:bookmarkEnd w:id="2"/>
      <w:bookmarkEnd w:id="3"/>
      <w:r>
        <w:rPr>
          <w:rFonts w:ascii="Garamond" w:hAnsi="Garamond"/>
          <w:sz w:val="24"/>
        </w:rPr>
        <w:t>norme ISO 11614.</w:t>
      </w:r>
    </w:p>
    <w:p w14:paraId="329073A8" w14:textId="77777777" w:rsidR="00A57A1C" w:rsidRPr="003D5AFB" w:rsidRDefault="00A57A1C" w:rsidP="000E7B45">
      <w:pPr>
        <w:spacing w:after="120" w:line="360" w:lineRule="auto"/>
        <w:jc w:val="both"/>
        <w:rPr>
          <w:rFonts w:ascii="Garamond" w:hAnsi="Garamond" w:cs="Arial"/>
          <w:sz w:val="24"/>
          <w:szCs w:val="24"/>
        </w:rPr>
      </w:pPr>
    </w:p>
    <w:p w14:paraId="110D83CD" w14:textId="43F70083" w:rsidR="00533F9E" w:rsidRPr="003D5AFB" w:rsidRDefault="00533F9E" w:rsidP="000E7B45">
      <w:pPr>
        <w:spacing w:after="120" w:line="360" w:lineRule="auto"/>
        <w:jc w:val="center"/>
        <w:rPr>
          <w:rFonts w:ascii="Garamond" w:hAnsi="Garamond" w:cs="Arial"/>
          <w:sz w:val="24"/>
          <w:szCs w:val="24"/>
        </w:rPr>
      </w:pPr>
      <w:r>
        <w:rPr>
          <w:rFonts w:ascii="Garamond" w:hAnsi="Garamond"/>
          <w:sz w:val="24"/>
        </w:rPr>
        <w:t>Article 4</w:t>
      </w:r>
    </w:p>
    <w:p w14:paraId="75DB895D" w14:textId="58B82272" w:rsidR="00C75076" w:rsidRPr="003D5AFB" w:rsidRDefault="00597F39" w:rsidP="000E7B45">
      <w:pPr>
        <w:spacing w:after="120" w:line="360" w:lineRule="auto"/>
        <w:jc w:val="center"/>
        <w:rPr>
          <w:rFonts w:ascii="Garamond" w:hAnsi="Garamond" w:cs="Arial"/>
          <w:sz w:val="24"/>
          <w:szCs w:val="24"/>
        </w:rPr>
      </w:pPr>
      <w:r>
        <w:rPr>
          <w:rFonts w:ascii="Garamond" w:hAnsi="Garamond"/>
          <w:b/>
          <w:sz w:val="24"/>
        </w:rPr>
        <w:t>Indication</w:t>
      </w:r>
    </w:p>
    <w:p w14:paraId="7F87933E" w14:textId="542F813F"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(1) L’indication des opacimètres doit être exprimée au moyen du coefficient d’absorption lumineuse, représenté par le symbole k, et dans l’unité m</w:t>
      </w:r>
      <w:r>
        <w:rPr>
          <w:rFonts w:ascii="Garamond" w:hAnsi="Garamond"/>
          <w:sz w:val="24"/>
          <w:vertAlign w:val="superscript"/>
        </w:rPr>
        <w:t>-1</w:t>
      </w:r>
      <w:r>
        <w:rPr>
          <w:rFonts w:ascii="Garamond" w:hAnsi="Garamond"/>
          <w:sz w:val="24"/>
        </w:rPr>
        <w:t>.</w:t>
      </w:r>
    </w:p>
    <w:p w14:paraId="0F28A0DF" w14:textId="3D7E2FD2" w:rsidR="00197A36" w:rsidRPr="00197A36" w:rsidRDefault="00197A36" w:rsidP="00197A36">
      <w:pPr>
        <w:spacing w:after="120" w:line="360" w:lineRule="auto"/>
        <w:jc w:val="both"/>
        <w:rPr>
          <w:rFonts w:ascii="Garamond" w:hAnsi="Garamond" w:cs="Arial"/>
          <w:sz w:val="24"/>
          <w:szCs w:val="24"/>
        </w:rPr>
      </w:pPr>
      <w:r>
        <w:rPr>
          <w:rFonts w:ascii="Garamond" w:hAnsi="Garamond"/>
          <w:sz w:val="24"/>
        </w:rPr>
        <w:t>(2) Les valeurs d’opacité sont des pourcentages et sont exprimées par le symbole N.</w:t>
      </w:r>
    </w:p>
    <w:p w14:paraId="7B029027" w14:textId="571AF0FE" w:rsidR="001B79B7" w:rsidRPr="003D5AFB" w:rsidRDefault="00197A36" w:rsidP="00197A36">
      <w:pPr>
        <w:spacing w:after="120" w:line="360" w:lineRule="auto"/>
        <w:jc w:val="both"/>
        <w:rPr>
          <w:rFonts w:ascii="Garamond" w:hAnsi="Garamond" w:cs="Arial"/>
          <w:sz w:val="24"/>
          <w:szCs w:val="24"/>
        </w:rPr>
      </w:pPr>
      <w:r>
        <w:rPr>
          <w:rFonts w:ascii="Garamond" w:hAnsi="Garamond"/>
          <w:sz w:val="24"/>
        </w:rPr>
        <w:t>(3) Lorsque le facteur de conversion est dûment exprimé, d’autres unités équivalentes peuvent être acceptées sur la base des unités du Système international d’unités (SI).</w:t>
      </w:r>
    </w:p>
    <w:p w14:paraId="6978003C" w14:textId="77777777" w:rsidR="00A57A1C" w:rsidRPr="003D5AFB" w:rsidRDefault="00A57A1C" w:rsidP="000E7B45">
      <w:pPr>
        <w:spacing w:after="120" w:line="360" w:lineRule="auto"/>
        <w:jc w:val="both"/>
        <w:rPr>
          <w:rFonts w:ascii="Garamond" w:hAnsi="Garamond" w:cs="Arial"/>
          <w:sz w:val="24"/>
          <w:szCs w:val="24"/>
        </w:rPr>
      </w:pPr>
    </w:p>
    <w:p w14:paraId="3488AB2F" w14:textId="3E4CF1F1" w:rsidR="00503EE6" w:rsidRPr="003D5AFB" w:rsidRDefault="00503EE6" w:rsidP="006369C2">
      <w:pPr>
        <w:keepNext/>
        <w:spacing w:after="120" w:line="360" w:lineRule="auto"/>
        <w:jc w:val="center"/>
        <w:rPr>
          <w:rFonts w:ascii="Garamond" w:hAnsi="Garamond" w:cs="Arial"/>
          <w:sz w:val="24"/>
          <w:szCs w:val="24"/>
        </w:rPr>
      </w:pPr>
      <w:r>
        <w:rPr>
          <w:rFonts w:ascii="Garamond" w:hAnsi="Garamond"/>
          <w:sz w:val="24"/>
        </w:rPr>
        <w:lastRenderedPageBreak/>
        <w:t>Article 5</w:t>
      </w:r>
    </w:p>
    <w:p w14:paraId="7A1BEF1E" w14:textId="77777777" w:rsidR="00503EE6" w:rsidRPr="003D5AFB" w:rsidRDefault="00503EE6" w:rsidP="005024E2">
      <w:pPr>
        <w:spacing w:after="120" w:line="360" w:lineRule="auto"/>
        <w:jc w:val="center"/>
        <w:rPr>
          <w:rFonts w:ascii="Garamond" w:hAnsi="Garamond" w:cs="Arial"/>
          <w:b/>
          <w:bCs/>
          <w:sz w:val="24"/>
          <w:szCs w:val="24"/>
        </w:rPr>
      </w:pPr>
      <w:r>
        <w:rPr>
          <w:rFonts w:ascii="Garamond" w:hAnsi="Garamond"/>
          <w:b/>
          <w:sz w:val="24"/>
        </w:rPr>
        <w:t>Contrôle métrologique légal</w:t>
      </w:r>
    </w:p>
    <w:p w14:paraId="1A8C137B" w14:textId="3F9C24C1" w:rsidR="00A57A1C" w:rsidRPr="003D5AFB" w:rsidRDefault="00503EE6" w:rsidP="005024E2">
      <w:pPr>
        <w:spacing w:after="120" w:line="360" w:lineRule="auto"/>
        <w:jc w:val="both"/>
        <w:rPr>
          <w:rFonts w:ascii="Garamond" w:hAnsi="Garamond" w:cs="Arial"/>
          <w:sz w:val="24"/>
          <w:szCs w:val="24"/>
        </w:rPr>
      </w:pPr>
      <w:r>
        <w:rPr>
          <w:rFonts w:ascii="Garamond" w:hAnsi="Garamond"/>
          <w:sz w:val="24"/>
        </w:rPr>
        <w:t xml:space="preserve">Le contrôle métrologique légal des </w:t>
      </w:r>
      <w:bookmarkStart w:id="4" w:name="_Hlk106875133"/>
      <w:r>
        <w:rPr>
          <w:rFonts w:ascii="Garamond" w:hAnsi="Garamond"/>
          <w:sz w:val="24"/>
        </w:rPr>
        <w:t xml:space="preserve">opacimètres </w:t>
      </w:r>
      <w:bookmarkEnd w:id="4"/>
      <w:r>
        <w:rPr>
          <w:rFonts w:ascii="Garamond" w:hAnsi="Garamond"/>
          <w:sz w:val="24"/>
        </w:rPr>
        <w:t>est la responsabilité de l’Institut portugais de la qualité, I. P. (IPQ, I. P.) et comprend les opérations d’approbation de modèle, de première vérification, de vérification périodique et de vérification extraordinaire.</w:t>
      </w:r>
    </w:p>
    <w:p w14:paraId="70D6A65A" w14:textId="77777777" w:rsidR="00FC7BA5" w:rsidRPr="003D5AFB" w:rsidRDefault="00FC7BA5" w:rsidP="00093EAB">
      <w:pPr>
        <w:spacing w:after="120" w:line="360" w:lineRule="auto"/>
        <w:jc w:val="both"/>
        <w:rPr>
          <w:rFonts w:ascii="Garamond" w:hAnsi="Garamond" w:cs="Arial"/>
          <w:sz w:val="24"/>
          <w:szCs w:val="24"/>
        </w:rPr>
      </w:pPr>
    </w:p>
    <w:p w14:paraId="7B45623B" w14:textId="732021EA" w:rsidR="00503EE6" w:rsidRPr="003D5AFB" w:rsidRDefault="00503EE6" w:rsidP="00104E49">
      <w:pPr>
        <w:spacing w:after="120" w:line="360" w:lineRule="auto"/>
        <w:jc w:val="center"/>
        <w:rPr>
          <w:rFonts w:ascii="Garamond" w:hAnsi="Garamond" w:cs="Arial"/>
          <w:sz w:val="24"/>
          <w:szCs w:val="24"/>
        </w:rPr>
      </w:pPr>
      <w:r>
        <w:rPr>
          <w:rFonts w:ascii="Garamond" w:hAnsi="Garamond"/>
          <w:sz w:val="24"/>
        </w:rPr>
        <w:t>Article 6</w:t>
      </w:r>
    </w:p>
    <w:p w14:paraId="2FD67190" w14:textId="19023FF4" w:rsidR="00503EE6" w:rsidRPr="003D5AFB" w:rsidRDefault="00727801" w:rsidP="00104E49">
      <w:pPr>
        <w:spacing w:after="120" w:line="360" w:lineRule="auto"/>
        <w:jc w:val="center"/>
        <w:rPr>
          <w:rFonts w:ascii="Garamond" w:hAnsi="Garamond" w:cs="Arial"/>
          <w:b/>
          <w:bCs/>
          <w:sz w:val="24"/>
          <w:szCs w:val="24"/>
        </w:rPr>
      </w:pPr>
      <w:r>
        <w:rPr>
          <w:rFonts w:ascii="Garamond" w:hAnsi="Garamond"/>
          <w:b/>
          <w:sz w:val="24"/>
        </w:rPr>
        <w:t>Approbation de modèle</w:t>
      </w:r>
    </w:p>
    <w:p w14:paraId="07DF1D43" w14:textId="149EC1C6" w:rsidR="00BF3396" w:rsidRDefault="00BF3396" w:rsidP="00BF3396">
      <w:pPr>
        <w:spacing w:after="120" w:line="360" w:lineRule="auto"/>
        <w:jc w:val="both"/>
        <w:rPr>
          <w:rFonts w:ascii="Garamond" w:hAnsi="Garamond"/>
          <w:sz w:val="24"/>
          <w:szCs w:val="24"/>
        </w:rPr>
      </w:pPr>
      <w:r>
        <w:rPr>
          <w:rFonts w:ascii="Garamond" w:hAnsi="Garamond"/>
          <w:sz w:val="24"/>
        </w:rPr>
        <w:t>(1) L’approbation de modèle doit satisfaire aux exigences prévues à l’article 7 du décret-loi nº 29/2022 du 7 avril et à l’article 2 du règlement annexé à l’ordonnance nº 211/2022 du 23 août.</w:t>
      </w:r>
    </w:p>
    <w:p w14:paraId="157246D2" w14:textId="297C8A92" w:rsidR="00BF3396" w:rsidRDefault="00BF3396" w:rsidP="00BF3396">
      <w:pPr>
        <w:spacing w:after="120" w:line="360" w:lineRule="auto"/>
        <w:jc w:val="both"/>
        <w:rPr>
          <w:rFonts w:ascii="Garamond" w:hAnsi="Garamond"/>
          <w:color w:val="000000"/>
          <w:sz w:val="24"/>
          <w:szCs w:val="24"/>
        </w:rPr>
      </w:pPr>
      <w:r>
        <w:rPr>
          <w:rFonts w:ascii="Garamond" w:hAnsi="Garamond"/>
          <w:sz w:val="24"/>
        </w:rPr>
        <w:t xml:space="preserve">(2) Pendant la période de validité de l’approbation de modèle, tout ou partie des modifications apportées au modèle approuvé, par substitution de composants, par ajout d’un dispositif complémentaire, par </w:t>
      </w:r>
      <w:r>
        <w:rPr>
          <w:rFonts w:ascii="Garamond" w:hAnsi="Garamond"/>
          <w:color w:val="000000"/>
          <w:sz w:val="24"/>
        </w:rPr>
        <w:t xml:space="preserve">changement du programme informatique </w:t>
      </w:r>
      <w:r>
        <w:rPr>
          <w:rFonts w:ascii="Garamond" w:hAnsi="Garamond"/>
          <w:i/>
          <w:color w:val="000000"/>
          <w:sz w:val="24"/>
        </w:rPr>
        <w:t>(logiciel)</w:t>
      </w:r>
      <w:r>
        <w:rPr>
          <w:rFonts w:ascii="Garamond" w:hAnsi="Garamond"/>
          <w:color w:val="000000"/>
          <w:sz w:val="24"/>
        </w:rPr>
        <w:t xml:space="preserve"> installé, ou par des modifications susceptibles d’influencer les résultats des mesures ou les conditions d’utilisation réglementaires, nécessitent une nouvelle approbation de modèle.</w:t>
      </w:r>
    </w:p>
    <w:p w14:paraId="5C139199" w14:textId="2B2AC210" w:rsidR="00BF3396" w:rsidRDefault="00BF3396" w:rsidP="00BF3396">
      <w:pPr>
        <w:spacing w:after="120" w:line="360" w:lineRule="auto"/>
        <w:jc w:val="both"/>
        <w:rPr>
          <w:rFonts w:ascii="Garamond" w:hAnsi="Garamond"/>
          <w:color w:val="000000"/>
          <w:sz w:val="24"/>
          <w:szCs w:val="24"/>
        </w:rPr>
      </w:pPr>
      <w:r>
        <w:rPr>
          <w:rFonts w:ascii="Garamond" w:hAnsi="Garamond"/>
          <w:color w:val="000000"/>
          <w:sz w:val="24"/>
        </w:rPr>
        <w:t xml:space="preserve">(3) Les </w:t>
      </w:r>
      <w:r>
        <w:rPr>
          <w:rFonts w:ascii="Garamond" w:hAnsi="Garamond"/>
          <w:sz w:val="24"/>
        </w:rPr>
        <w:t xml:space="preserve">logiciels </w:t>
      </w:r>
      <w:r>
        <w:rPr>
          <w:rFonts w:ascii="Garamond" w:hAnsi="Garamond"/>
          <w:color w:val="000000"/>
          <w:sz w:val="24"/>
        </w:rPr>
        <w:t>utilisés par les</w:t>
      </w:r>
      <w:bookmarkStart w:id="5" w:name="_Hlk126936097"/>
      <w:r w:rsidR="006369C2">
        <w:rPr>
          <w:rFonts w:ascii="Garamond" w:hAnsi="Garamond"/>
          <w:color w:val="000000"/>
          <w:sz w:val="24"/>
        </w:rPr>
        <w:t xml:space="preserve"> </w:t>
      </w:r>
      <w:r>
        <w:rPr>
          <w:rFonts w:ascii="Garamond" w:hAnsi="Garamond"/>
          <w:sz w:val="24"/>
        </w:rPr>
        <w:t>opacimètres</w:t>
      </w:r>
      <w:r>
        <w:rPr>
          <w:rFonts w:ascii="Garamond" w:hAnsi="Garamond"/>
          <w:color w:val="000000"/>
          <w:sz w:val="24"/>
        </w:rPr>
        <w:t xml:space="preserve"> </w:t>
      </w:r>
      <w:bookmarkEnd w:id="5"/>
      <w:r>
        <w:rPr>
          <w:rFonts w:ascii="Garamond" w:hAnsi="Garamond"/>
          <w:color w:val="000000"/>
          <w:sz w:val="24"/>
        </w:rPr>
        <w:t>doivent assurer l’intégrité et la confidentialité des données obtenues et soumises, et doivent également faire l’objet d’une identification unique et sans équivoque.</w:t>
      </w:r>
    </w:p>
    <w:p w14:paraId="2FCFDA57" w14:textId="59631F94" w:rsidR="007204A7" w:rsidRPr="003D5AFB" w:rsidRDefault="007204A7" w:rsidP="002C68EA">
      <w:pPr>
        <w:pStyle w:val="ListParagraph"/>
        <w:spacing w:after="120" w:line="360" w:lineRule="auto"/>
        <w:ind w:left="0"/>
        <w:contextualSpacing w:val="0"/>
        <w:jc w:val="both"/>
        <w:rPr>
          <w:rFonts w:ascii="Garamond" w:hAnsi="Garamond" w:cs="Arial"/>
          <w:sz w:val="24"/>
          <w:szCs w:val="24"/>
        </w:rPr>
      </w:pPr>
    </w:p>
    <w:p w14:paraId="7C0C899C" w14:textId="006A9304" w:rsidR="00F60431" w:rsidRPr="003D5AFB" w:rsidRDefault="00F60431" w:rsidP="002C68EA">
      <w:pPr>
        <w:spacing w:after="120" w:line="360" w:lineRule="auto"/>
        <w:jc w:val="center"/>
        <w:rPr>
          <w:rFonts w:ascii="Garamond" w:hAnsi="Garamond" w:cs="Arial"/>
          <w:sz w:val="24"/>
          <w:szCs w:val="24"/>
        </w:rPr>
      </w:pPr>
      <w:r>
        <w:rPr>
          <w:rFonts w:ascii="Garamond" w:hAnsi="Garamond"/>
          <w:sz w:val="24"/>
        </w:rPr>
        <w:t>Article 7</w:t>
      </w:r>
    </w:p>
    <w:p w14:paraId="34626D98" w14:textId="7B508073" w:rsidR="00F97B29" w:rsidRPr="003D5AFB" w:rsidRDefault="00570BD9" w:rsidP="002C68EA">
      <w:pPr>
        <w:spacing w:after="120" w:line="360" w:lineRule="auto"/>
        <w:jc w:val="center"/>
        <w:rPr>
          <w:rFonts w:ascii="Garamond" w:hAnsi="Garamond" w:cs="Arial"/>
          <w:b/>
          <w:bCs/>
          <w:sz w:val="24"/>
          <w:szCs w:val="24"/>
        </w:rPr>
      </w:pPr>
      <w:r>
        <w:rPr>
          <w:rFonts w:ascii="Garamond" w:hAnsi="Garamond"/>
          <w:b/>
          <w:sz w:val="24"/>
        </w:rPr>
        <w:t>Première vérification</w:t>
      </w:r>
    </w:p>
    <w:p w14:paraId="43E5DF15" w14:textId="05439965" w:rsidR="0087542F" w:rsidRPr="003D5AFB" w:rsidRDefault="0087542F" w:rsidP="002C68EA">
      <w:pPr>
        <w:spacing w:after="120" w:line="360" w:lineRule="auto"/>
        <w:jc w:val="both"/>
        <w:rPr>
          <w:rFonts w:ascii="Garamond" w:hAnsi="Garamond" w:cs="Arial"/>
          <w:sz w:val="24"/>
          <w:szCs w:val="24"/>
        </w:rPr>
      </w:pPr>
      <w:r>
        <w:rPr>
          <w:rFonts w:ascii="Garamond" w:hAnsi="Garamond"/>
          <w:sz w:val="24"/>
        </w:rPr>
        <w:t>(1) La première vérification est effectuée avant la mise sur le marché de l’instrument, ou après sa réparation et chaque fois qu’il y a rupture du système de scellement, ce qui dispense de la vérification périodique de l’année en question, ayant la même période de validité.</w:t>
      </w:r>
    </w:p>
    <w:p w14:paraId="5A2368F9" w14:textId="167DAACC" w:rsidR="003842F2" w:rsidRPr="003D5AFB" w:rsidRDefault="003842F2" w:rsidP="002C68EA">
      <w:pPr>
        <w:spacing w:after="120" w:line="360" w:lineRule="auto"/>
        <w:jc w:val="both"/>
        <w:rPr>
          <w:rFonts w:ascii="Garamond" w:hAnsi="Garamond" w:cs="Arial"/>
          <w:sz w:val="24"/>
          <w:szCs w:val="24"/>
        </w:rPr>
      </w:pPr>
      <w:r>
        <w:rPr>
          <w:rFonts w:ascii="Garamond" w:hAnsi="Garamond"/>
          <w:sz w:val="24"/>
        </w:rPr>
        <w:t>(2) Les essais de première vérification sont effectués conformément aux prescriptions métrologiques et techniques définies à l’article 3 du présent règlement.</w:t>
      </w:r>
    </w:p>
    <w:p w14:paraId="320CE689" w14:textId="6E0E1DB0" w:rsidR="00A17F17" w:rsidRDefault="003842F2" w:rsidP="00A17F17">
      <w:pPr>
        <w:jc w:val="both"/>
        <w:rPr>
          <w:rFonts w:ascii="Garamond" w:hAnsi="Garamond" w:cs="Arial"/>
          <w:sz w:val="24"/>
          <w:szCs w:val="24"/>
        </w:rPr>
      </w:pPr>
      <w:bookmarkStart w:id="6" w:name="_Hlk63414812"/>
      <w:r>
        <w:rPr>
          <w:rFonts w:ascii="Garamond" w:hAnsi="Garamond"/>
          <w:sz w:val="24"/>
        </w:rPr>
        <w:t>(3)</w:t>
      </w:r>
      <w:bookmarkEnd w:id="6"/>
      <w:r>
        <w:rPr>
          <w:rFonts w:ascii="Garamond" w:hAnsi="Garamond"/>
          <w:sz w:val="24"/>
        </w:rPr>
        <w:t xml:space="preserve"> Les valeurs d’erreur maximales tolérées pour la première vérification sont égales à ± 2 % d’opacité, N.  </w:t>
      </w:r>
    </w:p>
    <w:p w14:paraId="03EBD602" w14:textId="77777777" w:rsidR="00A57A1C" w:rsidRPr="003D5AFB" w:rsidRDefault="00A57A1C" w:rsidP="002C68EA">
      <w:pPr>
        <w:spacing w:after="120" w:line="360" w:lineRule="auto"/>
        <w:jc w:val="both"/>
        <w:rPr>
          <w:rFonts w:ascii="Garamond" w:hAnsi="Garamond" w:cs="Arial"/>
          <w:sz w:val="24"/>
          <w:szCs w:val="24"/>
        </w:rPr>
      </w:pPr>
    </w:p>
    <w:p w14:paraId="06FC48BE" w14:textId="1622D2EA" w:rsidR="00503EE6" w:rsidRPr="003D5AFB" w:rsidRDefault="00503EE6" w:rsidP="002C68EA">
      <w:pPr>
        <w:spacing w:after="120" w:line="360" w:lineRule="auto"/>
        <w:jc w:val="center"/>
        <w:rPr>
          <w:rFonts w:ascii="Garamond" w:hAnsi="Garamond" w:cs="Arial"/>
          <w:sz w:val="24"/>
          <w:szCs w:val="24"/>
        </w:rPr>
      </w:pPr>
      <w:r>
        <w:rPr>
          <w:rFonts w:ascii="Garamond" w:hAnsi="Garamond"/>
          <w:sz w:val="24"/>
        </w:rPr>
        <w:lastRenderedPageBreak/>
        <w:t>Article 8</w:t>
      </w:r>
    </w:p>
    <w:p w14:paraId="177F56D3"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Vérification périodique</w:t>
      </w:r>
    </w:p>
    <w:p w14:paraId="62D7103A" w14:textId="3D028C7A" w:rsidR="005E797A" w:rsidRDefault="005E797A" w:rsidP="005E797A">
      <w:pPr>
        <w:spacing w:after="120" w:line="360" w:lineRule="auto"/>
        <w:jc w:val="both"/>
        <w:rPr>
          <w:rFonts w:ascii="Garamond" w:hAnsi="Garamond" w:cs="Arial"/>
          <w:sz w:val="24"/>
          <w:szCs w:val="24"/>
        </w:rPr>
      </w:pPr>
      <w:bookmarkStart w:id="7" w:name="_Hlk107869984"/>
      <w:bookmarkStart w:id="8" w:name="_Hlk107936171"/>
      <w:r>
        <w:rPr>
          <w:rFonts w:ascii="Garamond" w:hAnsi="Garamond"/>
          <w:sz w:val="24"/>
        </w:rPr>
        <w:t>(1) La vérification périodique a une fréquence annuelle et est valable un an après son exécution.</w:t>
      </w:r>
    </w:p>
    <w:bookmarkEnd w:id="7"/>
    <w:bookmarkEnd w:id="8"/>
    <w:p w14:paraId="583B7830" w14:textId="4D5C067E" w:rsidR="002B5F8C" w:rsidRPr="003D5AFB" w:rsidRDefault="002B5F8C" w:rsidP="002B5F8C">
      <w:pPr>
        <w:spacing w:after="120" w:line="360" w:lineRule="auto"/>
        <w:jc w:val="both"/>
        <w:rPr>
          <w:rFonts w:ascii="Garamond" w:hAnsi="Garamond" w:cs="Arial"/>
          <w:sz w:val="24"/>
          <w:szCs w:val="24"/>
        </w:rPr>
      </w:pPr>
      <w:r>
        <w:rPr>
          <w:rFonts w:ascii="Garamond" w:hAnsi="Garamond"/>
          <w:sz w:val="24"/>
        </w:rPr>
        <w:t>(2) Les essais de vérification périodique sont identiques à ceux établis pour la première vérification.</w:t>
      </w:r>
    </w:p>
    <w:p w14:paraId="6E7C93C7" w14:textId="5E71EEB5" w:rsidR="0073637C" w:rsidRPr="003D5AFB" w:rsidRDefault="002B5F8C">
      <w:pPr>
        <w:spacing w:after="120" w:line="360" w:lineRule="auto"/>
        <w:jc w:val="both"/>
        <w:rPr>
          <w:rFonts w:ascii="Garamond" w:hAnsi="Garamond" w:cs="Arial"/>
          <w:sz w:val="24"/>
          <w:szCs w:val="24"/>
        </w:rPr>
      </w:pPr>
      <w:r>
        <w:rPr>
          <w:rFonts w:ascii="Garamond" w:hAnsi="Garamond"/>
          <w:sz w:val="24"/>
        </w:rPr>
        <w:t>(3) Les valeurs d’erreurs maximales tolérées lors de la vérification périodique sont égales aux valeurs d’erreurs maximales tolérées établies pour la première vérification.</w:t>
      </w:r>
    </w:p>
    <w:p w14:paraId="3A15EA1F" w14:textId="77777777" w:rsidR="00A57A1C" w:rsidRPr="003D5AFB" w:rsidRDefault="00A57A1C">
      <w:pPr>
        <w:spacing w:after="120" w:line="360" w:lineRule="auto"/>
        <w:jc w:val="both"/>
        <w:rPr>
          <w:rFonts w:ascii="Garamond" w:hAnsi="Garamond" w:cs="Arial"/>
          <w:sz w:val="24"/>
          <w:szCs w:val="24"/>
        </w:rPr>
      </w:pPr>
    </w:p>
    <w:p w14:paraId="484A3A9A" w14:textId="243DF155" w:rsidR="00503EE6" w:rsidRPr="003D5AFB" w:rsidRDefault="00503EE6" w:rsidP="002C68EA">
      <w:pPr>
        <w:spacing w:after="120" w:line="360" w:lineRule="auto"/>
        <w:jc w:val="center"/>
        <w:rPr>
          <w:rFonts w:ascii="Garamond" w:hAnsi="Garamond" w:cs="Arial"/>
          <w:sz w:val="24"/>
          <w:szCs w:val="24"/>
        </w:rPr>
      </w:pPr>
      <w:r>
        <w:rPr>
          <w:rFonts w:ascii="Garamond" w:hAnsi="Garamond"/>
          <w:sz w:val="24"/>
        </w:rPr>
        <w:t>Article 9</w:t>
      </w:r>
    </w:p>
    <w:p w14:paraId="62B7028E" w14:textId="77777777" w:rsidR="00503EE6" w:rsidRPr="003D5AFB" w:rsidRDefault="00503EE6" w:rsidP="002C68EA">
      <w:pPr>
        <w:spacing w:after="120" w:line="360" w:lineRule="auto"/>
        <w:jc w:val="center"/>
        <w:rPr>
          <w:rFonts w:ascii="Garamond" w:hAnsi="Garamond" w:cs="Arial"/>
          <w:b/>
          <w:bCs/>
          <w:sz w:val="24"/>
          <w:szCs w:val="24"/>
        </w:rPr>
      </w:pPr>
      <w:r>
        <w:rPr>
          <w:rFonts w:ascii="Garamond" w:hAnsi="Garamond"/>
          <w:b/>
          <w:sz w:val="24"/>
        </w:rPr>
        <w:t>Vérification extraordinaire</w:t>
      </w:r>
    </w:p>
    <w:p w14:paraId="21E9EEE9" w14:textId="5CC7507F" w:rsidR="00503EE6" w:rsidRPr="003D5AFB" w:rsidRDefault="00944E05" w:rsidP="002C68EA">
      <w:pPr>
        <w:spacing w:after="120" w:line="360" w:lineRule="auto"/>
        <w:jc w:val="both"/>
        <w:rPr>
          <w:rFonts w:ascii="Garamond" w:hAnsi="Garamond" w:cs="Arial"/>
          <w:sz w:val="24"/>
          <w:szCs w:val="24"/>
        </w:rPr>
      </w:pPr>
      <w:r>
        <w:rPr>
          <w:rFonts w:ascii="Garamond" w:hAnsi="Garamond"/>
          <w:sz w:val="24"/>
        </w:rPr>
        <w:t>(1) La vérification extraordinaire comprend les essais de la vérification périodique.</w:t>
      </w:r>
    </w:p>
    <w:p w14:paraId="7447DA07" w14:textId="6567F499" w:rsidR="00503EE6" w:rsidRPr="003D5AFB" w:rsidRDefault="00503EE6">
      <w:pPr>
        <w:spacing w:after="120" w:line="360" w:lineRule="auto"/>
        <w:jc w:val="both"/>
        <w:rPr>
          <w:rFonts w:ascii="Garamond" w:hAnsi="Garamond" w:cs="Arial"/>
          <w:sz w:val="24"/>
          <w:szCs w:val="24"/>
        </w:rPr>
      </w:pPr>
      <w:r>
        <w:rPr>
          <w:rFonts w:ascii="Garamond" w:hAnsi="Garamond"/>
          <w:sz w:val="24"/>
        </w:rPr>
        <w:t>(2) Lors de la vérification extraordinaire, les valeurs maximales d’erreur tolérées doivent être égales aux valeurs maximales d’erreur tolérées établies pour la vérification périodique.</w:t>
      </w:r>
    </w:p>
    <w:p w14:paraId="0BE4205E" w14:textId="77777777" w:rsidR="0073637C" w:rsidRPr="003D5AFB" w:rsidRDefault="0073637C" w:rsidP="002C68EA">
      <w:pPr>
        <w:spacing w:after="120" w:line="360" w:lineRule="auto"/>
        <w:jc w:val="both"/>
        <w:rPr>
          <w:rFonts w:ascii="Garamond" w:hAnsi="Garamond" w:cs="Arial"/>
          <w:sz w:val="24"/>
          <w:szCs w:val="24"/>
        </w:rPr>
      </w:pPr>
    </w:p>
    <w:p w14:paraId="7C617DDA" w14:textId="72BADA5C" w:rsidR="000A231E" w:rsidRPr="003D5AFB" w:rsidRDefault="000A231E" w:rsidP="007366C9">
      <w:pPr>
        <w:spacing w:after="120" w:line="360" w:lineRule="auto"/>
        <w:jc w:val="center"/>
        <w:rPr>
          <w:rFonts w:ascii="Garamond" w:hAnsi="Garamond" w:cs="Arial"/>
          <w:sz w:val="24"/>
          <w:szCs w:val="24"/>
        </w:rPr>
      </w:pPr>
      <w:r>
        <w:rPr>
          <w:rFonts w:ascii="Garamond" w:hAnsi="Garamond"/>
          <w:sz w:val="24"/>
        </w:rPr>
        <w:t>Article 10</w:t>
      </w:r>
    </w:p>
    <w:p w14:paraId="39298155" w14:textId="53987728" w:rsidR="000A231E" w:rsidRPr="003D5AFB" w:rsidRDefault="000A231E" w:rsidP="007366C9">
      <w:pPr>
        <w:spacing w:after="120" w:line="360" w:lineRule="auto"/>
        <w:jc w:val="center"/>
        <w:rPr>
          <w:rFonts w:ascii="Garamond" w:hAnsi="Garamond" w:cs="Arial"/>
          <w:b/>
          <w:bCs/>
          <w:sz w:val="24"/>
          <w:szCs w:val="24"/>
        </w:rPr>
      </w:pPr>
      <w:r>
        <w:rPr>
          <w:rFonts w:ascii="Garamond" w:hAnsi="Garamond"/>
          <w:b/>
          <w:sz w:val="24"/>
        </w:rPr>
        <w:t>Inscriptions et marquages</w:t>
      </w:r>
    </w:p>
    <w:p w14:paraId="7A96B35F" w14:textId="514B3BE3" w:rsidR="004A5897" w:rsidRPr="003D5AFB" w:rsidRDefault="004A5897" w:rsidP="00BF69F3">
      <w:pPr>
        <w:spacing w:after="120" w:line="360" w:lineRule="auto"/>
        <w:jc w:val="both"/>
        <w:rPr>
          <w:rFonts w:ascii="Garamond" w:hAnsi="Garamond" w:cs="Arial"/>
          <w:sz w:val="24"/>
          <w:szCs w:val="24"/>
        </w:rPr>
      </w:pPr>
      <w:bookmarkStart w:id="9" w:name="_Hlk82391725"/>
      <w:bookmarkStart w:id="10" w:name="_Hlk82391591"/>
      <w:r>
        <w:rPr>
          <w:rFonts w:ascii="Garamond" w:hAnsi="Garamond"/>
          <w:sz w:val="24"/>
        </w:rPr>
        <w:t>(1) Les opacimètres doivent porter, de manière visible et lisible, les inscriptions et les marquages conformes aux exigences métrologiques énoncées à l’article 3 du présent règlement.</w:t>
      </w:r>
    </w:p>
    <w:p w14:paraId="28620774" w14:textId="7685BCFA" w:rsidR="004A5897" w:rsidRPr="003D5AFB" w:rsidRDefault="004A5897" w:rsidP="00BF69F3">
      <w:pPr>
        <w:spacing w:after="120" w:line="360" w:lineRule="auto"/>
        <w:jc w:val="both"/>
        <w:rPr>
          <w:rFonts w:ascii="Garamond" w:hAnsi="Garamond" w:cs="Arial"/>
          <w:sz w:val="24"/>
          <w:szCs w:val="24"/>
        </w:rPr>
      </w:pPr>
      <w:r>
        <w:rPr>
          <w:rFonts w:ascii="Garamond" w:hAnsi="Garamond"/>
          <w:sz w:val="24"/>
        </w:rPr>
        <w:t>(2)</w:t>
      </w:r>
      <w:bookmarkEnd w:id="9"/>
      <w:r>
        <w:rPr>
          <w:rFonts w:ascii="Garamond" w:hAnsi="Garamond"/>
          <w:sz w:val="24"/>
        </w:rPr>
        <w:t xml:space="preserve"> Les opacimètres doivent également afficher le symbole d’approbation de modèle et d’autres symboles ou références utiles à leur utilisation.</w:t>
      </w:r>
    </w:p>
    <w:bookmarkEnd w:id="10"/>
    <w:p w14:paraId="7ACAD7AE" w14:textId="6B227A09" w:rsidR="00FC57F5" w:rsidRPr="003D5AFB" w:rsidRDefault="00FC57F5" w:rsidP="00BF69F3">
      <w:pPr>
        <w:autoSpaceDE w:val="0"/>
        <w:autoSpaceDN w:val="0"/>
        <w:adjustRightInd w:val="0"/>
        <w:spacing w:after="120" w:line="360" w:lineRule="auto"/>
        <w:jc w:val="both"/>
        <w:rPr>
          <w:rFonts w:ascii="Garamond" w:hAnsi="Garamond" w:cs="Arial"/>
          <w:sz w:val="24"/>
          <w:szCs w:val="24"/>
        </w:rPr>
      </w:pPr>
    </w:p>
    <w:p w14:paraId="03842174" w14:textId="79CCA1CF" w:rsidR="00503EE6" w:rsidRPr="003D5AFB" w:rsidRDefault="00503EE6" w:rsidP="00BF69F3">
      <w:pPr>
        <w:spacing w:after="120" w:line="360" w:lineRule="auto"/>
        <w:jc w:val="center"/>
        <w:rPr>
          <w:rFonts w:ascii="Garamond" w:hAnsi="Garamond" w:cs="Arial"/>
          <w:sz w:val="24"/>
          <w:szCs w:val="24"/>
        </w:rPr>
      </w:pPr>
      <w:bookmarkStart w:id="11" w:name="_Hlk63417111"/>
      <w:r>
        <w:rPr>
          <w:rFonts w:ascii="Garamond" w:hAnsi="Garamond"/>
          <w:sz w:val="24"/>
        </w:rPr>
        <w:t>Article 11</w:t>
      </w:r>
    </w:p>
    <w:p w14:paraId="7F04099F" w14:textId="77777777" w:rsidR="00503EE6" w:rsidRPr="003D5AFB" w:rsidRDefault="00503EE6" w:rsidP="00BF69F3">
      <w:pPr>
        <w:spacing w:after="120" w:line="360" w:lineRule="auto"/>
        <w:jc w:val="center"/>
        <w:rPr>
          <w:rFonts w:ascii="Garamond" w:hAnsi="Garamond" w:cs="Arial"/>
          <w:b/>
          <w:bCs/>
          <w:sz w:val="24"/>
          <w:szCs w:val="24"/>
        </w:rPr>
      </w:pPr>
      <w:r>
        <w:rPr>
          <w:rFonts w:ascii="Garamond" w:hAnsi="Garamond"/>
          <w:b/>
          <w:sz w:val="24"/>
        </w:rPr>
        <w:t>Disposition transitoire</w:t>
      </w:r>
    </w:p>
    <w:bookmarkEnd w:id="11"/>
    <w:p w14:paraId="441DDFF2" w14:textId="48C08D7A" w:rsidR="00D24055" w:rsidRPr="003D5AFB" w:rsidRDefault="00D24055" w:rsidP="00BF69F3">
      <w:pPr>
        <w:spacing w:after="120" w:line="360" w:lineRule="auto"/>
        <w:jc w:val="both"/>
        <w:rPr>
          <w:rFonts w:ascii="Garamond" w:hAnsi="Garamond" w:cs="Arial"/>
          <w:sz w:val="24"/>
          <w:szCs w:val="24"/>
        </w:rPr>
      </w:pPr>
      <w:r>
        <w:rPr>
          <w:rFonts w:ascii="Garamond" w:hAnsi="Garamond"/>
          <w:sz w:val="24"/>
        </w:rPr>
        <w:t>Les instruments en service peuvent rester en service tant qu’ils sont en bon état et qu’ils présentent, lors des essais de vérification métrologique, des erreurs qui ne dépassent pas les erreurs maximales tolérées.</w:t>
      </w:r>
    </w:p>
    <w:p w14:paraId="12DE1FBE" w14:textId="77777777" w:rsidR="00BF69F3" w:rsidRPr="003D5AFB" w:rsidRDefault="00BF69F3" w:rsidP="00BF69F3">
      <w:pPr>
        <w:spacing w:after="120" w:line="360" w:lineRule="auto"/>
        <w:jc w:val="center"/>
        <w:rPr>
          <w:rFonts w:ascii="Garamond" w:hAnsi="Garamond" w:cs="Arial"/>
          <w:sz w:val="24"/>
          <w:szCs w:val="24"/>
        </w:rPr>
      </w:pPr>
    </w:p>
    <w:p w14:paraId="1F4559B5" w14:textId="100C162E" w:rsidR="00336A88" w:rsidRPr="003D5AFB" w:rsidRDefault="00336A88" w:rsidP="00BF69F3">
      <w:pPr>
        <w:spacing w:after="120" w:line="360" w:lineRule="auto"/>
        <w:jc w:val="center"/>
        <w:rPr>
          <w:rFonts w:ascii="Garamond" w:hAnsi="Garamond" w:cs="Arial"/>
          <w:sz w:val="24"/>
          <w:szCs w:val="24"/>
        </w:rPr>
      </w:pPr>
      <w:r>
        <w:rPr>
          <w:rFonts w:ascii="Garamond" w:hAnsi="Garamond"/>
          <w:sz w:val="24"/>
        </w:rPr>
        <w:lastRenderedPageBreak/>
        <w:t>Article 12</w:t>
      </w:r>
    </w:p>
    <w:p w14:paraId="00AFCFB4" w14:textId="2D0E9E49" w:rsidR="0014394D" w:rsidRPr="003D5AFB" w:rsidRDefault="00336A88" w:rsidP="00BF69F3">
      <w:pPr>
        <w:spacing w:after="120" w:line="360" w:lineRule="auto"/>
        <w:jc w:val="center"/>
        <w:rPr>
          <w:rFonts w:ascii="Garamond" w:hAnsi="Garamond" w:cs="Arial"/>
          <w:b/>
          <w:bCs/>
          <w:sz w:val="24"/>
          <w:szCs w:val="24"/>
        </w:rPr>
      </w:pPr>
      <w:r>
        <w:rPr>
          <w:rFonts w:ascii="Garamond" w:hAnsi="Garamond"/>
          <w:b/>
          <w:sz w:val="24"/>
        </w:rPr>
        <w:t xml:space="preserve">Disposition finale </w:t>
      </w:r>
    </w:p>
    <w:p w14:paraId="745D5232" w14:textId="79E15894" w:rsidR="00181C8E" w:rsidRPr="003D5AFB" w:rsidRDefault="00181C8E" w:rsidP="00BF69F3">
      <w:pPr>
        <w:spacing w:after="120" w:line="360" w:lineRule="auto"/>
        <w:jc w:val="both"/>
        <w:rPr>
          <w:rFonts w:ascii="Garamond" w:hAnsi="Garamond" w:cs="Arial"/>
          <w:sz w:val="24"/>
          <w:szCs w:val="24"/>
        </w:rPr>
      </w:pPr>
      <w:r>
        <w:rPr>
          <w:rFonts w:ascii="Garamond" w:hAnsi="Garamond"/>
          <w:sz w:val="24"/>
        </w:rPr>
        <w:t>Les dispositions des articles précédents ne font pas obstacle à la commercialisation ou l’utilisation ultérieure des opacimètres accompagnés de certificats d’évaluation de la conformité délivrés par des organismes reconnus en vertu de la législation applicable de l’Union européenne dans le domaine de la métrologique légale, sur la base de spécifications et de procédures garantissant une qualité métrologique conforme à celle visée par le présent règlement, l’équivalence étant évaluée par l’IPQ, I.P.</w:t>
      </w:r>
    </w:p>
    <w:sectPr w:rsidR="00181C8E" w:rsidRPr="003D5AF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B060" w14:textId="77777777" w:rsidR="008A7813" w:rsidRDefault="008A7813" w:rsidP="00344923">
      <w:pPr>
        <w:spacing w:after="0" w:line="240" w:lineRule="auto"/>
      </w:pPr>
      <w:r>
        <w:separator/>
      </w:r>
    </w:p>
  </w:endnote>
  <w:endnote w:type="continuationSeparator" w:id="0">
    <w:p w14:paraId="1FBDF394" w14:textId="77777777" w:rsidR="008A7813" w:rsidRDefault="008A7813" w:rsidP="0034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D418B" w14:textId="77777777" w:rsidR="008A7813" w:rsidRDefault="008A7813" w:rsidP="00344923">
      <w:pPr>
        <w:spacing w:after="0" w:line="240" w:lineRule="auto"/>
      </w:pPr>
      <w:r>
        <w:separator/>
      </w:r>
    </w:p>
  </w:footnote>
  <w:footnote w:type="continuationSeparator" w:id="0">
    <w:p w14:paraId="5E8F1505" w14:textId="77777777" w:rsidR="008A7813" w:rsidRDefault="008A7813" w:rsidP="00344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1B24"/>
    <w:multiLevelType w:val="hybridMultilevel"/>
    <w:tmpl w:val="EC52C694"/>
    <w:lvl w:ilvl="0" w:tplc="0816000F">
      <w:start w:val="1"/>
      <w:numFmt w:val="decimal"/>
      <w:lvlText w:val="%1."/>
      <w:lvlJc w:val="left"/>
      <w:pPr>
        <w:ind w:left="1429" w:hanging="360"/>
      </w:p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 w15:restartNumberingAfterBreak="0">
    <w:nsid w:val="5C19704B"/>
    <w:multiLevelType w:val="hybridMultilevel"/>
    <w:tmpl w:val="600AF8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5EB2209D"/>
    <w:multiLevelType w:val="hybridMultilevel"/>
    <w:tmpl w:val="DC60F11C"/>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6CE30405"/>
    <w:multiLevelType w:val="hybridMultilevel"/>
    <w:tmpl w:val="CAEC66F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1072118954">
    <w:abstractNumId w:val="0"/>
  </w:num>
  <w:num w:numId="2" w16cid:durableId="2119715062">
    <w:abstractNumId w:val="2"/>
  </w:num>
  <w:num w:numId="3" w16cid:durableId="1937520543">
    <w:abstractNumId w:val="3"/>
  </w:num>
  <w:num w:numId="4" w16cid:durableId="277494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1D"/>
    <w:rsid w:val="00000BDE"/>
    <w:rsid w:val="0001190B"/>
    <w:rsid w:val="00013DAB"/>
    <w:rsid w:val="00032B15"/>
    <w:rsid w:val="00073EEC"/>
    <w:rsid w:val="0008627E"/>
    <w:rsid w:val="00093EAB"/>
    <w:rsid w:val="000A115E"/>
    <w:rsid w:val="000A231E"/>
    <w:rsid w:val="000D5C89"/>
    <w:rsid w:val="000E0638"/>
    <w:rsid w:val="000E597C"/>
    <w:rsid w:val="000E7B45"/>
    <w:rsid w:val="00104E49"/>
    <w:rsid w:val="00120B97"/>
    <w:rsid w:val="001248EE"/>
    <w:rsid w:val="0014090F"/>
    <w:rsid w:val="0014394D"/>
    <w:rsid w:val="00150079"/>
    <w:rsid w:val="00157B9F"/>
    <w:rsid w:val="00167FC3"/>
    <w:rsid w:val="00172C89"/>
    <w:rsid w:val="00181C8E"/>
    <w:rsid w:val="00187C7C"/>
    <w:rsid w:val="00191916"/>
    <w:rsid w:val="00197A36"/>
    <w:rsid w:val="001B79B7"/>
    <w:rsid w:val="001D20BF"/>
    <w:rsid w:val="001D7B24"/>
    <w:rsid w:val="001E2713"/>
    <w:rsid w:val="002008BE"/>
    <w:rsid w:val="00206996"/>
    <w:rsid w:val="002129E8"/>
    <w:rsid w:val="00213547"/>
    <w:rsid w:val="002207D6"/>
    <w:rsid w:val="002208C1"/>
    <w:rsid w:val="00221DEC"/>
    <w:rsid w:val="002261C4"/>
    <w:rsid w:val="00233473"/>
    <w:rsid w:val="00257208"/>
    <w:rsid w:val="002635B9"/>
    <w:rsid w:val="00272BB1"/>
    <w:rsid w:val="00291C0B"/>
    <w:rsid w:val="002A55E9"/>
    <w:rsid w:val="002B4130"/>
    <w:rsid w:val="002B5F8C"/>
    <w:rsid w:val="002C3FD8"/>
    <w:rsid w:val="002C51F6"/>
    <w:rsid w:val="002C68EA"/>
    <w:rsid w:val="002F11E4"/>
    <w:rsid w:val="003027CF"/>
    <w:rsid w:val="0031578E"/>
    <w:rsid w:val="0032043E"/>
    <w:rsid w:val="00327929"/>
    <w:rsid w:val="00336A88"/>
    <w:rsid w:val="00344923"/>
    <w:rsid w:val="00355D97"/>
    <w:rsid w:val="003602EC"/>
    <w:rsid w:val="00383640"/>
    <w:rsid w:val="003842F2"/>
    <w:rsid w:val="00392067"/>
    <w:rsid w:val="00394E9F"/>
    <w:rsid w:val="003D5AFB"/>
    <w:rsid w:val="003E427B"/>
    <w:rsid w:val="003E6488"/>
    <w:rsid w:val="003F0878"/>
    <w:rsid w:val="0043441C"/>
    <w:rsid w:val="00437F7F"/>
    <w:rsid w:val="004629AB"/>
    <w:rsid w:val="0047061A"/>
    <w:rsid w:val="00473279"/>
    <w:rsid w:val="004A5897"/>
    <w:rsid w:val="004D2E9B"/>
    <w:rsid w:val="004D6DB6"/>
    <w:rsid w:val="004E5050"/>
    <w:rsid w:val="004F3F34"/>
    <w:rsid w:val="004F6C7F"/>
    <w:rsid w:val="004F7424"/>
    <w:rsid w:val="00501FB0"/>
    <w:rsid w:val="005024E2"/>
    <w:rsid w:val="00503EE6"/>
    <w:rsid w:val="0050525F"/>
    <w:rsid w:val="00525093"/>
    <w:rsid w:val="00533F9E"/>
    <w:rsid w:val="00550D71"/>
    <w:rsid w:val="00552B46"/>
    <w:rsid w:val="00556EE6"/>
    <w:rsid w:val="00561A2D"/>
    <w:rsid w:val="0056458D"/>
    <w:rsid w:val="00570BD9"/>
    <w:rsid w:val="00572E2D"/>
    <w:rsid w:val="00584418"/>
    <w:rsid w:val="00584675"/>
    <w:rsid w:val="0058561B"/>
    <w:rsid w:val="005935A3"/>
    <w:rsid w:val="00593E38"/>
    <w:rsid w:val="0059504B"/>
    <w:rsid w:val="00597F39"/>
    <w:rsid w:val="005B3B89"/>
    <w:rsid w:val="005D6074"/>
    <w:rsid w:val="005E017D"/>
    <w:rsid w:val="005E797A"/>
    <w:rsid w:val="005F1A28"/>
    <w:rsid w:val="006116CE"/>
    <w:rsid w:val="00617915"/>
    <w:rsid w:val="00624047"/>
    <w:rsid w:val="006246CC"/>
    <w:rsid w:val="00624B50"/>
    <w:rsid w:val="006369C2"/>
    <w:rsid w:val="00643D18"/>
    <w:rsid w:val="00644DCE"/>
    <w:rsid w:val="00645700"/>
    <w:rsid w:val="0064792A"/>
    <w:rsid w:val="00664687"/>
    <w:rsid w:val="00664E24"/>
    <w:rsid w:val="00676C90"/>
    <w:rsid w:val="00690D4A"/>
    <w:rsid w:val="00694D01"/>
    <w:rsid w:val="00695633"/>
    <w:rsid w:val="006D605C"/>
    <w:rsid w:val="006E2787"/>
    <w:rsid w:val="00713821"/>
    <w:rsid w:val="007204A7"/>
    <w:rsid w:val="00727801"/>
    <w:rsid w:val="00727A58"/>
    <w:rsid w:val="0073637C"/>
    <w:rsid w:val="007366C9"/>
    <w:rsid w:val="00752C59"/>
    <w:rsid w:val="00754149"/>
    <w:rsid w:val="007600B5"/>
    <w:rsid w:val="007728C9"/>
    <w:rsid w:val="0078610F"/>
    <w:rsid w:val="007A512B"/>
    <w:rsid w:val="007C0464"/>
    <w:rsid w:val="007C6DD2"/>
    <w:rsid w:val="007E5832"/>
    <w:rsid w:val="007E5C60"/>
    <w:rsid w:val="008100B7"/>
    <w:rsid w:val="00814D47"/>
    <w:rsid w:val="0081718A"/>
    <w:rsid w:val="008218A2"/>
    <w:rsid w:val="00826185"/>
    <w:rsid w:val="00826762"/>
    <w:rsid w:val="008317C9"/>
    <w:rsid w:val="00834A86"/>
    <w:rsid w:val="0084050B"/>
    <w:rsid w:val="00841515"/>
    <w:rsid w:val="008552E9"/>
    <w:rsid w:val="00862940"/>
    <w:rsid w:val="0087542F"/>
    <w:rsid w:val="00897C78"/>
    <w:rsid w:val="008A7813"/>
    <w:rsid w:val="008D118F"/>
    <w:rsid w:val="008D4310"/>
    <w:rsid w:val="008E740B"/>
    <w:rsid w:val="008E76A4"/>
    <w:rsid w:val="00921B47"/>
    <w:rsid w:val="00921FB3"/>
    <w:rsid w:val="00933FA6"/>
    <w:rsid w:val="0093713E"/>
    <w:rsid w:val="00944E05"/>
    <w:rsid w:val="0095516A"/>
    <w:rsid w:val="00956E26"/>
    <w:rsid w:val="00960D0F"/>
    <w:rsid w:val="0096781D"/>
    <w:rsid w:val="00974B6D"/>
    <w:rsid w:val="00991E2E"/>
    <w:rsid w:val="009A06F9"/>
    <w:rsid w:val="009B2CD5"/>
    <w:rsid w:val="009B3585"/>
    <w:rsid w:val="009C3031"/>
    <w:rsid w:val="009E4A31"/>
    <w:rsid w:val="00A06037"/>
    <w:rsid w:val="00A11D7E"/>
    <w:rsid w:val="00A137F1"/>
    <w:rsid w:val="00A17F17"/>
    <w:rsid w:val="00A264B0"/>
    <w:rsid w:val="00A271F7"/>
    <w:rsid w:val="00A31292"/>
    <w:rsid w:val="00A36AE0"/>
    <w:rsid w:val="00A55ED6"/>
    <w:rsid w:val="00A57A1C"/>
    <w:rsid w:val="00A653AF"/>
    <w:rsid w:val="00A67E46"/>
    <w:rsid w:val="00A77330"/>
    <w:rsid w:val="00A86454"/>
    <w:rsid w:val="00A87329"/>
    <w:rsid w:val="00A94101"/>
    <w:rsid w:val="00AD15A5"/>
    <w:rsid w:val="00AE1812"/>
    <w:rsid w:val="00AE5805"/>
    <w:rsid w:val="00AF2A91"/>
    <w:rsid w:val="00B42A12"/>
    <w:rsid w:val="00B438A7"/>
    <w:rsid w:val="00B45C40"/>
    <w:rsid w:val="00B55531"/>
    <w:rsid w:val="00B85EFB"/>
    <w:rsid w:val="00B86C46"/>
    <w:rsid w:val="00BB424A"/>
    <w:rsid w:val="00BC41EE"/>
    <w:rsid w:val="00BE0BC3"/>
    <w:rsid w:val="00BF3396"/>
    <w:rsid w:val="00BF69F3"/>
    <w:rsid w:val="00BF701A"/>
    <w:rsid w:val="00BF7C4A"/>
    <w:rsid w:val="00C01D7B"/>
    <w:rsid w:val="00C110C9"/>
    <w:rsid w:val="00C116B9"/>
    <w:rsid w:val="00C32240"/>
    <w:rsid w:val="00C342DF"/>
    <w:rsid w:val="00C37AFB"/>
    <w:rsid w:val="00C40024"/>
    <w:rsid w:val="00C62C54"/>
    <w:rsid w:val="00C65889"/>
    <w:rsid w:val="00C75076"/>
    <w:rsid w:val="00C87710"/>
    <w:rsid w:val="00C96A98"/>
    <w:rsid w:val="00C97828"/>
    <w:rsid w:val="00CA3DB1"/>
    <w:rsid w:val="00CB4532"/>
    <w:rsid w:val="00CB479D"/>
    <w:rsid w:val="00CB623B"/>
    <w:rsid w:val="00CC6BCA"/>
    <w:rsid w:val="00CD6108"/>
    <w:rsid w:val="00CD6DFD"/>
    <w:rsid w:val="00CE4CC9"/>
    <w:rsid w:val="00CF41B0"/>
    <w:rsid w:val="00CF57EB"/>
    <w:rsid w:val="00D10CD1"/>
    <w:rsid w:val="00D24055"/>
    <w:rsid w:val="00D25AFC"/>
    <w:rsid w:val="00D32597"/>
    <w:rsid w:val="00D3733D"/>
    <w:rsid w:val="00D44515"/>
    <w:rsid w:val="00D4592B"/>
    <w:rsid w:val="00D61662"/>
    <w:rsid w:val="00D62496"/>
    <w:rsid w:val="00D629C3"/>
    <w:rsid w:val="00D749D5"/>
    <w:rsid w:val="00D7502D"/>
    <w:rsid w:val="00D82562"/>
    <w:rsid w:val="00DA1DE2"/>
    <w:rsid w:val="00DA4432"/>
    <w:rsid w:val="00DB0ED2"/>
    <w:rsid w:val="00DB3A4E"/>
    <w:rsid w:val="00DB5B5F"/>
    <w:rsid w:val="00DB710D"/>
    <w:rsid w:val="00DC17F8"/>
    <w:rsid w:val="00DD5624"/>
    <w:rsid w:val="00DE6AEC"/>
    <w:rsid w:val="00DE7ABD"/>
    <w:rsid w:val="00E0501D"/>
    <w:rsid w:val="00E0652D"/>
    <w:rsid w:val="00E144AF"/>
    <w:rsid w:val="00E257B2"/>
    <w:rsid w:val="00E37926"/>
    <w:rsid w:val="00E51F0B"/>
    <w:rsid w:val="00E60B65"/>
    <w:rsid w:val="00E73797"/>
    <w:rsid w:val="00E77C9F"/>
    <w:rsid w:val="00E9606F"/>
    <w:rsid w:val="00EA7E19"/>
    <w:rsid w:val="00EB3C2E"/>
    <w:rsid w:val="00EC1B91"/>
    <w:rsid w:val="00EF7D48"/>
    <w:rsid w:val="00F02FF6"/>
    <w:rsid w:val="00F071F7"/>
    <w:rsid w:val="00F220CE"/>
    <w:rsid w:val="00F31C27"/>
    <w:rsid w:val="00F359E3"/>
    <w:rsid w:val="00F376A5"/>
    <w:rsid w:val="00F5051C"/>
    <w:rsid w:val="00F60431"/>
    <w:rsid w:val="00F721C3"/>
    <w:rsid w:val="00F97B29"/>
    <w:rsid w:val="00FC57F5"/>
    <w:rsid w:val="00FC7BA5"/>
    <w:rsid w:val="00FD3C18"/>
    <w:rsid w:val="00FD5141"/>
    <w:rsid w:val="00FE18CA"/>
    <w:rsid w:val="00FE2F77"/>
    <w:rsid w:val="00FE5AA9"/>
    <w:rsid w:val="00FF0061"/>
    <w:rsid w:val="00FF6905"/>
  </w:rsids>
  <m:mathPr>
    <m:mathFont m:val="Cambria Math"/>
    <m:brkBin m:val="before"/>
    <m:brkBinSub m:val="--"/>
    <m:smallFrac m:val="0"/>
    <m:dispDef/>
    <m:lMargin m:val="0"/>
    <m:rMargin m:val="0"/>
    <m:defJc m:val="centerGroup"/>
    <m:wrapIndent m:val="1440"/>
    <m:intLim m:val="subSup"/>
    <m:naryLim m:val="undOvr"/>
  </m:mathPr>
  <w:themeFontLang w:val="pt-PT"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A2D4C"/>
  <w15:chartTrackingRefBased/>
  <w15:docId w15:val="{209064F1-3177-49F8-BAE4-0A4F8AC6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4923"/>
    <w:pPr>
      <w:tabs>
        <w:tab w:val="center" w:pos="4252"/>
        <w:tab w:val="right" w:pos="8504"/>
      </w:tabs>
      <w:spacing w:after="0" w:line="240" w:lineRule="auto"/>
    </w:pPr>
  </w:style>
  <w:style w:type="character" w:customStyle="1" w:styleId="HeaderChar">
    <w:name w:val="Header Char"/>
    <w:basedOn w:val="DefaultParagraphFont"/>
    <w:link w:val="Header"/>
    <w:uiPriority w:val="99"/>
    <w:rsid w:val="00344923"/>
  </w:style>
  <w:style w:type="paragraph" w:styleId="Footer">
    <w:name w:val="footer"/>
    <w:basedOn w:val="Normal"/>
    <w:link w:val="FooterChar"/>
    <w:uiPriority w:val="99"/>
    <w:unhideWhenUsed/>
    <w:rsid w:val="00344923"/>
    <w:pPr>
      <w:tabs>
        <w:tab w:val="center" w:pos="4252"/>
        <w:tab w:val="right" w:pos="8504"/>
      </w:tabs>
      <w:spacing w:after="0" w:line="240" w:lineRule="auto"/>
    </w:pPr>
  </w:style>
  <w:style w:type="character" w:customStyle="1" w:styleId="FooterChar">
    <w:name w:val="Footer Char"/>
    <w:basedOn w:val="DefaultParagraphFont"/>
    <w:link w:val="Footer"/>
    <w:uiPriority w:val="99"/>
    <w:rsid w:val="00344923"/>
  </w:style>
  <w:style w:type="paragraph" w:styleId="ListParagraph">
    <w:name w:val="List Paragraph"/>
    <w:basedOn w:val="Normal"/>
    <w:uiPriority w:val="34"/>
    <w:qFormat/>
    <w:rsid w:val="00355D97"/>
    <w:pPr>
      <w:ind w:left="720"/>
      <w:contextualSpacing/>
    </w:pPr>
  </w:style>
  <w:style w:type="character" w:styleId="CommentReference">
    <w:name w:val="annotation reference"/>
    <w:basedOn w:val="DefaultParagraphFont"/>
    <w:uiPriority w:val="99"/>
    <w:semiHidden/>
    <w:unhideWhenUsed/>
    <w:rsid w:val="00533F9E"/>
    <w:rPr>
      <w:sz w:val="16"/>
      <w:szCs w:val="16"/>
    </w:rPr>
  </w:style>
  <w:style w:type="paragraph" w:styleId="CommentText">
    <w:name w:val="annotation text"/>
    <w:basedOn w:val="Normal"/>
    <w:link w:val="CommentTextChar"/>
    <w:uiPriority w:val="99"/>
    <w:unhideWhenUsed/>
    <w:rsid w:val="00533F9E"/>
    <w:pPr>
      <w:spacing w:line="240" w:lineRule="auto"/>
    </w:pPr>
    <w:rPr>
      <w:sz w:val="20"/>
      <w:szCs w:val="20"/>
    </w:rPr>
  </w:style>
  <w:style w:type="character" w:customStyle="1" w:styleId="CommentTextChar">
    <w:name w:val="Comment Text Char"/>
    <w:basedOn w:val="DefaultParagraphFont"/>
    <w:link w:val="CommentText"/>
    <w:uiPriority w:val="99"/>
    <w:rsid w:val="00533F9E"/>
    <w:rPr>
      <w:sz w:val="20"/>
      <w:szCs w:val="20"/>
    </w:rPr>
  </w:style>
  <w:style w:type="paragraph" w:styleId="CommentSubject">
    <w:name w:val="annotation subject"/>
    <w:basedOn w:val="CommentText"/>
    <w:next w:val="CommentText"/>
    <w:link w:val="CommentSubjectChar"/>
    <w:uiPriority w:val="99"/>
    <w:semiHidden/>
    <w:unhideWhenUsed/>
    <w:rsid w:val="00533F9E"/>
    <w:rPr>
      <w:b/>
      <w:bCs/>
    </w:rPr>
  </w:style>
  <w:style w:type="character" w:customStyle="1" w:styleId="CommentSubjectChar">
    <w:name w:val="Comment Subject Char"/>
    <w:basedOn w:val="CommentTextChar"/>
    <w:link w:val="CommentSubject"/>
    <w:uiPriority w:val="99"/>
    <w:semiHidden/>
    <w:rsid w:val="00533F9E"/>
    <w:rPr>
      <w:b/>
      <w:bCs/>
      <w:sz w:val="20"/>
      <w:szCs w:val="20"/>
    </w:rPr>
  </w:style>
  <w:style w:type="paragraph" w:styleId="BalloonText">
    <w:name w:val="Balloon Text"/>
    <w:basedOn w:val="Normal"/>
    <w:link w:val="BalloonTextChar"/>
    <w:uiPriority w:val="99"/>
    <w:semiHidden/>
    <w:unhideWhenUsed/>
    <w:rsid w:val="00533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F9E"/>
    <w:rPr>
      <w:rFonts w:ascii="Segoe UI" w:hAnsi="Segoe UI" w:cs="Segoe UI"/>
      <w:sz w:val="18"/>
      <w:szCs w:val="18"/>
    </w:rPr>
  </w:style>
  <w:style w:type="paragraph" w:styleId="Revision">
    <w:name w:val="Revision"/>
    <w:hidden/>
    <w:uiPriority w:val="99"/>
    <w:semiHidden/>
    <w:rsid w:val="00A17F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6b16a7-de2f-47cc-9eaa-991bdb9199e1">IPQDOC-224-38341</_dlc_DocId>
    <_dlc_DocIdUrl xmlns="716b16a7-de2f-47cc-9eaa-991bdb9199e1">
      <Url>http://ipq1sapp01:9999/DMET/_layouts/DocIdRedir.aspx?ID=IPQDOC-224-38341</Url>
      <Description>IPQDOC-224-38341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0B068D4DB638D4D83CFEF74C12CB670" ma:contentTypeVersion="4" ma:contentTypeDescription="Create a new document." ma:contentTypeScope="" ma:versionID="29f85d568f2483290e2dfc2f2d882393">
  <xsd:schema xmlns:xsd="http://www.w3.org/2001/XMLSchema" xmlns:xs="http://www.w3.org/2001/XMLSchema" xmlns:p="http://schemas.microsoft.com/office/2006/metadata/properties" xmlns:ns2="716b16a7-de2f-47cc-9eaa-991bdb9199e1" targetNamespace="http://schemas.microsoft.com/office/2006/metadata/properties" ma:root="true" ma:fieldsID="8e9f0b2ccab4fb9ae99fd794bcfb2110" ns2:_="">
    <xsd:import namespace="716b16a7-de2f-47cc-9eaa-991bdb9199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16a7-de2f-47cc-9eaa-991bdb9199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54567-45D1-4A3C-88CC-5B9388739A6A}">
  <ds:schemaRefs>
    <ds:schemaRef ds:uri="http://schemas.microsoft.com/office/2006/metadata/properties"/>
    <ds:schemaRef ds:uri="http://schemas.microsoft.com/office/infopath/2007/PartnerControls"/>
    <ds:schemaRef ds:uri="716b16a7-de2f-47cc-9eaa-991bdb9199e1"/>
  </ds:schemaRefs>
</ds:datastoreItem>
</file>

<file path=customXml/itemProps2.xml><?xml version="1.0" encoding="utf-8"?>
<ds:datastoreItem xmlns:ds="http://schemas.openxmlformats.org/officeDocument/2006/customXml" ds:itemID="{3D0F512B-875A-4B06-8BC4-34DF7F15D44F}">
  <ds:schemaRefs>
    <ds:schemaRef ds:uri="http://schemas.microsoft.com/sharepoint/v3/contenttype/forms"/>
  </ds:schemaRefs>
</ds:datastoreItem>
</file>

<file path=customXml/itemProps3.xml><?xml version="1.0" encoding="utf-8"?>
<ds:datastoreItem xmlns:ds="http://schemas.openxmlformats.org/officeDocument/2006/customXml" ds:itemID="{EEE6EA6A-55BD-4596-87D2-826D3BE138BD}">
  <ds:schemaRefs>
    <ds:schemaRef ds:uri="http://schemas.microsoft.com/sharepoint/events"/>
  </ds:schemaRefs>
</ds:datastoreItem>
</file>

<file path=customXml/itemProps4.xml><?xml version="1.0" encoding="utf-8"?>
<ds:datastoreItem xmlns:ds="http://schemas.openxmlformats.org/officeDocument/2006/customXml" ds:itemID="{5F014FB8-1673-4D40-ADD5-EBE585697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6b16a7-de2f-47cc-9eaa-991bdb919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970</Words>
  <Characters>5535</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MCFerreira@ipq.pt</dc:creator>
  <cp:keywords/>
  <dc:description/>
  <cp:lastModifiedBy>Liana Brili</cp:lastModifiedBy>
  <cp:revision>4</cp:revision>
  <dcterms:created xsi:type="dcterms:W3CDTF">2023-04-03T15:23:00Z</dcterms:created>
  <dcterms:modified xsi:type="dcterms:W3CDTF">2023-04-18T15:38:00Z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4600ee9b-d3c1-4d72-9efa-04b38c3a2de3</vt:lpwstr>
  </property>
  <property fmtid="{D5CDD505-2E9C-101B-9397-08002B2CF9AE}" pid="3" name="ContentTypeId">
    <vt:lpwstr>0x01010090B068D4DB638D4D83CFEF74C12CB670</vt:lpwstr>
  </property>
</Properties>
</file>