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488"/>
        <w:gridCol w:w="4774"/>
        <w:gridCol w:w="7"/>
      </w:tblGrid>
      <w:tr w:rsidR="0079460A" w:rsidRPr="00FA5A8B" w14:paraId="558C7C32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738B468" w14:textId="4D642070" w:rsidR="00C8547B" w:rsidRPr="00FA5A8B" w:rsidRDefault="00C8547B" w:rsidP="00996E0F">
            <w:pPr>
              <w:jc w:val="center"/>
            </w:pPr>
            <w:bookmarkStart w:id="0" w:name="_Hlk63519242"/>
          </w:p>
        </w:tc>
        <w:tc>
          <w:tcPr>
            <w:tcW w:w="9267" w:type="dxa"/>
            <w:gridSpan w:val="2"/>
          </w:tcPr>
          <w:p w14:paraId="356DEF92" w14:textId="0AEFFAC8" w:rsidR="00996E0F" w:rsidRPr="00FA5A8B" w:rsidRDefault="00C8547B" w:rsidP="00C8547B">
            <w:pPr>
              <w:jc w:val="center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  <w:b/>
              </w:rPr>
              <w:t>BELGICKÉ KRÁLOVSTVÍ</w:t>
            </w:r>
          </w:p>
        </w:tc>
      </w:tr>
      <w:tr w:rsidR="0079460A" w:rsidRPr="00FA5A8B" w14:paraId="42DCD924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098560EF" w14:textId="77777777" w:rsidR="00996E0F" w:rsidRPr="00FA5A8B" w:rsidRDefault="00996E0F" w:rsidP="00996E0F"/>
        </w:tc>
        <w:tc>
          <w:tcPr>
            <w:tcW w:w="9267" w:type="dxa"/>
            <w:gridSpan w:val="2"/>
          </w:tcPr>
          <w:p w14:paraId="5CE47156" w14:textId="77777777" w:rsidR="00996E0F" w:rsidRPr="00FA5A8B" w:rsidRDefault="00996E0F" w:rsidP="00996E0F">
            <w:pPr>
              <w:rPr>
                <w:lang w:val="nl-BE"/>
              </w:rPr>
            </w:pPr>
          </w:p>
        </w:tc>
      </w:tr>
      <w:tr w:rsidR="0079460A" w:rsidRPr="00FA5A8B" w14:paraId="44978EC4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2D831F4F" w14:textId="153D3D22" w:rsidR="00C8547B" w:rsidRPr="00FA5A8B" w:rsidRDefault="00C8547B" w:rsidP="00996E0F">
            <w:pPr>
              <w:jc w:val="center"/>
              <w:rPr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5455DA58" w14:textId="77777777" w:rsidR="00C8547B" w:rsidRPr="00FA5A8B" w:rsidRDefault="00C8547B" w:rsidP="00C8547B">
            <w:pPr>
              <w:jc w:val="center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  <w:b/>
              </w:rPr>
              <w:t>FEDERÁLNÍ MINISTERSTVO HOSPODÁŘSTVÍ, MALÝCH A STŘEDNÍCH PODNIKŮ, SAMOSTATNĚ VÝDĚLEČNĚ ČINNÝCH OSOB A ENERGIE</w:t>
            </w:r>
          </w:p>
          <w:p w14:paraId="1A54DC63" w14:textId="159C4119" w:rsidR="00996E0F" w:rsidRPr="00FA5A8B" w:rsidRDefault="00996E0F" w:rsidP="00996E0F">
            <w:pPr>
              <w:tabs>
                <w:tab w:val="left" w:pos="-720"/>
              </w:tabs>
              <w:jc w:val="center"/>
              <w:rPr>
                <w:rFonts w:ascii="Arial" w:hAnsi="Arial" w:cs="Arial"/>
                <w:b/>
                <w:spacing w:val="-3"/>
              </w:rPr>
            </w:pPr>
          </w:p>
        </w:tc>
      </w:tr>
      <w:tr w:rsidR="0079460A" w:rsidRPr="00FA5A8B" w14:paraId="5BB3B823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4F3801D2" w14:textId="695F1006" w:rsidR="00C8547B" w:rsidRPr="00FA5A8B" w:rsidRDefault="00C8547B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3E5575EE" w14:textId="1763EE11" w:rsidR="00C8547B" w:rsidRPr="00FA5A8B" w:rsidRDefault="00BB74F2" w:rsidP="00C8547B">
            <w:pPr>
              <w:jc w:val="both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  <w:b/>
              </w:rPr>
              <w:t>10. července 2022 – Návrh královského výnosu, kterým se vkládá kapitola 7.22. knihy 1 a mění některé části knih 1 a 3, zavedených královským výnosem ze dne 8. září 2019, kterým se zřizuje kniha 1 o elektrických zařízeních nízkého a velmi nízkého napětí, kniha 2 o elektrických zařízeních vysokého napětí a kniha 3 o přenosových a distribučních elektroenergetických zařízeních</w:t>
            </w:r>
          </w:p>
          <w:p w14:paraId="32AAC0D0" w14:textId="1284B7FE" w:rsidR="00047B0F" w:rsidRPr="00FA5A8B" w:rsidRDefault="00047B0F" w:rsidP="00047B0F">
            <w:pPr>
              <w:jc w:val="both"/>
            </w:pPr>
          </w:p>
        </w:tc>
      </w:tr>
      <w:tr w:rsidR="0079460A" w:rsidRPr="00FA5A8B" w14:paraId="0A3CEFFD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0C0F16EC" w14:textId="7EF6ABBD" w:rsidR="001A2519" w:rsidRPr="00FA5A8B" w:rsidRDefault="001A2519" w:rsidP="001A2519">
            <w:pPr>
              <w:jc w:val="center"/>
            </w:pPr>
          </w:p>
        </w:tc>
        <w:tc>
          <w:tcPr>
            <w:tcW w:w="9267" w:type="dxa"/>
            <w:gridSpan w:val="2"/>
          </w:tcPr>
          <w:p w14:paraId="57E2F727" w14:textId="77777777" w:rsidR="001A2519" w:rsidRPr="00FA5A8B" w:rsidRDefault="001A2519" w:rsidP="001A2519">
            <w:pPr>
              <w:tabs>
                <w:tab w:val="center" w:pos="2359"/>
              </w:tabs>
              <w:jc w:val="center"/>
              <w:rPr>
                <w:rFonts w:ascii="Arial" w:hAnsi="Arial" w:cs="Arial"/>
                <w:spacing w:val="-3"/>
              </w:rPr>
            </w:pPr>
            <w:r w:rsidRPr="00FA5A8B">
              <w:rPr>
                <w:rFonts w:ascii="Arial" w:hAnsi="Arial"/>
              </w:rPr>
              <w:t>Philippe, král Belgičanů,</w:t>
            </w:r>
          </w:p>
          <w:p w14:paraId="393066B7" w14:textId="77777777" w:rsidR="001A2519" w:rsidRPr="00FA5A8B" w:rsidRDefault="001A2519" w:rsidP="001A2519">
            <w:pPr>
              <w:jc w:val="center"/>
              <w:rPr>
                <w:rFonts w:ascii="Arial" w:hAnsi="Arial" w:cs="Arial"/>
                <w:spacing w:val="-3"/>
              </w:rPr>
            </w:pPr>
            <w:r w:rsidRPr="00FA5A8B">
              <w:rPr>
                <w:rFonts w:ascii="Arial" w:hAnsi="Arial"/>
              </w:rPr>
              <w:t>Zdravím všechny přítomné a všechny příchozí</w:t>
            </w:r>
          </w:p>
          <w:p w14:paraId="26439878" w14:textId="2A2615F2" w:rsidR="00047B0F" w:rsidRPr="00FA5A8B" w:rsidRDefault="00047B0F" w:rsidP="00047B0F">
            <w:pPr>
              <w:tabs>
                <w:tab w:val="left" w:pos="-720"/>
              </w:tabs>
              <w:jc w:val="center"/>
              <w:rPr>
                <w:rFonts w:ascii="Arial" w:hAnsi="Arial" w:cs="Arial"/>
                <w:b/>
                <w:spacing w:val="-3"/>
              </w:rPr>
            </w:pPr>
          </w:p>
        </w:tc>
      </w:tr>
      <w:tr w:rsidR="0079460A" w:rsidRPr="00FA5A8B" w14:paraId="090783DE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394F0CC4" w14:textId="582771A3" w:rsidR="00047B0F" w:rsidRPr="00FA5A8B" w:rsidRDefault="00047B0F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28A97C05" w14:textId="7DA567BF" w:rsidR="00047B0F" w:rsidRPr="00FA5A8B" w:rsidRDefault="00E82C35" w:rsidP="00047B0F">
            <w:pPr>
              <w:jc w:val="both"/>
            </w:pPr>
            <w:r w:rsidRPr="00FA5A8B">
              <w:rPr>
                <w:rFonts w:ascii="Arial" w:hAnsi="Arial"/>
              </w:rPr>
              <w:t xml:space="preserve">s ohledem na zákon ze dne 10. března 1925 o distribuci elektrické energie, </w:t>
            </w:r>
            <w:bookmarkStart w:id="1" w:name="hit1"/>
            <w:bookmarkEnd w:id="1"/>
            <w:r w:rsidRPr="00FA5A8B">
              <w:rPr>
                <w:rFonts w:ascii="Arial" w:hAnsi="Arial"/>
              </w:rPr>
              <w:t>čl. 21 odst. 1;</w:t>
            </w:r>
          </w:p>
        </w:tc>
      </w:tr>
      <w:tr w:rsidR="0079460A" w:rsidRPr="00FA5A8B" w14:paraId="16C56C70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005A8A09" w14:textId="1FD00E60" w:rsidR="00047B0F" w:rsidRPr="00FA5A8B" w:rsidRDefault="00047B0F" w:rsidP="00047B0F"/>
        </w:tc>
        <w:tc>
          <w:tcPr>
            <w:tcW w:w="9267" w:type="dxa"/>
            <w:gridSpan w:val="2"/>
          </w:tcPr>
          <w:p w14:paraId="2C6E1918" w14:textId="77777777" w:rsidR="00047B0F" w:rsidRPr="00FA5A8B" w:rsidRDefault="00047B0F" w:rsidP="00047B0F"/>
        </w:tc>
      </w:tr>
      <w:tr w:rsidR="0079460A" w:rsidRPr="00FA5A8B" w14:paraId="13B39B01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2EDDC7D3" w14:textId="7C3F5D57" w:rsidR="00047B0F" w:rsidRPr="00FA5A8B" w:rsidRDefault="00047B0F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0D47B9E7" w14:textId="34FB87E4" w:rsidR="00047B0F" w:rsidRPr="00FA5A8B" w:rsidRDefault="00E82C35" w:rsidP="00047B0F">
            <w:pPr>
              <w:jc w:val="both"/>
            </w:pPr>
            <w:r w:rsidRPr="00FA5A8B">
              <w:rPr>
                <w:rFonts w:ascii="Arial" w:hAnsi="Arial"/>
              </w:rPr>
              <w:t>S ohledem na zákon ze dne 4. srpna 1996 o dobrých životních podmínkách pracovníků při výkonu jejich práce, čl. 4 oddíl. 1 odst. 1, ve znění zákona ze dne 7. dubna 1999; a čl. 5 oddíl 3;</w:t>
            </w:r>
          </w:p>
        </w:tc>
      </w:tr>
      <w:tr w:rsidR="0079460A" w:rsidRPr="00FA5A8B" w14:paraId="7B50A295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06DF04A2" w14:textId="6633B159" w:rsidR="00047B0F" w:rsidRPr="00FA5A8B" w:rsidRDefault="00047B0F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34C16BC8" w14:textId="475FC890" w:rsidR="00047B0F" w:rsidRPr="00FA5A8B" w:rsidRDefault="00047B0F" w:rsidP="00047B0F">
            <w:pPr>
              <w:jc w:val="both"/>
            </w:pPr>
          </w:p>
        </w:tc>
      </w:tr>
      <w:tr w:rsidR="0079460A" w:rsidRPr="00FA5A8B" w14:paraId="4320AA9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688F9937" w14:textId="77777777" w:rsidR="00047B0F" w:rsidRPr="00FA5A8B" w:rsidRDefault="00047B0F" w:rsidP="00E82C35">
            <w:pPr>
              <w:jc w:val="both"/>
            </w:pPr>
          </w:p>
        </w:tc>
        <w:tc>
          <w:tcPr>
            <w:tcW w:w="9267" w:type="dxa"/>
            <w:gridSpan w:val="2"/>
          </w:tcPr>
          <w:p w14:paraId="58EACF54" w14:textId="7CB491E9" w:rsidR="00207A1A" w:rsidRPr="00FA5A8B" w:rsidRDefault="00E82C35" w:rsidP="00E82C35">
            <w:pPr>
              <w:jc w:val="both"/>
            </w:pPr>
            <w:r w:rsidRPr="00FA5A8B">
              <w:rPr>
                <w:rFonts w:ascii="Arial" w:hAnsi="Arial"/>
              </w:rPr>
              <w:t>s ohledem na královský výnos ze dne 8. září 2019, kterým se zavádí kniha 1 o elektrických zařízeních nízkého a velmi nízkého napětí, kniha 2 o elektrických zařízeních vysokého napětí a kniha 3 o přenosových a distribučních elektroenergetických zařízeních;</w:t>
            </w:r>
          </w:p>
        </w:tc>
      </w:tr>
      <w:tr w:rsidR="0079460A" w:rsidRPr="00FA5A8B" w14:paraId="387D9A3A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3384E3C9" w14:textId="77777777" w:rsidR="00047B0F" w:rsidRPr="00FA5A8B" w:rsidRDefault="00047B0F" w:rsidP="00EB6A7E">
            <w:pPr>
              <w:jc w:val="both"/>
            </w:pPr>
          </w:p>
        </w:tc>
        <w:tc>
          <w:tcPr>
            <w:tcW w:w="9267" w:type="dxa"/>
            <w:gridSpan w:val="2"/>
          </w:tcPr>
          <w:p w14:paraId="0B2BBF55" w14:textId="77777777" w:rsidR="00E82C35" w:rsidRPr="00FA5A8B" w:rsidRDefault="00E82C35" w:rsidP="00E82C35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S ohledem na stanovisko finančního kontrolora ze dne 25. února 2021;</w:t>
            </w:r>
          </w:p>
          <w:p w14:paraId="43E0BB1D" w14:textId="77777777" w:rsidR="00047B0F" w:rsidRPr="00FA5A8B" w:rsidRDefault="00047B0F" w:rsidP="00047B0F">
            <w:pPr>
              <w:jc w:val="both"/>
              <w:rPr>
                <w:rFonts w:ascii="Arial" w:hAnsi="Arial" w:cs="Arial"/>
              </w:rPr>
            </w:pPr>
          </w:p>
          <w:p w14:paraId="053E9279" w14:textId="447443A8" w:rsidR="00E82C35" w:rsidRPr="00FA5A8B" w:rsidRDefault="00E82C35" w:rsidP="00047B0F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 xml:space="preserve">S ohledem na stanovisko Nejvyšší rady pro prevenci a ochranu při práci vydané dne 17. listopadu 2021 podle čl. 95 odst. </w:t>
            </w:r>
            <w:r w:rsidRPr="00FA5A8B">
              <w:rPr>
                <w:rStyle w:val="Emphaseple1"/>
                <w:rFonts w:ascii="Arial" w:hAnsi="Arial"/>
                <w:i w:val="0"/>
                <w:color w:val="auto"/>
              </w:rPr>
              <w:t>1</w:t>
            </w:r>
            <w:r w:rsidRPr="00FA5A8B">
              <w:rPr>
                <w:rFonts w:ascii="Arial" w:hAnsi="Arial"/>
              </w:rPr>
              <w:t xml:space="preserve"> zákona ze dne 4. srpna 1996 o dobrých životních podmínkách pracovníků při výkonu jejich práce;</w:t>
            </w:r>
          </w:p>
          <w:p w14:paraId="3B5454BB" w14:textId="21DB4915" w:rsidR="00E82C35" w:rsidRPr="00FA5A8B" w:rsidRDefault="00E82C35" w:rsidP="00047B0F">
            <w:pPr>
              <w:jc w:val="both"/>
              <w:rPr>
                <w:rFonts w:ascii="Arial" w:hAnsi="Arial" w:cs="Arial"/>
              </w:rPr>
            </w:pPr>
          </w:p>
          <w:p w14:paraId="3E480D8D" w14:textId="77777777" w:rsidR="00E82C35" w:rsidRPr="00FA5A8B" w:rsidRDefault="00E82C35" w:rsidP="00047B0F">
            <w:pPr>
              <w:jc w:val="both"/>
              <w:rPr>
                <w:rFonts w:ascii="Arial" w:hAnsi="Arial" w:cs="Arial"/>
              </w:rPr>
            </w:pPr>
          </w:p>
          <w:p w14:paraId="28981038" w14:textId="3CC2A681" w:rsidR="00E82C35" w:rsidRPr="00FA5A8B" w:rsidRDefault="00E82C35" w:rsidP="00E82C35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S ohledem na stanovisko Nejvyšší rady pro ochranu před požáry a výbuchy práci vydané dne 22. prosince 2021 podle čl. 6 oddíl. 1 odst. 2 písm. b) zákona ze dne 30. července 1979 o předcházení požárům a výbuchům a o povinném pojištění občanskoprávní odpovědnosti za těchto okolností;</w:t>
            </w:r>
          </w:p>
          <w:p w14:paraId="3A3C5B0B" w14:textId="77777777" w:rsidR="00047B0F" w:rsidRPr="00FA5A8B" w:rsidRDefault="00047B0F" w:rsidP="00E82C35">
            <w:pPr>
              <w:jc w:val="both"/>
            </w:pPr>
          </w:p>
        </w:tc>
      </w:tr>
      <w:tr w:rsidR="007D5658" w:rsidRPr="00FA5A8B" w14:paraId="10B5E30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32D036D" w14:textId="0B292C76" w:rsidR="007D5658" w:rsidRPr="00FA5A8B" w:rsidRDefault="007D5658" w:rsidP="007D565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67" w:type="dxa"/>
            <w:gridSpan w:val="2"/>
          </w:tcPr>
          <w:p w14:paraId="1BB7DA30" w14:textId="77777777" w:rsidR="007D5658" w:rsidRPr="00FA5A8B" w:rsidRDefault="007D5658" w:rsidP="007D5658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S ohledem na sdělení Evropské komisi ze dne 2. března 2021 podle čl. 5 odst. 1 směrnice Evropského parlamentu a Rady (EU) 2015/1535 ze dne 9. září 2015 o postupu při poskytování informací v oblasti technických předpisů a pravidel pro služby informační společnosti;</w:t>
            </w:r>
          </w:p>
          <w:p w14:paraId="00E94983" w14:textId="24DBB4E7" w:rsidR="007D5658" w:rsidRPr="00FA5A8B" w:rsidRDefault="007D5658" w:rsidP="007D5658">
            <w:pPr>
              <w:jc w:val="both"/>
              <w:rPr>
                <w:rFonts w:ascii="Arial" w:hAnsi="Arial" w:cs="Arial"/>
              </w:rPr>
            </w:pPr>
          </w:p>
        </w:tc>
      </w:tr>
      <w:tr w:rsidR="0079460A" w:rsidRPr="00FA5A8B" w14:paraId="3FE9D49A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459265C2" w14:textId="459B68C2" w:rsidR="00047B0F" w:rsidRPr="00FA5A8B" w:rsidRDefault="00047B0F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1C569048" w14:textId="4C963F22" w:rsidR="00047B0F" w:rsidRPr="00FA5A8B" w:rsidRDefault="00E82C35" w:rsidP="00047B0F">
            <w:pPr>
              <w:jc w:val="both"/>
            </w:pPr>
            <w:r w:rsidRPr="00FA5A8B">
              <w:rPr>
                <w:rFonts w:ascii="Arial" w:hAnsi="Arial"/>
              </w:rPr>
              <w:t>S ohledem na stanovisko Stálého výboru pro elektřinu vydané dne 24. března 2022 podle čl. 22 odst. 5 zákona ze dne 10. března 1925 o distribuci elektřiny, ve znění zákona ze dne 8. května 2014;</w:t>
            </w:r>
          </w:p>
        </w:tc>
      </w:tr>
      <w:tr w:rsidR="0079460A" w:rsidRPr="00FA5A8B" w14:paraId="05A3F2A0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088DE580" w14:textId="4A862DD9" w:rsidR="00047B0F" w:rsidRPr="00FA5A8B" w:rsidRDefault="00047B0F" w:rsidP="00047B0F"/>
        </w:tc>
        <w:tc>
          <w:tcPr>
            <w:tcW w:w="9267" w:type="dxa"/>
            <w:gridSpan w:val="2"/>
          </w:tcPr>
          <w:p w14:paraId="46AA12E7" w14:textId="77777777" w:rsidR="00047B0F" w:rsidRPr="00FA5A8B" w:rsidRDefault="00047B0F" w:rsidP="00047B0F"/>
        </w:tc>
      </w:tr>
      <w:tr w:rsidR="0079460A" w:rsidRPr="00FA5A8B" w14:paraId="3D487CB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25F7FD0B" w14:textId="760EB5A9" w:rsidR="00C66AB4" w:rsidRPr="00FA5A8B" w:rsidRDefault="00C66AB4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184CF3C3" w14:textId="0EDC208F" w:rsidR="00BB6DE6" w:rsidRPr="00FA5A8B" w:rsidRDefault="00BB6DE6" w:rsidP="00BB6DE6">
            <w:pPr>
              <w:jc w:val="both"/>
              <w:rPr>
                <w:rStyle w:val="Emphaseple1"/>
                <w:rFonts w:ascii="Arial" w:hAnsi="Arial" w:cs="Arial"/>
                <w:i w:val="0"/>
                <w:color w:val="auto"/>
              </w:rPr>
            </w:pPr>
            <w:r w:rsidRPr="00FA5A8B">
              <w:rPr>
                <w:rStyle w:val="Emphaseple1"/>
                <w:rFonts w:ascii="Arial" w:hAnsi="Arial"/>
                <w:i w:val="0"/>
                <w:color w:val="auto"/>
              </w:rPr>
              <w:t>S ohledem na stanovisko státní rady 71.421/3 vydané dne 25. května 2022 podle čl. 84 § 1 odst. 2 zákona o státní radě konsolidovaného dne 12. ledna 1973;</w:t>
            </w:r>
          </w:p>
          <w:p w14:paraId="35B35ECC" w14:textId="12A6A124" w:rsidR="00047B0F" w:rsidRPr="00FA5A8B" w:rsidRDefault="00047B0F" w:rsidP="00047B0F">
            <w:pPr>
              <w:jc w:val="both"/>
            </w:pPr>
          </w:p>
        </w:tc>
      </w:tr>
      <w:tr w:rsidR="0079460A" w:rsidRPr="00FA5A8B" w14:paraId="7F76CC5D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69756BD7" w14:textId="40817D92" w:rsidR="00047B0F" w:rsidRPr="00FA5A8B" w:rsidRDefault="00047B0F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58B6FF8E" w14:textId="42BB1917" w:rsidR="00047B0F" w:rsidRPr="00FA5A8B" w:rsidRDefault="00BB6DE6" w:rsidP="00047B0F">
            <w:pPr>
              <w:jc w:val="both"/>
            </w:pPr>
            <w:r w:rsidRPr="00FA5A8B">
              <w:rPr>
                <w:rFonts w:ascii="Arial" w:hAnsi="Arial"/>
              </w:rPr>
              <w:t>Na návrh ministra práce a ministra energetiky,</w:t>
            </w:r>
          </w:p>
        </w:tc>
      </w:tr>
      <w:tr w:rsidR="0079460A" w:rsidRPr="00FA5A8B" w14:paraId="71626A7C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7C646F38" w14:textId="5D5DC5C7" w:rsidR="00BB6DE6" w:rsidRPr="00FA5A8B" w:rsidRDefault="00BB6DE6" w:rsidP="00047B0F">
            <w:pPr>
              <w:jc w:val="both"/>
            </w:pPr>
          </w:p>
        </w:tc>
        <w:tc>
          <w:tcPr>
            <w:tcW w:w="9267" w:type="dxa"/>
            <w:gridSpan w:val="2"/>
          </w:tcPr>
          <w:p w14:paraId="74FD1284" w14:textId="78874B9A" w:rsidR="0068248D" w:rsidRPr="00FA5A8B" w:rsidRDefault="0068248D" w:rsidP="00047B0F">
            <w:pPr>
              <w:jc w:val="both"/>
              <w:rPr>
                <w:rFonts w:ascii="Arial" w:hAnsi="Arial" w:cs="Arial"/>
              </w:rPr>
            </w:pPr>
          </w:p>
          <w:p w14:paraId="41946D15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ROZHODLI JSME A TÍMTO NAŘIZUJEME:</w:t>
            </w:r>
          </w:p>
          <w:p w14:paraId="2A28917E" w14:textId="77777777" w:rsidR="00037346" w:rsidRPr="00FA5A8B" w:rsidRDefault="00037346" w:rsidP="00047B0F">
            <w:pPr>
              <w:jc w:val="both"/>
            </w:pPr>
          </w:p>
        </w:tc>
      </w:tr>
      <w:tr w:rsidR="0079460A" w:rsidRPr="00FA5A8B" w14:paraId="2A89BFDA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2E0B01A6" w14:textId="77777777" w:rsidR="00BB6DE6" w:rsidRPr="00FA5A8B" w:rsidRDefault="00BB6DE6" w:rsidP="00BB6DE6">
            <w:pPr>
              <w:jc w:val="both"/>
              <w:rPr>
                <w:rFonts w:ascii="Arial" w:hAnsi="Arial" w:cs="Arial"/>
                <w:bCs/>
              </w:rPr>
            </w:pPr>
          </w:p>
          <w:p w14:paraId="41C7C6BB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28941C63" w14:textId="2D5C16C5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5511D5CF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0A1E90CB" w14:textId="4776ACD5" w:rsidR="00240FFF" w:rsidRPr="00FA5A8B" w:rsidRDefault="00240FFF" w:rsidP="00EB6A7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267" w:type="dxa"/>
            <w:gridSpan w:val="2"/>
          </w:tcPr>
          <w:p w14:paraId="07073119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b/>
              </w:rPr>
              <w:lastRenderedPageBreak/>
              <w:t>Článek 2.</w:t>
            </w:r>
            <w:r w:rsidRPr="00FA5A8B">
              <w:rPr>
                <w:rFonts w:ascii="Arial" w:hAnsi="Arial"/>
              </w:rPr>
              <w:t xml:space="preserve"> V příloze 1 téhož výnosu se provádějí tyto změny:</w:t>
            </w:r>
          </w:p>
          <w:p w14:paraId="39F34BEC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45B46D48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1. V knize 1 části 2 kapitole 2.6 oddílu 2.6.1 se mezi definicemi „základního obvodu“ a „obvodu“ zavádí tato definice:</w:t>
            </w:r>
          </w:p>
          <w:p w14:paraId="35D1471D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38A1E2DA" w14:textId="7F83FAD6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“</w:t>
            </w:r>
            <w:r w:rsidRPr="00FA5A8B">
              <w:rPr>
                <w:rFonts w:ascii="Arial" w:hAnsi="Arial"/>
                <w:b/>
                <w:color w:val="000000" w:themeColor="text1"/>
              </w:rPr>
              <w:t>Výlučně vyhrazený obvod (zde také označován jako vyhrazená kniha obvodů):</w:t>
            </w:r>
            <w:r w:rsidRPr="00FA5A8B">
              <w:rPr>
                <w:rFonts w:ascii="Arial" w:hAnsi="Arial"/>
              </w:rPr>
              <w:t xml:space="preserve"> elementární obvod (hlavní obvod nebo koncový obvod) určený pro výhradní dodávku jednoho nebo více spotřebičů určených ke zvláštnímu účelu.”;</w:t>
            </w:r>
          </w:p>
          <w:p w14:paraId="5255EFF4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45E346B2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2. ve francouzském znění knihy 1 se slova „dispositif(s) à courant différentiel résiduel“, „dispositif(s) à courant différentiel-résiduel“, „dispositif(s) de protection à courant différentiel“, „dispositif(s) de protection à courant différentiel résiduel“ a „dispositif différentiel“ pokaždé nahrazují slovním spojením „dispositif(s) de protection à courant différentiel-résiduel“;</w:t>
            </w:r>
          </w:p>
          <w:p w14:paraId="3B1BF973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3B3D8200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3. v nizozemském znění knihy 1 se slovo „differentieelstroominrichting(en)“ pokaždé nahrazuje slovy „differentieelstroombeschermings-inrichting(en)“;</w:t>
            </w:r>
          </w:p>
          <w:p w14:paraId="41B10FF1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7AAB1598" w14:textId="77777777" w:rsidR="00240FFF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4. ve francouzském znění knihy 1 části 5 kapitoly 5.2 oddílu 5.2.1. pododdílu 5.2.1.2. odst. 7 se slova „circuit(s) exclusivement dédié(s)“ pokaždé nahrazují slovy „circuit(s) dédié(s).“;</w:t>
            </w:r>
          </w:p>
          <w:p w14:paraId="4E430787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7C84989C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5. ve francouzském znění knihy 1 části 5 kapitoly 5.2. oddílu 5.2.9. pododdílu 5.2.9.13 bodech b.11 a c.11. se slova „circuit exclusivement dédié“ nahrazují slovy „circuit dédié“;</w:t>
            </w:r>
          </w:p>
          <w:p w14:paraId="05DF9F52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6EEFCFFF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6. v nizozemském znění knihy 1 části 5 kapitoly 5.2. oddílu 5.2.1. pododdílu 5.2.1.2 odst. 7 se slova „exclusief toegekende stroombaan (stroombanen)“ nahrazují slovy „toegekende stroombaan (stroombanen)“;</w:t>
            </w:r>
          </w:p>
          <w:p w14:paraId="010B6738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2D83934E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7. v nizozemském znění knihy 1 části 1 části 5 kapitoly 5.2. Oddílu 5.2.9. pododdílu 5.2.9.13, bodech b.11 a c.11. se slova „gescheiden stroombaan“ nahrazují slovy „toegekende stroombaan“;</w:t>
            </w:r>
          </w:p>
          <w:p w14:paraId="2BB6E783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22DC5935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8. v nizozemském znění knihy 1 části 5 kapitoly 5.5 oddílu 5.5.7. pododdílu 5.5.7.2 odst. 5 a 6 se slova „afzonderlijke stroombaan (stroombanen)“ nahrazují slovy „toegekende stroombaan (stroombanen)“;</w:t>
            </w:r>
          </w:p>
          <w:p w14:paraId="7A570275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6A2BB9F4" w14:textId="77062D89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9. v nizozemském znění knihy 1 části 5 kapitoly 5.6.oddílu 5.6.2. pododdílu 5.6.2.1 odst. 3 a 4 se slova „afzonderlijke stroombaan (stroombanen)“ nahrazují slovy „afzonderlijke stroombaan (stroombanen).“</w:t>
            </w:r>
          </w:p>
        </w:tc>
      </w:tr>
      <w:tr w:rsidR="0079460A" w:rsidRPr="00FA5A8B" w14:paraId="6433AE65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6E051D29" w14:textId="7A9E3070" w:rsidR="0068248D" w:rsidRPr="00FA5A8B" w:rsidRDefault="0068248D" w:rsidP="00E3501E">
            <w:pPr>
              <w:jc w:val="both"/>
              <w:rPr>
                <w:rFonts w:ascii="Arial" w:hAnsi="Arial" w:cs="Arial"/>
                <w:b/>
              </w:rPr>
            </w:pPr>
          </w:p>
          <w:p w14:paraId="24A873D7" w14:textId="47EF5DA5" w:rsidR="00A56B0F" w:rsidRPr="00FA5A8B" w:rsidRDefault="00A56B0F" w:rsidP="00EB6A7E">
            <w:pPr>
              <w:jc w:val="both"/>
            </w:pPr>
          </w:p>
        </w:tc>
        <w:tc>
          <w:tcPr>
            <w:tcW w:w="9267" w:type="dxa"/>
            <w:gridSpan w:val="2"/>
          </w:tcPr>
          <w:p w14:paraId="3B8E48C3" w14:textId="5860A565" w:rsidR="0068248D" w:rsidRPr="00FA5A8B" w:rsidRDefault="0068248D" w:rsidP="00E3501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4E866E5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b/>
              </w:rPr>
              <w:t>Článek 3.</w:t>
            </w:r>
            <w:r w:rsidRPr="00FA5A8B">
              <w:rPr>
                <w:rFonts w:ascii="Arial" w:hAnsi="Arial"/>
              </w:rPr>
              <w:t xml:space="preserve"> V příloze 3 téhož nařízení se provádějí tyto změny:</w:t>
            </w:r>
          </w:p>
          <w:p w14:paraId="22C044DF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451EE525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1. v knize 3 části 2 kapitole 2.6 oddílu 2.6.1 pododdílu 2.6.1.1. se mezi definice „základního obvodu“ a „obvodu“ vkládá nová definice, která zní:</w:t>
            </w:r>
          </w:p>
          <w:p w14:paraId="4D4996E1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1B2E18CC" w14:textId="053AD244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“</w:t>
            </w:r>
            <w:r w:rsidRPr="00FA5A8B">
              <w:rPr>
                <w:rFonts w:ascii="Arial" w:hAnsi="Arial"/>
                <w:b/>
                <w:color w:val="000000" w:themeColor="text1"/>
              </w:rPr>
              <w:t>Výlučně vyhrazený obvod (zde také označován jako vyhrazená kniha obvodů):</w:t>
            </w:r>
            <w:r w:rsidRPr="00FA5A8B">
              <w:rPr>
                <w:rFonts w:ascii="Arial" w:hAnsi="Arial"/>
              </w:rPr>
              <w:t xml:space="preserve"> elementární obvod (hlavní obvod nebo koncový obvod) určený pro výhradní dodávku jednoho nebo více spotřebičů určených ke zvláštnímu účelu.”;</w:t>
            </w:r>
          </w:p>
          <w:p w14:paraId="2DBFECA1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36E5B26F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2. ve francouzském znění knihy 3 se slova „dispositif(s) à courant différentiel résiduel“, „dispositif(s) à courant différentiel-résiduel“, „dispositif(s) de protection à courant différentiel“, „dispositif(s) de protection à courant différentiel résiduel“ a „dispositif différentiel“ pokaždé nahrazují slovním spojením „dispositif(s) de protection à courant différentiel-résiduel“;</w:t>
            </w:r>
          </w:p>
          <w:p w14:paraId="24FB0CEA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4E2B3683" w14:textId="1A801D9F" w:rsidR="00BB6DE6" w:rsidRDefault="00BB6DE6" w:rsidP="00BB6DE6">
            <w:pPr>
              <w:jc w:val="both"/>
              <w:rPr>
                <w:rFonts w:ascii="Arial" w:hAnsi="Arial"/>
              </w:rPr>
            </w:pPr>
            <w:r w:rsidRPr="00FA5A8B">
              <w:rPr>
                <w:rFonts w:ascii="Arial" w:hAnsi="Arial"/>
              </w:rPr>
              <w:t>3. v nizozemském znění knihy 3 se slova „differentieelstroominrichting(en)“ a „differentieelinrichting“ nahrazují pokaždé slovy</w:t>
            </w:r>
            <w:r w:rsidR="00FA5A8B">
              <w:rPr>
                <w:rFonts w:ascii="Arial" w:hAnsi="Arial"/>
              </w:rPr>
              <w:t xml:space="preserve"> </w:t>
            </w:r>
            <w:r w:rsidRPr="00FA5A8B">
              <w:rPr>
                <w:rFonts w:ascii="Arial" w:hAnsi="Arial"/>
              </w:rPr>
              <w:t>„differentieelstroombeschermingsinrichting(en)“;</w:t>
            </w:r>
          </w:p>
          <w:p w14:paraId="3FFD1808" w14:textId="77777777" w:rsidR="00FA5A8B" w:rsidRPr="00FA5A8B" w:rsidRDefault="00FA5A8B" w:rsidP="00BB6DE6">
            <w:pPr>
              <w:jc w:val="both"/>
              <w:rPr>
                <w:rFonts w:ascii="Arial" w:hAnsi="Arial" w:cs="Arial"/>
              </w:rPr>
            </w:pPr>
          </w:p>
          <w:p w14:paraId="5A0E3616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lastRenderedPageBreak/>
              <w:t>4. v nizozemském znění knihy 3, části 5, kapitoly 5.6. Oddílu 5.6.7. pododdílu 5.6.7.2 odst. 5 a 6 se slova „afzonderlijke stroombaan (stroombanen)“ nahrazují slovy „toegekende stroombaan (stroombanen)“;</w:t>
            </w:r>
          </w:p>
          <w:p w14:paraId="6E3DD9B5" w14:textId="77777777" w:rsidR="00BB6DE6" w:rsidRPr="00FA5A8B" w:rsidRDefault="00BB6DE6" w:rsidP="00BB6DE6">
            <w:pPr>
              <w:jc w:val="both"/>
              <w:rPr>
                <w:rFonts w:ascii="Arial" w:hAnsi="Arial" w:cs="Arial"/>
              </w:rPr>
            </w:pPr>
          </w:p>
          <w:p w14:paraId="03A15A67" w14:textId="77777777" w:rsidR="00D01267" w:rsidRDefault="00BB6DE6" w:rsidP="00BB6DE6">
            <w:pPr>
              <w:jc w:val="both"/>
              <w:rPr>
                <w:rFonts w:ascii="Arial" w:hAnsi="Arial"/>
              </w:rPr>
            </w:pPr>
            <w:r w:rsidRPr="00FA5A8B">
              <w:rPr>
                <w:rFonts w:ascii="Arial" w:hAnsi="Arial"/>
              </w:rPr>
              <w:t>5. v nizozemském znění knihy 3 části 5 kapitoly 5.7. oddílu 5.7.2. pododdílu 5.7.2.1 odst. 3 a 4 se slova „afzonderlijke stroombaan (stroombanen)“ nahrazují slovy „toegekende stroombaan (stroombanen).“</w:t>
            </w:r>
          </w:p>
          <w:p w14:paraId="40785A79" w14:textId="6B8FB861" w:rsidR="00FA5A8B" w:rsidRPr="00FA5A8B" w:rsidRDefault="00FA5A8B" w:rsidP="00BB6DE6">
            <w:pPr>
              <w:jc w:val="both"/>
              <w:rPr>
                <w:rFonts w:ascii="Arial" w:hAnsi="Arial" w:cs="Arial"/>
              </w:rPr>
            </w:pPr>
          </w:p>
        </w:tc>
      </w:tr>
      <w:tr w:rsidR="0079460A" w:rsidRPr="00FA5A8B" w14:paraId="77ED93E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10B15663" w14:textId="346F6C7C" w:rsidR="009B74FF" w:rsidRPr="00FA5A8B" w:rsidRDefault="009B74FF" w:rsidP="00BB6DE6">
            <w:pPr>
              <w:jc w:val="both"/>
            </w:pPr>
          </w:p>
        </w:tc>
        <w:tc>
          <w:tcPr>
            <w:tcW w:w="9267" w:type="dxa"/>
            <w:gridSpan w:val="2"/>
          </w:tcPr>
          <w:p w14:paraId="14BBA6E0" w14:textId="77C1812A" w:rsidR="00BB6DE6" w:rsidRPr="00FA5A8B" w:rsidRDefault="00BB6DE6" w:rsidP="00BB6DE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b/>
              </w:rPr>
              <w:t>Článek 4.</w:t>
            </w:r>
            <w:r w:rsidRPr="00FA5A8B">
              <w:rPr>
                <w:rFonts w:ascii="Arial" w:hAnsi="Arial"/>
              </w:rPr>
              <w:t xml:space="preserve"> Toto nařízení vstupuje v platnost prvním dnem třetího měsíce po zveřejnění v Úředním belgickém věstníku.</w:t>
            </w:r>
          </w:p>
          <w:p w14:paraId="3B885339" w14:textId="3C3A1DED" w:rsidR="0068248D" w:rsidRPr="00FA5A8B" w:rsidRDefault="0068248D" w:rsidP="002530B5">
            <w:pPr>
              <w:jc w:val="both"/>
            </w:pPr>
          </w:p>
        </w:tc>
      </w:tr>
      <w:tr w:rsidR="0079460A" w:rsidRPr="00FA5A8B" w14:paraId="48A32BDC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70513D0B" w14:textId="09DCC399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779FCDB2" w14:textId="32EEBE81" w:rsidR="002530B5" w:rsidRPr="00FA5A8B" w:rsidRDefault="00BB6DE6" w:rsidP="002530B5">
            <w:pPr>
              <w:jc w:val="both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  <w:b/>
              </w:rPr>
              <w:t xml:space="preserve">Článek 5. </w:t>
            </w:r>
            <w:r w:rsidRPr="00FA5A8B">
              <w:rPr>
                <w:rFonts w:ascii="Arial" w:hAnsi="Arial"/>
              </w:rPr>
              <w:t>Za provedení tohoto vyhlášky odpovídají ministr práce a ministr energetiky, každý z nich v rámci své působnosti.</w:t>
            </w:r>
          </w:p>
        </w:tc>
      </w:tr>
      <w:tr w:rsidR="0079460A" w:rsidRPr="00FA5A8B" w14:paraId="14FC949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221228AA" w14:textId="483307AA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25BE6A31" w14:textId="37E4947B" w:rsidR="002530B5" w:rsidRPr="00FA5A8B" w:rsidRDefault="00BB6DE6" w:rsidP="00BB6DE6">
            <w:pPr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</w:rPr>
              <w:t>Vydáno</w:t>
            </w:r>
          </w:p>
        </w:tc>
      </w:tr>
      <w:tr w:rsidR="0079460A" w:rsidRPr="00FA5A8B" w14:paraId="163729DC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38DE61CB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465A6DE8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031B1352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D4DA8D3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07528092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71C2D5E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40C0DFB2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42527E44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15F534A9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A058918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5BB643EE" w14:textId="4A74A3C4" w:rsidR="009B74FF" w:rsidRPr="00FA5A8B" w:rsidRDefault="009B74FF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77BB6D7E" w14:textId="1F564A43" w:rsidR="00F55AB2" w:rsidRPr="00FA5A8B" w:rsidRDefault="00F55AB2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4C6BB458" w14:textId="5BA1C870" w:rsidR="00F55AB2" w:rsidRPr="00FA5A8B" w:rsidRDefault="00F55AB2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54DE01EF" w14:textId="4D743AAC" w:rsidR="00F55AB2" w:rsidRPr="00FA5A8B" w:rsidRDefault="00F55AB2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5A962CDB" w14:textId="2169322A" w:rsidR="009B74FF" w:rsidRPr="00FA5A8B" w:rsidRDefault="009B74FF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4E43B14A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5831AFF6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7AF1E386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7F225597" w14:textId="77777777" w:rsidR="00BA186D" w:rsidRPr="00FA5A8B" w:rsidRDefault="00BA186D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633A8CA0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071A2F21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6AEE26F7" w14:textId="2ED14078" w:rsidR="009B74FF" w:rsidRPr="00FA5A8B" w:rsidRDefault="009B74FF" w:rsidP="000F0B2C">
            <w:pPr>
              <w:jc w:val="center"/>
              <w:rPr>
                <w:rFonts w:ascii="Arial" w:hAnsi="Arial" w:cs="Arial"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4D59BFA6" w14:textId="08995E03" w:rsidR="002530B5" w:rsidRPr="00FA5A8B" w:rsidRDefault="009D3040" w:rsidP="002530B5">
            <w:pPr>
              <w:jc w:val="center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</w:rPr>
              <w:t>Za krále:</w:t>
            </w:r>
          </w:p>
        </w:tc>
      </w:tr>
      <w:tr w:rsidR="0079460A" w:rsidRPr="00FA5A8B" w14:paraId="18BB15EE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449E577" w14:textId="2CA3144F" w:rsidR="002530B5" w:rsidRPr="00FA5A8B" w:rsidRDefault="002530B5" w:rsidP="002530B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31F4D5CE" w14:textId="4018DAC4" w:rsidR="002530B5" w:rsidRPr="00FA5A8B" w:rsidRDefault="009D3040" w:rsidP="002530B5">
            <w:pPr>
              <w:jc w:val="center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</w:rPr>
              <w:t>Ministr práce,</w:t>
            </w:r>
          </w:p>
        </w:tc>
      </w:tr>
      <w:tr w:rsidR="0079460A" w:rsidRPr="00FA5A8B" w14:paraId="1E9339D8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C4519FC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6202C02C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9460A" w:rsidRPr="00FA5A8B" w14:paraId="77600055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111ECF7D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  <w:p w14:paraId="660AB4D7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  <w:p w14:paraId="43C8926B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00A5E572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9460A" w:rsidRPr="00FA5A8B" w14:paraId="6A90DA93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38F9A661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5C70B306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9460A" w:rsidRPr="00FA5A8B" w14:paraId="2869CB9F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21E1ABC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67F47643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9460A" w:rsidRPr="00FA5A8B" w14:paraId="3AE140DC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2BBDD9B2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267" w:type="dxa"/>
            <w:gridSpan w:val="2"/>
          </w:tcPr>
          <w:p w14:paraId="2D554267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530B5" w:rsidRPr="00FA5A8B" w14:paraId="23314A4F" w14:textId="77777777" w:rsidTr="00EB6A7E">
        <w:tc>
          <w:tcPr>
            <w:tcW w:w="9553" w:type="dxa"/>
            <w:gridSpan w:val="4"/>
          </w:tcPr>
          <w:p w14:paraId="71506BA3" w14:textId="1D15271A" w:rsidR="003E3226" w:rsidRPr="00FA5A8B" w:rsidRDefault="002530B5" w:rsidP="000F0B2C">
            <w:pPr>
              <w:jc w:val="center"/>
              <w:rPr>
                <w:rFonts w:ascii="Arial" w:hAnsi="Arial" w:cs="Arial"/>
                <w:spacing w:val="-3"/>
              </w:rPr>
            </w:pPr>
            <w:r w:rsidRPr="00FA5A8B">
              <w:rPr>
                <w:rStyle w:val="acopre1"/>
                <w:rFonts w:ascii="Arial" w:hAnsi="Arial"/>
              </w:rPr>
              <w:t>Pierre-Yves Dermagne</w:t>
            </w:r>
          </w:p>
          <w:p w14:paraId="09D749A7" w14:textId="1BD263EE" w:rsidR="003E3226" w:rsidRPr="00FA5A8B" w:rsidRDefault="003E3226" w:rsidP="003E3226">
            <w:pPr>
              <w:rPr>
                <w:rFonts w:ascii="Arial" w:hAnsi="Arial" w:cs="Arial"/>
                <w:spacing w:val="-3"/>
                <w:lang w:val="nl-BE"/>
              </w:rPr>
            </w:pPr>
          </w:p>
        </w:tc>
      </w:tr>
      <w:tr w:rsidR="0079460A" w:rsidRPr="00FA5A8B" w14:paraId="0C3D19F4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76AE18E2" w14:textId="074EF6F1" w:rsidR="002530B5" w:rsidRPr="00FA5A8B" w:rsidRDefault="002530B5" w:rsidP="002530B5">
            <w:pPr>
              <w:jc w:val="center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b/>
              </w:rPr>
              <w:tab/>
            </w:r>
          </w:p>
        </w:tc>
        <w:tc>
          <w:tcPr>
            <w:tcW w:w="9267" w:type="dxa"/>
            <w:gridSpan w:val="2"/>
          </w:tcPr>
          <w:p w14:paraId="0FFD8752" w14:textId="50869938" w:rsidR="002530B5" w:rsidRPr="00FA5A8B" w:rsidRDefault="009D3040" w:rsidP="00106BDC">
            <w:pPr>
              <w:jc w:val="center"/>
              <w:rPr>
                <w:rFonts w:ascii="Arial" w:hAnsi="Arial" w:cs="Arial"/>
                <w:b/>
              </w:rPr>
            </w:pPr>
            <w:r w:rsidRPr="00FA5A8B">
              <w:rPr>
                <w:rFonts w:ascii="Arial" w:hAnsi="Arial"/>
              </w:rPr>
              <w:t>Ministr energetiky,</w:t>
            </w:r>
          </w:p>
        </w:tc>
      </w:tr>
      <w:tr w:rsidR="0079460A" w:rsidRPr="00FA5A8B" w14:paraId="4C3974C8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1F194BDB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287FDC76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66F53B56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5341F54C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246C39E1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7FDA9587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68F240D6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30AE2F7B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25603E14" w14:textId="77777777" w:rsidR="00BA186D" w:rsidRPr="00FA5A8B" w:rsidRDefault="00BA186D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  <w:p w14:paraId="783A482C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6EEFC80D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53B0D87D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169B2C96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5A0A2EC3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9460A" w:rsidRPr="00FA5A8B" w14:paraId="5CB931C8" w14:textId="77777777" w:rsidTr="00EB6A7E">
        <w:trPr>
          <w:gridAfter w:val="1"/>
          <w:wAfter w:w="7" w:type="dxa"/>
        </w:trPr>
        <w:tc>
          <w:tcPr>
            <w:tcW w:w="279" w:type="dxa"/>
          </w:tcPr>
          <w:p w14:paraId="426E1198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9267" w:type="dxa"/>
            <w:gridSpan w:val="2"/>
          </w:tcPr>
          <w:p w14:paraId="13A5DA6D" w14:textId="77777777" w:rsidR="002530B5" w:rsidRPr="00FA5A8B" w:rsidRDefault="002530B5" w:rsidP="002530B5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2530B5" w:rsidRPr="00FA5A8B" w14:paraId="6BF2AB59" w14:textId="77777777" w:rsidTr="00EB6A7E">
        <w:tc>
          <w:tcPr>
            <w:tcW w:w="9553" w:type="dxa"/>
            <w:gridSpan w:val="4"/>
          </w:tcPr>
          <w:p w14:paraId="4C4B4735" w14:textId="62F0E19E" w:rsidR="002530B5" w:rsidRPr="00FA5A8B" w:rsidRDefault="002530B5" w:rsidP="00A4604E">
            <w:pPr>
              <w:jc w:val="center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Tinne Van der Straeten</w:t>
            </w:r>
          </w:p>
          <w:p w14:paraId="4E0C6521" w14:textId="4C90910F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6119BFC5" w14:textId="33DEC1CF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03BDE27E" w14:textId="26A6A968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62BDC602" w14:textId="256222A7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40D83809" w14:textId="41EA832B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5CB6D08D" w14:textId="6C6B9972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76EA9DA7" w14:textId="21AEF798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505D59A9" w14:textId="28458143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0D7CAB27" w14:textId="77777777" w:rsidR="00EB6A7E" w:rsidRPr="00FA5A8B" w:rsidRDefault="00EB6A7E" w:rsidP="00A4604E">
            <w:pPr>
              <w:jc w:val="center"/>
              <w:rPr>
                <w:rFonts w:ascii="Arial" w:hAnsi="Arial" w:cs="Arial"/>
                <w:lang w:val="nl-BE"/>
              </w:rPr>
            </w:pPr>
          </w:p>
          <w:p w14:paraId="47B7A99C" w14:textId="4CC8BEC4" w:rsidR="00BF274B" w:rsidRPr="00FA5A8B" w:rsidRDefault="00BF274B" w:rsidP="00A4604E">
            <w:pPr>
              <w:rPr>
                <w:rFonts w:ascii="Arial" w:hAnsi="Arial" w:cs="Arial"/>
                <w:b/>
                <w:lang w:val="nl-BE"/>
              </w:rPr>
            </w:pPr>
          </w:p>
        </w:tc>
      </w:tr>
      <w:tr w:rsidR="00EF338F" w:rsidRPr="00FA5A8B" w14:paraId="305E35B2" w14:textId="77777777" w:rsidTr="00EB6A7E">
        <w:tc>
          <w:tcPr>
            <w:tcW w:w="279" w:type="dxa"/>
          </w:tcPr>
          <w:p w14:paraId="037F95A1" w14:textId="77777777" w:rsidR="00DD0AA6" w:rsidRPr="00FA5A8B" w:rsidRDefault="00DD0AA6" w:rsidP="00DD0AA6">
            <w:pPr>
              <w:rPr>
                <w:rFonts w:ascii="Arial" w:hAnsi="Arial" w:cs="Arial"/>
                <w:color w:val="000000" w:themeColor="text1"/>
                <w:lang w:val="nl-BE" w:eastAsia="nl-NL"/>
              </w:rPr>
            </w:pPr>
          </w:p>
          <w:p w14:paraId="264915ED" w14:textId="5CDAF74B" w:rsidR="007D1226" w:rsidRPr="00FA5A8B" w:rsidRDefault="007D1226" w:rsidP="00C72127">
            <w:pPr>
              <w:jc w:val="both"/>
              <w:rPr>
                <w:rFonts w:ascii="Arial" w:hAnsi="Arial" w:cs="Arial"/>
                <w:color w:val="000000" w:themeColor="text1"/>
                <w:lang w:val="nl-BE"/>
              </w:rPr>
            </w:pPr>
          </w:p>
          <w:p w14:paraId="376CB62C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nl-BE"/>
              </w:rPr>
            </w:pPr>
          </w:p>
          <w:p w14:paraId="60958B40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nl-BE"/>
              </w:rPr>
            </w:pPr>
          </w:p>
          <w:p w14:paraId="5DA6CD53" w14:textId="77777777" w:rsidR="007D1226" w:rsidRPr="00FA5A8B" w:rsidRDefault="007D1226" w:rsidP="00DD0AA6">
            <w:pPr>
              <w:jc w:val="both"/>
              <w:rPr>
                <w:rFonts w:ascii="Arial" w:hAnsi="Arial" w:cs="Arial"/>
                <w:b/>
                <w:bCs/>
                <w:lang w:val="nl-BE"/>
              </w:rPr>
            </w:pPr>
          </w:p>
          <w:p w14:paraId="08EFE2E9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  <w:lang w:val="nl-BE"/>
              </w:rPr>
            </w:pPr>
          </w:p>
          <w:p w14:paraId="748EDC35" w14:textId="77777777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</w:p>
          <w:p w14:paraId="2E757EE9" w14:textId="77777777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</w:p>
          <w:p w14:paraId="49A44D94" w14:textId="77777777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</w:p>
          <w:p w14:paraId="397C661B" w14:textId="77777777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</w:p>
          <w:p w14:paraId="04750DAC" w14:textId="77777777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</w:p>
          <w:p w14:paraId="2F50E97A" w14:textId="77777777" w:rsidR="00EF338F" w:rsidRPr="00FA5A8B" w:rsidRDefault="00EF338F" w:rsidP="002530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74" w:type="dxa"/>
            <w:gridSpan w:val="3"/>
          </w:tcPr>
          <w:p w14:paraId="15CF88AF" w14:textId="05871A63" w:rsidR="00633E10" w:rsidRPr="00FA5A8B" w:rsidRDefault="00DD0AA6" w:rsidP="00D044D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Příloha</w:t>
            </w:r>
          </w:p>
          <w:p w14:paraId="05FDC483" w14:textId="0DDE04E8" w:rsidR="00D044DF" w:rsidRPr="00FA5A8B" w:rsidRDefault="00D044DF" w:rsidP="00D044D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196EE3AB" w14:textId="77777777" w:rsidR="003C2DF7" w:rsidRPr="00FA5A8B" w:rsidRDefault="003C2DF7" w:rsidP="00D044D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25849EF0" w14:textId="656D978C" w:rsidR="00BF274B" w:rsidRPr="00FA5A8B" w:rsidRDefault="00DD0AA6" w:rsidP="00BF274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Kapitola 7.22. Napájení silničních elektrických vozidel</w:t>
            </w:r>
          </w:p>
          <w:p w14:paraId="085531B6" w14:textId="77777777" w:rsidR="00614A41" w:rsidRPr="00FA5A8B" w:rsidRDefault="00614A41" w:rsidP="00BF274B">
            <w:pPr>
              <w:shd w:val="clear" w:color="auto" w:fill="FFFFFF" w:themeFill="background1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CD4CAC6" w14:textId="77777777" w:rsidR="00DD0AA6" w:rsidRPr="00FA5A8B" w:rsidRDefault="00DD0AA6" w:rsidP="00DD0AA6">
            <w:pPr>
              <w:rPr>
                <w:rFonts w:ascii="Arial" w:hAnsi="Arial" w:cs="Arial"/>
                <w:i/>
                <w:color w:val="000000" w:themeColor="text1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</w:rPr>
              <w:t>Oddíl 7.22.1. Oblast působnosti</w:t>
            </w:r>
          </w:p>
          <w:p w14:paraId="0A740A9D" w14:textId="77777777" w:rsidR="00DD0AA6" w:rsidRPr="00FA5A8B" w:rsidRDefault="00DD0AA6" w:rsidP="00DD0AA6">
            <w:pPr>
              <w:rPr>
                <w:rFonts w:ascii="Arial" w:hAnsi="Arial" w:cs="Arial"/>
                <w:color w:val="000000" w:themeColor="text1"/>
                <w:lang w:eastAsia="nl-NL"/>
              </w:rPr>
            </w:pPr>
          </w:p>
          <w:p w14:paraId="20C7E61B" w14:textId="0AB0C65F" w:rsidR="00DD0AA6" w:rsidRPr="00FA5A8B" w:rsidRDefault="00DD0AA6" w:rsidP="00DD0AA6">
            <w:pPr>
              <w:jc w:val="both"/>
              <w:rPr>
                <w:rFonts w:ascii="Arial" w:eastAsia="TrebuchetMS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Obecné požadavky ostatních částí této knihy se budou vztahovat i na zvláštní zařízení a místa uvedená v této kapitole 7.22. Požadavky této kapitoly doplňují tyto obecné požadavky.</w:t>
            </w:r>
          </w:p>
          <w:p w14:paraId="2FD34EB6" w14:textId="77777777" w:rsidR="00DD0AA6" w:rsidRPr="00FA5A8B" w:rsidRDefault="00DD0AA6" w:rsidP="00DD0AA6">
            <w:pPr>
              <w:jc w:val="both"/>
              <w:rPr>
                <w:rFonts w:ascii="Arial" w:eastAsia="TrebuchetMS" w:hAnsi="Arial" w:cs="Arial"/>
                <w:color w:val="000000" w:themeColor="text1"/>
              </w:rPr>
            </w:pPr>
          </w:p>
          <w:p w14:paraId="587F58BC" w14:textId="1247DCA0" w:rsidR="00DD0AA6" w:rsidRPr="00FA5A8B" w:rsidRDefault="00DD0AA6" w:rsidP="00DD0AA6">
            <w:pPr>
              <w:jc w:val="both"/>
              <w:rPr>
                <w:rFonts w:ascii="Arial" w:eastAsia="TrebuchetMS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Tato kapitola se vztahuje na dobíjecí stanice elektrických silničních vozidel, jejichž stavba nebo výměna byla zahájena od vstupu této kapitoly v platnost, a vztahuje se rovněž na okruhy:</w:t>
            </w:r>
          </w:p>
          <w:p w14:paraId="287BFC1D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783B9E1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1. určené k přívodu elektrické energie z rozvodné sítě do elektrických vozidel; a případně</w:t>
            </w:r>
          </w:p>
          <w:p w14:paraId="537EC24E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0F114CF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bookmarkStart w:id="2" w:name="_Hlk58498838"/>
            <w:r w:rsidRPr="00FA5A8B">
              <w:rPr>
                <w:rFonts w:ascii="Arial" w:hAnsi="Arial"/>
                <w:color w:val="000000" w:themeColor="text1"/>
              </w:rPr>
              <w:t>2. určené k opětovnému vracení elektřiny z baterií elektrických vozidel</w:t>
            </w:r>
            <w:bookmarkEnd w:id="2"/>
            <w:r w:rsidRPr="00FA5A8B">
              <w:rPr>
                <w:rFonts w:ascii="Arial" w:hAnsi="Arial"/>
              </w:rPr>
              <w:t>.</w:t>
            </w:r>
          </w:p>
          <w:p w14:paraId="7BB8274E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</w:p>
          <w:p w14:paraId="62C8E0EE" w14:textId="0E616575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Obvody uvedené v předchozím odstavci končí v bodě připojení.</w:t>
            </w:r>
          </w:p>
          <w:p w14:paraId="497DEEDA" w14:textId="7F41079E" w:rsidR="007F5D52" w:rsidRPr="00FA5A8B" w:rsidRDefault="007F5D52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CCE4436" w14:textId="54594919" w:rsidR="007F5D52" w:rsidRPr="00FA5A8B" w:rsidRDefault="007F5D52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Proto se ustanovení knihy 1, s výjimkou této kapitoly, použijí i nadále:</w:t>
            </w:r>
          </w:p>
          <w:p w14:paraId="51D143C6" w14:textId="137062C2" w:rsidR="007F5D52" w:rsidRPr="00FA5A8B" w:rsidRDefault="007F5D52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169E159" w14:textId="4DDA49C7" w:rsidR="007F5D52" w:rsidRPr="00FA5A8B" w:rsidRDefault="007F5D52" w:rsidP="007F5D52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1. na stávající dobíjecí stanice pro elektrická silniční vozidla, jejichž stavba byla zahájena před vstupem téoto kapitoly v platnost;</w:t>
            </w:r>
          </w:p>
          <w:p w14:paraId="4A4D3ACC" w14:textId="77777777" w:rsidR="0001776B" w:rsidRPr="00FA5A8B" w:rsidRDefault="0001776B" w:rsidP="007F5D52">
            <w:pPr>
              <w:jc w:val="both"/>
              <w:rPr>
                <w:rFonts w:ascii="Arial" w:hAnsi="Arial" w:cs="Arial"/>
              </w:rPr>
            </w:pPr>
          </w:p>
          <w:p w14:paraId="3BD62698" w14:textId="38C347F7" w:rsidR="007F5D52" w:rsidRPr="00FA5A8B" w:rsidRDefault="007F5D52" w:rsidP="007F5D52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2. na dobíjecí stanice pro elektrická silniční vozidla, jejichž projektová výstavba, instalace nebo výměnné práce byly zahájeny před vstupem této kapitoly v platnost, aniž je dotčena skutečnost, že kontrola shody, která má být provedena před jejich uvedením do provozu, bude provedena v okamžiku vstupu této kapitoly v platnost.</w:t>
            </w:r>
          </w:p>
          <w:p w14:paraId="21935BA7" w14:textId="77777777" w:rsidR="007F5D52" w:rsidRPr="00FA5A8B" w:rsidRDefault="007F5D52" w:rsidP="007F5D52">
            <w:pPr>
              <w:jc w:val="both"/>
              <w:rPr>
                <w:rFonts w:ascii="Arial" w:hAnsi="Arial" w:cs="Arial"/>
              </w:rPr>
            </w:pPr>
          </w:p>
          <w:p w14:paraId="2D2FE59E" w14:textId="7885F1E0" w:rsidR="007F5D52" w:rsidRPr="00FA5A8B" w:rsidRDefault="007F5D52" w:rsidP="007F5D52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Je-li stávající dobíjecí stanice uvedená v odst. 4 oddílu 1 přizpůsobena tak, aby vyhovovala ustanovením kapitoly 7.22 podléhá kontrole souladu před jejím uvedením do provozu v souladu s ustanoveními kapitoly 7.22.</w:t>
            </w:r>
          </w:p>
          <w:p w14:paraId="13F9FA61" w14:textId="77777777" w:rsidR="007F5D52" w:rsidRPr="00FA5A8B" w:rsidRDefault="007F5D52" w:rsidP="007F5D52">
            <w:pPr>
              <w:jc w:val="both"/>
              <w:rPr>
                <w:rFonts w:ascii="Arial" w:hAnsi="Arial" w:cs="Arial"/>
              </w:rPr>
            </w:pPr>
          </w:p>
          <w:p w14:paraId="78071E5F" w14:textId="13A03CB0" w:rsidR="007F5D52" w:rsidRPr="00FA5A8B" w:rsidRDefault="007F5D52" w:rsidP="007F5D5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</w:rPr>
              <w:t>Je-li dobíjecí stanice uvedená v odst. 4 oddílu 2 upravena tak, aby vyhovovala ustanovením kapitoly 7.22., musí být oprávněná organizace pověřená kontrolou shody před jejím uvedením do provozu informována. Tato zpráva bude uvedena ve zprávě o inspekci.</w:t>
            </w:r>
          </w:p>
          <w:p w14:paraId="023EE1D2" w14:textId="1D98F1BB" w:rsidR="007F5D52" w:rsidRPr="00FA5A8B" w:rsidRDefault="007F5D52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0B1E8C4" w14:textId="77777777" w:rsidR="007D1226" w:rsidRPr="00FA5A8B" w:rsidRDefault="007D1226" w:rsidP="007D122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Pevné elektrické zařízení určené k dodávání energie do elektrického vozidla, které je připojeno ke zdroji elektrické energie bez pevné dobíjecí stanice specifické pro elektrická vozidla, spadá pod obecné požadavky ostatních částí této knihy.</w:t>
            </w:r>
          </w:p>
          <w:p w14:paraId="0ED44CAA" w14:textId="588C5D25" w:rsidR="0053287B" w:rsidRPr="00FA5A8B" w:rsidRDefault="0053287B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D516316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</w:rPr>
              <w:t>Oddíl 7.22.2. Pojmy a definice</w:t>
            </w:r>
          </w:p>
          <w:p w14:paraId="36534F8F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51FF180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Silniční elektrické vozidlo (uvedené v této kapitole jako elektrické vozidlo):</w:t>
            </w:r>
            <w:r w:rsidRPr="00FA5A8B">
              <w:rPr>
                <w:rFonts w:ascii="Arial" w:hAnsi="Arial"/>
                <w:color w:val="000000" w:themeColor="text1"/>
              </w:rPr>
              <w:t xml:space="preserve"> každé vozidlo poháněné elektrickým motorem, jehož elektrický proud pochází z dobíjecího systému akumulace energie, určené především k provozu na veřejných silnicích.</w:t>
            </w:r>
          </w:p>
          <w:p w14:paraId="25807918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CB24D08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b/>
                <w:bCs/>
                <w:color w:val="000000" w:themeColor="text1"/>
              </w:rPr>
              <w:t>Dobíjecí stanice pro elektrická vozidla (uvedené v této kapitole jako dobíjecí stanice):</w:t>
            </w:r>
            <w:r w:rsidRPr="00FA5A8B">
              <w:rPr>
                <w:rFonts w:ascii="Arial" w:hAnsi="Arial"/>
                <w:color w:val="000000" w:themeColor="text1"/>
              </w:rPr>
              <w:t xml:space="preserve"> zařízení nebo sestava zařízení trvale připojené pevné instalace s funkcemi určenými k přenosu elektrické energie mezi elektrickým vozidlem a zdrojem elektrické energie.</w:t>
            </w:r>
          </w:p>
          <w:p w14:paraId="3A25BC82" w14:textId="77777777" w:rsidR="00D903DF" w:rsidRPr="00FA5A8B" w:rsidRDefault="00D903DF" w:rsidP="00DD0AA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5AF01DB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5A8B">
              <w:rPr>
                <w:rFonts w:ascii="Arial" w:hAnsi="Arial"/>
                <w:b/>
                <w:bCs/>
              </w:rPr>
              <w:t>Bod připojení dobíjecí stanice pro elektrická vozidla (uvedený v této kapitole jako bod připojení):</w:t>
            </w:r>
            <w:r w:rsidRPr="00FA5A8B">
              <w:rPr>
                <w:rFonts w:ascii="Arial" w:hAnsi="Arial"/>
              </w:rPr>
              <w:t xml:space="preserve"> koncový bod, který je součástí dobíjecí stanice, přes </w:t>
            </w:r>
            <w:r w:rsidRPr="00FA5A8B">
              <w:rPr>
                <w:rFonts w:ascii="Arial" w:hAnsi="Arial"/>
                <w:color w:val="000000" w:themeColor="text1"/>
              </w:rPr>
              <w:t>kterou je energie přenášena do elektrického vozidla nebo z něj.</w:t>
            </w:r>
          </w:p>
          <w:p w14:paraId="35E711B1" w14:textId="77777777" w:rsidR="00DD0AA6" w:rsidRPr="00FA5A8B" w:rsidRDefault="00DD0AA6" w:rsidP="00DD0AA6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  <w:p w14:paraId="7C9E72B0" w14:textId="77777777" w:rsidR="00DD0AA6" w:rsidRPr="00FA5A8B" w:rsidRDefault="00DD0AA6" w:rsidP="00DD0AA6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FA5A8B">
              <w:rPr>
                <w:rFonts w:ascii="Arial" w:hAnsi="Arial"/>
                <w:i/>
                <w:color w:val="000000" w:themeColor="text1"/>
              </w:rPr>
              <w:t xml:space="preserve">Příklad: Zásuvka na dobíjecí stanici nebo zásuvka pro mobilní vozidlo. </w:t>
            </w:r>
          </w:p>
          <w:p w14:paraId="65A2BD66" w14:textId="1A54D647" w:rsidR="00DD0AA6" w:rsidRPr="00FA5A8B" w:rsidRDefault="00DD0AA6" w:rsidP="00DD0AA6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</w:p>
          <w:p w14:paraId="2F48EED0" w14:textId="77777777" w:rsidR="00DD0AA6" w:rsidRPr="00FA5A8B" w:rsidRDefault="00DD0AA6" w:rsidP="00DD0AA6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</w:rPr>
              <w:t>Oddíl 7.22.3. Stanovení rozdělení obecných charakteristik na zařízení</w:t>
            </w:r>
          </w:p>
          <w:p w14:paraId="1BFE659A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  <w:lang w:eastAsia="nl-NL"/>
              </w:rPr>
            </w:pPr>
          </w:p>
          <w:p w14:paraId="098C75BA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Je zakázáno připojovat dobíjecí stanici k pevnému elektrickému zařízení prostřednictvím zásuvky.</w:t>
            </w:r>
          </w:p>
          <w:p w14:paraId="6C8D1D8F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  <w:lang w:eastAsia="nl-NL"/>
              </w:rPr>
            </w:pPr>
          </w:p>
          <w:p w14:paraId="7CB3F19A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Pro každý bod připojení je k dispozici vyhrazený obvod.</w:t>
            </w:r>
          </w:p>
          <w:p w14:paraId="1E48AE7D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  <w:lang w:eastAsia="nl-NL"/>
              </w:rPr>
            </w:pPr>
          </w:p>
          <w:p w14:paraId="655AA988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Požadavek předchozího odstavce je splněn zavedením vhodných ochranných zařízení buď v pevném elektrickém zařízení proti proudu, nebo v dobíjecí stanici (nebo v kombinaci obou).</w:t>
            </w:r>
          </w:p>
          <w:p w14:paraId="6226A21E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  <w:lang w:eastAsia="nl-NL"/>
              </w:rPr>
            </w:pPr>
          </w:p>
          <w:p w14:paraId="7F263F52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  <w:lang w:eastAsia="nl-NL"/>
              </w:rPr>
            </w:pPr>
          </w:p>
          <w:p w14:paraId="4B415C89" w14:textId="1412941B" w:rsidR="00BF274B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Obrázky 7.17 až 7.20 ilustrují některé možné konfigurace pro účely objasnění. Ty nejsou vyčerpávající:</w:t>
            </w:r>
          </w:p>
          <w:p w14:paraId="08689D10" w14:textId="129DD840" w:rsidR="00BF274B" w:rsidRPr="00FA5A8B" w:rsidRDefault="00BF274B" w:rsidP="00BF274B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BF274B" w:rsidRPr="00FA5A8B" w14:paraId="2E40607B" w14:textId="77777777" w:rsidTr="00EB6A7E">
        <w:tc>
          <w:tcPr>
            <w:tcW w:w="9553" w:type="dxa"/>
            <w:gridSpan w:val="4"/>
          </w:tcPr>
          <w:p w14:paraId="0552BC3F" w14:textId="1635BD60" w:rsidR="00BF274B" w:rsidRPr="00FA5A8B" w:rsidRDefault="00BF274B" w:rsidP="00BF274B">
            <w:pPr>
              <w:jc w:val="both"/>
            </w:pPr>
            <w:r w:rsidRPr="00FA5A8B">
              <w:object w:dxaOrig="9525" w:dyaOrig="4470" w14:anchorId="72523A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3in" o:ole="">
                  <v:imagedata r:id="rId12" o:title=""/>
                </v:shape>
                <o:OLEObject Type="Embed" ProgID="PBrush" ShapeID="_x0000_i1025" DrawAspect="Content" ObjectID="_1728719102" r:id="rId13"/>
              </w:object>
            </w:r>
          </w:p>
          <w:tbl>
            <w:tblPr>
              <w:tblStyle w:val="TableGrid"/>
              <w:tblW w:w="9327" w:type="dxa"/>
              <w:tblLayout w:type="fixed"/>
              <w:tblLook w:val="04A0" w:firstRow="1" w:lastRow="0" w:firstColumn="1" w:lastColumn="0" w:noHBand="0" w:noVBand="1"/>
            </w:tblPr>
            <w:tblGrid>
              <w:gridCol w:w="4663"/>
              <w:gridCol w:w="4664"/>
            </w:tblGrid>
            <w:tr w:rsidR="000A56F6" w:rsidRPr="00FA5A8B" w14:paraId="03E40545" w14:textId="77777777" w:rsidTr="000A56F6">
              <w:tc>
                <w:tcPr>
                  <w:tcW w:w="4663" w:type="dxa"/>
                </w:tcPr>
                <w:p w14:paraId="19017FD1" w14:textId="71B71419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Point de connexion</w:t>
                  </w:r>
                </w:p>
              </w:tc>
              <w:tc>
                <w:tcPr>
                  <w:tcW w:w="4664" w:type="dxa"/>
                </w:tcPr>
                <w:p w14:paraId="50A7A09A" w14:textId="710B6923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Bod připojení</w:t>
                  </w:r>
                </w:p>
              </w:tc>
            </w:tr>
            <w:tr w:rsidR="000A56F6" w:rsidRPr="00FA5A8B" w14:paraId="7AAC3ED2" w14:textId="77777777" w:rsidTr="000A56F6">
              <w:tc>
                <w:tcPr>
                  <w:tcW w:w="4663" w:type="dxa"/>
                </w:tcPr>
                <w:p w14:paraId="7343507A" w14:textId="197416B8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Câble souple mobile</w:t>
                  </w:r>
                </w:p>
              </w:tc>
              <w:tc>
                <w:tcPr>
                  <w:tcW w:w="4664" w:type="dxa"/>
                </w:tcPr>
                <w:p w14:paraId="4302B418" w14:textId="5DCD49EA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Mobilní ohebný kabel</w:t>
                  </w:r>
                </w:p>
              </w:tc>
            </w:tr>
            <w:tr w:rsidR="000A56F6" w:rsidRPr="00FA5A8B" w14:paraId="335A58B1" w14:textId="77777777" w:rsidTr="000A56F6">
              <w:tc>
                <w:tcPr>
                  <w:tcW w:w="4663" w:type="dxa"/>
                </w:tcPr>
                <w:p w14:paraId="55CD6C21" w14:textId="6E6A14CE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Alimentation</w:t>
                  </w:r>
                </w:p>
              </w:tc>
              <w:tc>
                <w:tcPr>
                  <w:tcW w:w="4664" w:type="dxa"/>
                </w:tcPr>
                <w:p w14:paraId="4952DA63" w14:textId="27998CEC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Dodávka</w:t>
                  </w:r>
                </w:p>
              </w:tc>
            </w:tr>
            <w:tr w:rsidR="000A56F6" w:rsidRPr="00FA5A8B" w14:paraId="21BDEA3C" w14:textId="77777777" w:rsidTr="000A56F6">
              <w:tc>
                <w:tcPr>
                  <w:tcW w:w="4663" w:type="dxa"/>
                </w:tcPr>
                <w:p w14:paraId="138BD0F7" w14:textId="78E86A27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Tableau de manœuvre et de répartition</w:t>
                  </w:r>
                </w:p>
              </w:tc>
              <w:tc>
                <w:tcPr>
                  <w:tcW w:w="4664" w:type="dxa"/>
                </w:tcPr>
                <w:p w14:paraId="74F0F976" w14:textId="48BFF753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Provozní a distribuční panel</w:t>
                  </w:r>
                </w:p>
              </w:tc>
            </w:tr>
            <w:tr w:rsidR="000A56F6" w:rsidRPr="00FA5A8B" w14:paraId="024B7DA7" w14:textId="77777777" w:rsidTr="000A56F6">
              <w:tc>
                <w:tcPr>
                  <w:tcW w:w="4663" w:type="dxa"/>
                </w:tcPr>
                <w:p w14:paraId="77CAEAD1" w14:textId="54BC0807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Borne de charge</w:t>
                  </w:r>
                </w:p>
              </w:tc>
              <w:tc>
                <w:tcPr>
                  <w:tcW w:w="4664" w:type="dxa"/>
                </w:tcPr>
                <w:p w14:paraId="7F69240C" w14:textId="078010D5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Dobíjecí stanice</w:t>
                  </w:r>
                </w:p>
              </w:tc>
            </w:tr>
            <w:tr w:rsidR="000A56F6" w:rsidRPr="00FA5A8B" w14:paraId="05D5883B" w14:textId="77777777" w:rsidTr="000A56F6">
              <w:tc>
                <w:tcPr>
                  <w:tcW w:w="4663" w:type="dxa"/>
                </w:tcPr>
                <w:p w14:paraId="3FE00913" w14:textId="6C7E6C95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Véhicule électrique</w:t>
                  </w:r>
                </w:p>
              </w:tc>
              <w:tc>
                <w:tcPr>
                  <w:tcW w:w="4664" w:type="dxa"/>
                </w:tcPr>
                <w:p w14:paraId="293ECB5E" w14:textId="57128183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Elektrické vozidlo</w:t>
                  </w:r>
                </w:p>
              </w:tc>
            </w:tr>
            <w:tr w:rsidR="000A56F6" w:rsidRPr="00FA5A8B" w14:paraId="71425E02" w14:textId="77777777" w:rsidTr="000A56F6">
              <w:tc>
                <w:tcPr>
                  <w:tcW w:w="4663" w:type="dxa"/>
                </w:tcPr>
                <w:p w14:paraId="33339C6C" w14:textId="221EE72E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Circuit dédié</w:t>
                  </w:r>
                </w:p>
              </w:tc>
              <w:tc>
                <w:tcPr>
                  <w:tcW w:w="4664" w:type="dxa"/>
                </w:tcPr>
                <w:p w14:paraId="218EAC0A" w14:textId="7BFF5906" w:rsidR="000A56F6" w:rsidRPr="00FA5A8B" w:rsidRDefault="000A56F6" w:rsidP="000A56F6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Vyhrazený okruh</w:t>
                  </w:r>
                </w:p>
              </w:tc>
            </w:tr>
          </w:tbl>
          <w:p w14:paraId="26AEC2B9" w14:textId="77777777" w:rsidR="000049F2" w:rsidRPr="00FA5A8B" w:rsidRDefault="000049F2" w:rsidP="00BF274B">
            <w:pPr>
              <w:jc w:val="both"/>
              <w:rPr>
                <w:rFonts w:ascii="Arial" w:hAnsi="Arial" w:cs="Arial"/>
                <w:b/>
                <w:bCs/>
                <w:lang w:val="nl-BE"/>
              </w:rPr>
            </w:pPr>
          </w:p>
          <w:p w14:paraId="520C7B87" w14:textId="77777777" w:rsidR="00BF274B" w:rsidRPr="00FA5A8B" w:rsidRDefault="00BF274B" w:rsidP="00BF274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  <w:sz w:val="16"/>
              </w:rPr>
              <w:t>Obrázek 7.17. Dobíjecí stanice s bodem připojení „zásuvky pro mobilního vozidlo“ tvořícím součást dobíjecí stanice (chrániče s nadproudovou ochranou vyhrazeného obvodu integrovaného do provozního a distribučního panelu)</w:t>
            </w:r>
          </w:p>
          <w:p w14:paraId="45EC109A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C45C3A2" w14:textId="77777777" w:rsidR="00BF274B" w:rsidRPr="00FA5A8B" w:rsidRDefault="00BF274B" w:rsidP="00BF274B">
            <w:pPr>
              <w:jc w:val="center"/>
              <w:rPr>
                <w:rFonts w:ascii="Arial" w:hAnsi="Arial" w:cs="Arial"/>
                <w:b/>
                <w:bCs/>
              </w:rPr>
            </w:pPr>
            <w:r w:rsidRPr="00FA5A8B">
              <w:object w:dxaOrig="6960" w:dyaOrig="4500" w14:anchorId="57A2DD5C">
                <v:shape id="_x0000_i1026" type="#_x0000_t75" style="width:346.8pt;height:223.3pt" o:ole="">
                  <v:imagedata r:id="rId14" o:title=""/>
                </v:shape>
                <o:OLEObject Type="Embed" ProgID="PBrush" ShapeID="_x0000_i1026" DrawAspect="Content" ObjectID="_1728719103" r:id="rId15"/>
              </w:object>
            </w:r>
          </w:p>
          <w:tbl>
            <w:tblPr>
              <w:tblStyle w:val="TableGrid"/>
              <w:tblW w:w="9327" w:type="dxa"/>
              <w:tblLayout w:type="fixed"/>
              <w:tblLook w:val="04A0" w:firstRow="1" w:lastRow="0" w:firstColumn="1" w:lastColumn="0" w:noHBand="0" w:noVBand="1"/>
            </w:tblPr>
            <w:tblGrid>
              <w:gridCol w:w="4663"/>
              <w:gridCol w:w="4664"/>
            </w:tblGrid>
            <w:tr w:rsidR="00067D4A" w:rsidRPr="00FA5A8B" w14:paraId="09FD5F05" w14:textId="77777777" w:rsidTr="00A40009">
              <w:tc>
                <w:tcPr>
                  <w:tcW w:w="4663" w:type="dxa"/>
                </w:tcPr>
                <w:p w14:paraId="0C2BD7F0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Point de connexion</w:t>
                  </w:r>
                </w:p>
              </w:tc>
              <w:tc>
                <w:tcPr>
                  <w:tcW w:w="4664" w:type="dxa"/>
                </w:tcPr>
                <w:p w14:paraId="0907C42B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Bod připojení</w:t>
                  </w:r>
                </w:p>
              </w:tc>
            </w:tr>
            <w:tr w:rsidR="00067D4A" w:rsidRPr="00FA5A8B" w14:paraId="15E3411C" w14:textId="77777777" w:rsidTr="00A40009">
              <w:tc>
                <w:tcPr>
                  <w:tcW w:w="4663" w:type="dxa"/>
                </w:tcPr>
                <w:p w14:paraId="5832FB89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Câble souple mobile</w:t>
                  </w:r>
                </w:p>
              </w:tc>
              <w:tc>
                <w:tcPr>
                  <w:tcW w:w="4664" w:type="dxa"/>
                </w:tcPr>
                <w:p w14:paraId="36E8A3DE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Mobilní ohebný kabel</w:t>
                  </w:r>
                </w:p>
              </w:tc>
            </w:tr>
            <w:tr w:rsidR="00067D4A" w:rsidRPr="00FA5A8B" w14:paraId="2F5957E4" w14:textId="77777777" w:rsidTr="00A40009">
              <w:tc>
                <w:tcPr>
                  <w:tcW w:w="4663" w:type="dxa"/>
                </w:tcPr>
                <w:p w14:paraId="4A459142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Alimentation</w:t>
                  </w:r>
                </w:p>
              </w:tc>
              <w:tc>
                <w:tcPr>
                  <w:tcW w:w="4664" w:type="dxa"/>
                </w:tcPr>
                <w:p w14:paraId="69E272C1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Dodávka</w:t>
                  </w:r>
                </w:p>
              </w:tc>
            </w:tr>
            <w:tr w:rsidR="00067D4A" w:rsidRPr="00FA5A8B" w14:paraId="4CBD734A" w14:textId="77777777" w:rsidTr="00A40009">
              <w:tc>
                <w:tcPr>
                  <w:tcW w:w="4663" w:type="dxa"/>
                </w:tcPr>
                <w:p w14:paraId="4FD008A6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Borne de charge</w:t>
                  </w:r>
                </w:p>
              </w:tc>
              <w:tc>
                <w:tcPr>
                  <w:tcW w:w="4664" w:type="dxa"/>
                </w:tcPr>
                <w:p w14:paraId="7AE8B6E5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Dobíjecí stanice</w:t>
                  </w:r>
                </w:p>
              </w:tc>
            </w:tr>
            <w:tr w:rsidR="00067D4A" w:rsidRPr="00FA5A8B" w14:paraId="7AED0501" w14:textId="77777777" w:rsidTr="00A40009">
              <w:tc>
                <w:tcPr>
                  <w:tcW w:w="4663" w:type="dxa"/>
                </w:tcPr>
                <w:p w14:paraId="1AFCC0B7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Véhicule électrique</w:t>
                  </w:r>
                </w:p>
              </w:tc>
              <w:tc>
                <w:tcPr>
                  <w:tcW w:w="4664" w:type="dxa"/>
                </w:tcPr>
                <w:p w14:paraId="6D79F65B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Elektrické vozidlo</w:t>
                  </w:r>
                </w:p>
              </w:tc>
            </w:tr>
            <w:tr w:rsidR="00067D4A" w:rsidRPr="00FA5A8B" w14:paraId="27348DE3" w14:textId="77777777" w:rsidTr="00A40009">
              <w:tc>
                <w:tcPr>
                  <w:tcW w:w="4663" w:type="dxa"/>
                </w:tcPr>
                <w:p w14:paraId="71E5F29E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Circuit dédié</w:t>
                  </w:r>
                </w:p>
              </w:tc>
              <w:tc>
                <w:tcPr>
                  <w:tcW w:w="4664" w:type="dxa"/>
                </w:tcPr>
                <w:p w14:paraId="1D998FF6" w14:textId="77777777" w:rsidR="00067D4A" w:rsidRPr="00FA5A8B" w:rsidRDefault="00067D4A" w:rsidP="00067D4A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Vyhrazený okruh</w:t>
                  </w:r>
                </w:p>
              </w:tc>
            </w:tr>
          </w:tbl>
          <w:p w14:paraId="6B6ECF9A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  <w:lang w:val="nl-BE"/>
              </w:rPr>
            </w:pPr>
          </w:p>
          <w:p w14:paraId="151F382A" w14:textId="77777777" w:rsidR="00BF274B" w:rsidRPr="00FA5A8B" w:rsidRDefault="00BF274B" w:rsidP="00BF274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  <w:sz w:val="16"/>
              </w:rPr>
              <w:t>Obrázek 7.18. Dobíjecí stanice se dvěma body připojení „přenosné zásuvky na dobíjecí stanici“ tvořícími součást dobíjecí stanice (chrániče s nadproudovou ochranou pro vyhrazené obvody integrované do dobíjecí stanice)</w:t>
            </w:r>
          </w:p>
          <w:p w14:paraId="2F449D73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98E1807" w14:textId="475719A4" w:rsidR="00357B13" w:rsidRDefault="00357B13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37F8BC8" w14:textId="7F226460" w:rsidR="00FA3F9D" w:rsidRDefault="00FA3F9D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571A64B" w14:textId="540568FB" w:rsidR="00FA3F9D" w:rsidRDefault="00FA3F9D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E9947F0" w14:textId="0969AB77" w:rsidR="00FA3F9D" w:rsidRDefault="00FA3F9D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5E3AFA6" w14:textId="77777777" w:rsidR="00FA3F9D" w:rsidRPr="00FA5A8B" w:rsidRDefault="00FA3F9D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1E1BD20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</w:rPr>
            </w:pPr>
            <w:r w:rsidRPr="00FA5A8B">
              <w:object w:dxaOrig="9870" w:dyaOrig="4710" w14:anchorId="1E1307D6">
                <v:shape id="_x0000_i1027" type="#_x0000_t75" style="width:468pt;height:223.3pt" o:ole="">
                  <v:imagedata r:id="rId16" o:title=""/>
                </v:shape>
                <o:OLEObject Type="Embed" ProgID="PBrush" ShapeID="_x0000_i1027" DrawAspect="Content" ObjectID="_1728719104" r:id="rId17"/>
              </w:object>
            </w:r>
          </w:p>
          <w:tbl>
            <w:tblPr>
              <w:tblStyle w:val="TableGrid"/>
              <w:tblW w:w="9327" w:type="dxa"/>
              <w:tblLayout w:type="fixed"/>
              <w:tblLook w:val="04A0" w:firstRow="1" w:lastRow="0" w:firstColumn="1" w:lastColumn="0" w:noHBand="0" w:noVBand="1"/>
            </w:tblPr>
            <w:tblGrid>
              <w:gridCol w:w="4663"/>
              <w:gridCol w:w="4664"/>
            </w:tblGrid>
            <w:tr w:rsidR="00DF17B7" w:rsidRPr="00FA5A8B" w14:paraId="3087A3F4" w14:textId="77777777" w:rsidTr="00A40009">
              <w:tc>
                <w:tcPr>
                  <w:tcW w:w="4663" w:type="dxa"/>
                </w:tcPr>
                <w:p w14:paraId="172DE1C5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Point de connexion</w:t>
                  </w:r>
                </w:p>
              </w:tc>
              <w:tc>
                <w:tcPr>
                  <w:tcW w:w="4664" w:type="dxa"/>
                </w:tcPr>
                <w:p w14:paraId="563B004E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Bod připojení</w:t>
                  </w:r>
                </w:p>
              </w:tc>
            </w:tr>
            <w:tr w:rsidR="00DF17B7" w:rsidRPr="00FA5A8B" w14:paraId="1A68DC3C" w14:textId="77777777" w:rsidTr="00A40009">
              <w:tc>
                <w:tcPr>
                  <w:tcW w:w="4663" w:type="dxa"/>
                </w:tcPr>
                <w:p w14:paraId="5EA98588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Câble souple mobile</w:t>
                  </w:r>
                </w:p>
              </w:tc>
              <w:tc>
                <w:tcPr>
                  <w:tcW w:w="4664" w:type="dxa"/>
                </w:tcPr>
                <w:p w14:paraId="28748D99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Mobilní ohebný kabel</w:t>
                  </w:r>
                </w:p>
              </w:tc>
            </w:tr>
            <w:tr w:rsidR="00DF17B7" w:rsidRPr="00FA5A8B" w14:paraId="12974BC7" w14:textId="77777777" w:rsidTr="00A40009">
              <w:tc>
                <w:tcPr>
                  <w:tcW w:w="4663" w:type="dxa"/>
                </w:tcPr>
                <w:p w14:paraId="43D59F5F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Alimentation</w:t>
                  </w:r>
                </w:p>
              </w:tc>
              <w:tc>
                <w:tcPr>
                  <w:tcW w:w="4664" w:type="dxa"/>
                </w:tcPr>
                <w:p w14:paraId="754FD47A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Dodávka</w:t>
                  </w:r>
                </w:p>
              </w:tc>
            </w:tr>
            <w:tr w:rsidR="00DF17B7" w:rsidRPr="00FA5A8B" w14:paraId="0EA7B215" w14:textId="77777777" w:rsidTr="00A40009">
              <w:tc>
                <w:tcPr>
                  <w:tcW w:w="4663" w:type="dxa"/>
                </w:tcPr>
                <w:p w14:paraId="5142C3B8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Tableau de manœuvre et de répartition</w:t>
                  </w:r>
                </w:p>
              </w:tc>
              <w:tc>
                <w:tcPr>
                  <w:tcW w:w="4664" w:type="dxa"/>
                </w:tcPr>
                <w:p w14:paraId="095B4D0D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Provozní a distribuční panel</w:t>
                  </w:r>
                </w:p>
              </w:tc>
            </w:tr>
            <w:tr w:rsidR="00DF17B7" w:rsidRPr="00FA5A8B" w14:paraId="6DFB22B1" w14:textId="77777777" w:rsidTr="00A40009">
              <w:tc>
                <w:tcPr>
                  <w:tcW w:w="4663" w:type="dxa"/>
                </w:tcPr>
                <w:p w14:paraId="5267989C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Borne de charge</w:t>
                  </w:r>
                </w:p>
              </w:tc>
              <w:tc>
                <w:tcPr>
                  <w:tcW w:w="4664" w:type="dxa"/>
                </w:tcPr>
                <w:p w14:paraId="6B566F5D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Dobíjecí stanice</w:t>
                  </w:r>
                </w:p>
              </w:tc>
            </w:tr>
            <w:tr w:rsidR="00DF17B7" w:rsidRPr="00FA5A8B" w14:paraId="4D7A0B05" w14:textId="77777777" w:rsidTr="00A40009">
              <w:tc>
                <w:tcPr>
                  <w:tcW w:w="4663" w:type="dxa"/>
                </w:tcPr>
                <w:p w14:paraId="566ECD52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lastRenderedPageBreak/>
                    <w:t>Véhicule électrique</w:t>
                  </w:r>
                </w:p>
              </w:tc>
              <w:tc>
                <w:tcPr>
                  <w:tcW w:w="4664" w:type="dxa"/>
                </w:tcPr>
                <w:p w14:paraId="73C7A7B7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Elektrické vozidlo</w:t>
                  </w:r>
                </w:p>
              </w:tc>
            </w:tr>
            <w:tr w:rsidR="00DF17B7" w:rsidRPr="00FA5A8B" w14:paraId="24794B89" w14:textId="77777777" w:rsidTr="00A40009">
              <w:tc>
                <w:tcPr>
                  <w:tcW w:w="4663" w:type="dxa"/>
                </w:tcPr>
                <w:p w14:paraId="5E059C40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Circuit dédié</w:t>
                  </w:r>
                </w:p>
              </w:tc>
              <w:tc>
                <w:tcPr>
                  <w:tcW w:w="4664" w:type="dxa"/>
                </w:tcPr>
                <w:p w14:paraId="18483080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Vyhrazený okruh</w:t>
                  </w:r>
                </w:p>
              </w:tc>
            </w:tr>
          </w:tbl>
          <w:p w14:paraId="5C214D44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  <w:lang w:val="nl-BE"/>
              </w:rPr>
            </w:pPr>
          </w:p>
          <w:p w14:paraId="049DFEFA" w14:textId="77777777" w:rsidR="00BF274B" w:rsidRPr="00FA5A8B" w:rsidRDefault="00BF274B" w:rsidP="00BF274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  <w:sz w:val="16"/>
              </w:rPr>
              <w:t>Obrázek 7.19. Dobíjecí stanice se dvěma body připojení - „přenosnými zásuvkami pro automobily“ - tvořícími součást dobíjecí stanice (chrániče s nadproudovou ochranou vyhrazené obvody integrovaná do provozního a distribučního panelu)</w:t>
            </w:r>
          </w:p>
          <w:p w14:paraId="3370B8AE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669C8F3" w14:textId="77777777" w:rsidR="00BF274B" w:rsidRPr="00FA5A8B" w:rsidRDefault="00BF274B" w:rsidP="00BF274B">
            <w:pPr>
              <w:jc w:val="both"/>
              <w:rPr>
                <w:rFonts w:ascii="Arial" w:hAnsi="Arial" w:cs="Arial"/>
                <w:b/>
                <w:bCs/>
              </w:rPr>
            </w:pPr>
            <w:r w:rsidRPr="00FA5A8B">
              <w:object w:dxaOrig="9735" w:dyaOrig="5280" w14:anchorId="5B20686B">
                <v:shape id="_x0000_i1028" type="#_x0000_t75" style="width:467.55pt;height:252pt" o:ole="">
                  <v:imagedata r:id="rId18" o:title=""/>
                </v:shape>
                <o:OLEObject Type="Embed" ProgID="PBrush" ShapeID="_x0000_i1028" DrawAspect="Content" ObjectID="_1728719105" r:id="rId19"/>
              </w:object>
            </w:r>
          </w:p>
          <w:tbl>
            <w:tblPr>
              <w:tblStyle w:val="TableGrid"/>
              <w:tblW w:w="9327" w:type="dxa"/>
              <w:tblLayout w:type="fixed"/>
              <w:tblLook w:val="04A0" w:firstRow="1" w:lastRow="0" w:firstColumn="1" w:lastColumn="0" w:noHBand="0" w:noVBand="1"/>
            </w:tblPr>
            <w:tblGrid>
              <w:gridCol w:w="4663"/>
              <w:gridCol w:w="4664"/>
            </w:tblGrid>
            <w:tr w:rsidR="00DF17B7" w:rsidRPr="00FA5A8B" w14:paraId="1971F780" w14:textId="77777777" w:rsidTr="00A40009">
              <w:tc>
                <w:tcPr>
                  <w:tcW w:w="4663" w:type="dxa"/>
                </w:tcPr>
                <w:p w14:paraId="0202340D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Point de connexion</w:t>
                  </w:r>
                </w:p>
              </w:tc>
              <w:tc>
                <w:tcPr>
                  <w:tcW w:w="4664" w:type="dxa"/>
                </w:tcPr>
                <w:p w14:paraId="29937811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Bod připojení</w:t>
                  </w:r>
                </w:p>
              </w:tc>
            </w:tr>
            <w:tr w:rsidR="00DF17B7" w:rsidRPr="00FA5A8B" w14:paraId="10A80C79" w14:textId="77777777" w:rsidTr="00A40009">
              <w:tc>
                <w:tcPr>
                  <w:tcW w:w="4663" w:type="dxa"/>
                </w:tcPr>
                <w:p w14:paraId="4430B361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Câble souple mobile</w:t>
                  </w:r>
                </w:p>
              </w:tc>
              <w:tc>
                <w:tcPr>
                  <w:tcW w:w="4664" w:type="dxa"/>
                </w:tcPr>
                <w:p w14:paraId="1B5E6DD4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Mobilní ohebný kabel</w:t>
                  </w:r>
                </w:p>
              </w:tc>
            </w:tr>
            <w:tr w:rsidR="00DF17B7" w:rsidRPr="00FA5A8B" w14:paraId="6D010579" w14:textId="77777777" w:rsidTr="00A40009">
              <w:tc>
                <w:tcPr>
                  <w:tcW w:w="4663" w:type="dxa"/>
                </w:tcPr>
                <w:p w14:paraId="19F3491D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Alimentation</w:t>
                  </w:r>
                </w:p>
              </w:tc>
              <w:tc>
                <w:tcPr>
                  <w:tcW w:w="4664" w:type="dxa"/>
                </w:tcPr>
                <w:p w14:paraId="25489822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Dodávka</w:t>
                  </w:r>
                </w:p>
              </w:tc>
            </w:tr>
            <w:tr w:rsidR="00DF17B7" w:rsidRPr="00FA5A8B" w14:paraId="227AD334" w14:textId="77777777" w:rsidTr="00A40009">
              <w:tc>
                <w:tcPr>
                  <w:tcW w:w="4663" w:type="dxa"/>
                </w:tcPr>
                <w:p w14:paraId="5B3BEAD7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Tableau de manœuvre et de répartition</w:t>
                  </w:r>
                </w:p>
              </w:tc>
              <w:tc>
                <w:tcPr>
                  <w:tcW w:w="4664" w:type="dxa"/>
                </w:tcPr>
                <w:p w14:paraId="24AD2BEC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Provozní a distribuční panel</w:t>
                  </w:r>
                </w:p>
              </w:tc>
            </w:tr>
            <w:tr w:rsidR="00DF17B7" w:rsidRPr="00FA5A8B" w14:paraId="24F52B59" w14:textId="77777777" w:rsidTr="00A40009">
              <w:tc>
                <w:tcPr>
                  <w:tcW w:w="4663" w:type="dxa"/>
                </w:tcPr>
                <w:p w14:paraId="5D053CE4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Borne de charge</w:t>
                  </w:r>
                </w:p>
              </w:tc>
              <w:tc>
                <w:tcPr>
                  <w:tcW w:w="4664" w:type="dxa"/>
                </w:tcPr>
                <w:p w14:paraId="2CFDF037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Dobíjecí stanice</w:t>
                  </w:r>
                </w:p>
              </w:tc>
            </w:tr>
            <w:tr w:rsidR="00DF17B7" w:rsidRPr="00FA5A8B" w14:paraId="53E2A5B9" w14:textId="77777777" w:rsidTr="00A40009">
              <w:tc>
                <w:tcPr>
                  <w:tcW w:w="4663" w:type="dxa"/>
                </w:tcPr>
                <w:p w14:paraId="6C8CC61A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Véhicule électrique</w:t>
                  </w:r>
                </w:p>
              </w:tc>
              <w:tc>
                <w:tcPr>
                  <w:tcW w:w="4664" w:type="dxa"/>
                </w:tcPr>
                <w:p w14:paraId="6F98CC4D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Elektrické vozidlo</w:t>
                  </w:r>
                </w:p>
              </w:tc>
            </w:tr>
            <w:tr w:rsidR="00DF17B7" w:rsidRPr="00FA5A8B" w14:paraId="79012B26" w14:textId="77777777" w:rsidTr="00A40009">
              <w:tc>
                <w:tcPr>
                  <w:tcW w:w="4663" w:type="dxa"/>
                </w:tcPr>
                <w:p w14:paraId="38FC9EDF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A5A8B">
                    <w:rPr>
                      <w:rFonts w:ascii="Arial" w:hAnsi="Arial"/>
                      <w:sz w:val="20"/>
                      <w:lang w:val="nl-BE"/>
                    </w:rPr>
                    <w:t>Circuit dédié</w:t>
                  </w:r>
                </w:p>
              </w:tc>
              <w:tc>
                <w:tcPr>
                  <w:tcW w:w="4664" w:type="dxa"/>
                </w:tcPr>
                <w:p w14:paraId="4E67A3BB" w14:textId="77777777" w:rsidR="00DF17B7" w:rsidRPr="00FA5A8B" w:rsidRDefault="00DF17B7" w:rsidP="00DF17B7">
                  <w:pPr>
                    <w:jc w:val="both"/>
                    <w:rPr>
                      <w:rFonts w:ascii="Arial" w:hAnsi="Arial" w:cs="Arial"/>
                      <w:b/>
                      <w:bCs/>
                    </w:rPr>
                  </w:pPr>
                  <w:r w:rsidRPr="00FA5A8B">
                    <w:rPr>
                      <w:rFonts w:ascii="Arial" w:hAnsi="Arial"/>
                      <w:sz w:val="20"/>
                    </w:rPr>
                    <w:t>Vyhrazený okruh</w:t>
                  </w:r>
                </w:p>
              </w:tc>
            </w:tr>
          </w:tbl>
          <w:p w14:paraId="234ECEAC" w14:textId="5C53809D" w:rsidR="00BF274B" w:rsidRPr="00FA5A8B" w:rsidRDefault="00BF274B" w:rsidP="00BF274B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  <w:sz w:val="16"/>
              </w:rPr>
              <w:t>Obrázek 7.20. Dobíjecí stanice se dvěma body připojení „přenosné zásuvky na dobíjecí stanici“, které tvoří součást dobíjecí stanice (chrániče s nadproudovou ochranou pro vyhrazené obvody integrované do dobíjecí stanice)</w:t>
            </w:r>
          </w:p>
          <w:p w14:paraId="45E99D32" w14:textId="77777777" w:rsidR="00BF274B" w:rsidRPr="00FA5A8B" w:rsidRDefault="00BF274B" w:rsidP="00EB6A7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F274B" w:rsidRPr="00FA5A8B" w14:paraId="07A17E85" w14:textId="77777777" w:rsidTr="00EB6A7E">
        <w:tc>
          <w:tcPr>
            <w:tcW w:w="284" w:type="dxa"/>
          </w:tcPr>
          <w:p w14:paraId="5C842AC7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B2E1F94" w14:textId="77777777" w:rsidR="00DD0AA6" w:rsidRPr="00FA5A8B" w:rsidRDefault="00DD0AA6" w:rsidP="00BF274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F00EDFB" w14:textId="77777777" w:rsidR="00DD0AA6" w:rsidRPr="00FA5A8B" w:rsidRDefault="00DD0AA6" w:rsidP="00BF274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3AEC8A0" w14:textId="77777777" w:rsidR="00DD0AA6" w:rsidRPr="00FA5A8B" w:rsidRDefault="00DD0AA6" w:rsidP="00BF274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7240EE0" w14:textId="36D76886" w:rsidR="003C2DF7" w:rsidRPr="00FA5A8B" w:rsidRDefault="00BF274B" w:rsidP="00BF274B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 </w:t>
            </w:r>
          </w:p>
          <w:p w14:paraId="71F4B759" w14:textId="371DEDEE" w:rsidR="00BF274B" w:rsidRPr="00FA5A8B" w:rsidRDefault="00BF274B" w:rsidP="00DD0A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</w:tc>
        <w:tc>
          <w:tcPr>
            <w:tcW w:w="9269" w:type="dxa"/>
            <w:gridSpan w:val="3"/>
          </w:tcPr>
          <w:p w14:paraId="1D30DD35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</w:rPr>
              <w:t xml:space="preserve">Oddíl 7.22.4. Ochranná opatření </w:t>
            </w:r>
          </w:p>
          <w:p w14:paraId="76A2F1C6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</w:p>
          <w:p w14:paraId="6422299F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Pododdíl 7.22.4.1. Ochrana proti nepřímému kontaktu</w:t>
            </w:r>
          </w:p>
          <w:p w14:paraId="0DA399CC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584FE333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Použije se alespoň jedno z těchto ochranných opatření:</w:t>
            </w:r>
          </w:p>
          <w:p w14:paraId="0BCC0F4C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2E737C13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a. Pasivní ochrana bez automatického odpojení napájecího zdroje</w:t>
            </w:r>
          </w:p>
          <w:p w14:paraId="1F6BB7DA" w14:textId="77777777" w:rsidR="00DD0AA6" w:rsidRPr="00FA5A8B" w:rsidRDefault="00DD0AA6" w:rsidP="00DD0AA6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278DC99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Vyhrazený obvod musí být chráněn bezpečnostním oddělením obvodů v souladu s bodem C pododdílem 4.2.3.3 a pomocí izolačního transformátoru.</w:t>
            </w:r>
          </w:p>
          <w:p w14:paraId="71B3881C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F7992AA" w14:textId="1A346CC9" w:rsidR="00DD0AA6" w:rsidRPr="00FA5A8B" w:rsidRDefault="00FA5A8B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/>
                <w:b/>
                <w:color w:val="000000" w:themeColor="text1"/>
              </w:rPr>
              <w:t xml:space="preserve">b. </w:t>
            </w:r>
            <w:r w:rsidR="00DD0AA6" w:rsidRPr="00FA5A8B">
              <w:rPr>
                <w:rFonts w:ascii="Arial" w:hAnsi="Arial"/>
                <w:b/>
                <w:color w:val="000000" w:themeColor="text1"/>
              </w:rPr>
              <w:t>Aktivní ochrana s automatickým odpojením napájení</w:t>
            </w:r>
          </w:p>
          <w:p w14:paraId="45FC2AF2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6085FAD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Použití uzemňovacího systému TN-C pro vyhrazený obvod je zakázáno.</w:t>
            </w:r>
          </w:p>
          <w:p w14:paraId="3A4B60EA" w14:textId="77777777" w:rsidR="00DD0AA6" w:rsidRPr="00FA5A8B" w:rsidRDefault="00DD0AA6" w:rsidP="00DD0AA6">
            <w:pPr>
              <w:rPr>
                <w:rFonts w:ascii="Arial" w:hAnsi="Arial" w:cs="Arial"/>
                <w:color w:val="000000" w:themeColor="text1"/>
              </w:rPr>
            </w:pPr>
          </w:p>
          <w:p w14:paraId="78D1CE97" w14:textId="00254B9C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 xml:space="preserve">Každý vyhrazený obvod střídavého proudu je individuálně chráněn zařízením pro ochranu proti diferenciálně zbytkovému proudu s pracovním proudem až 30 mA. </w:t>
            </w:r>
          </w:p>
          <w:p w14:paraId="33F6B4C9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Bod připojení je proto chráněn:</w:t>
            </w:r>
          </w:p>
          <w:p w14:paraId="1A8263FB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</w:p>
          <w:p w14:paraId="17424950" w14:textId="0A96B36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lastRenderedPageBreak/>
              <w:t>1</w:t>
            </w:r>
            <w:r w:rsidR="00FA3F9D">
              <w:rPr>
                <w:rFonts w:ascii="Arial" w:hAnsi="Arial"/>
              </w:rPr>
              <w:t>.</w:t>
            </w:r>
            <w:r w:rsidRPr="00FA5A8B">
              <w:rPr>
                <w:rFonts w:ascii="Arial" w:hAnsi="Arial"/>
              </w:rPr>
              <w:t xml:space="preserve"> pomocí ochranného zařízení proti diferenciálně zbytkovému proudu, které je konstruováno tak, aby jeho provoz zůstal zaručen, pokud dojde k chybě izolace s kontinuální součástí způsobující rušení; nebo</w:t>
            </w:r>
          </w:p>
          <w:p w14:paraId="65032D38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</w:p>
          <w:p w14:paraId="45EAAF29" w14:textId="3F661974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2</w:t>
            </w:r>
            <w:r w:rsidR="00FA3F9D">
              <w:rPr>
                <w:rFonts w:ascii="Arial" w:hAnsi="Arial"/>
              </w:rPr>
              <w:t>.</w:t>
            </w:r>
            <w:r w:rsidRPr="00FA5A8B">
              <w:rPr>
                <w:rFonts w:ascii="Arial" w:hAnsi="Arial"/>
              </w:rPr>
              <w:t xml:space="preserve"> pomocí ochranného zařízení proti diferenciálně zbytkovému proudu společně a v koordinaci s kontinuálním detekčním zařízením diferenciálně zbytkového proudu, které odpojuje dobíjecí stanici v případě, že dojde k izolační chybě s kontinuální součástí způsobující rušení.</w:t>
            </w:r>
          </w:p>
          <w:p w14:paraId="574E8E5C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</w:p>
          <w:p w14:paraId="7BB850C9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Požadavek uvedený ve druhém a třetím pododstavci musí být splněn instalací výše uvedených ochranných zařízení buď v pevném elektrickém zařízení proti proudu, nebo v dobíjecí stanici (nebo v kombinaci obou těchto zařízení).</w:t>
            </w:r>
          </w:p>
          <w:p w14:paraId="0B644B08" w14:textId="579DBB0C" w:rsidR="003C2DF7" w:rsidRPr="00FA5A8B" w:rsidRDefault="003C2DF7" w:rsidP="00BF274B">
            <w:pPr>
              <w:jc w:val="both"/>
              <w:rPr>
                <w:rFonts w:ascii="Arial" w:hAnsi="Arial" w:cs="Arial"/>
              </w:rPr>
            </w:pPr>
          </w:p>
          <w:p w14:paraId="23AA1FAC" w14:textId="77777777" w:rsidR="00DD0AA6" w:rsidRPr="00FA5A8B" w:rsidRDefault="00DD0AA6" w:rsidP="00844802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V případě použití IT uzemňovacího systému je povoleno:</w:t>
            </w:r>
          </w:p>
          <w:p w14:paraId="508DCB7F" w14:textId="77777777" w:rsidR="00DD0AA6" w:rsidRPr="00FA5A8B" w:rsidRDefault="00DD0AA6" w:rsidP="00DD0A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  <w:p w14:paraId="6AC4A1F3" w14:textId="00AB6B9C" w:rsidR="00DD0AA6" w:rsidRPr="00FA5A8B" w:rsidRDefault="00DD0AA6" w:rsidP="00DD0A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 xml:space="preserve">1. odchylně od druhého odstavce vynechat zařízení na ochranu proti diferenciálně zbytkovému proudu za předpokladu, že každý vyhrazený obvod je napájen samostatně individuálním zdrojem elektřiny, například samostatným vinutým transformátorem; </w:t>
            </w:r>
          </w:p>
          <w:p w14:paraId="6B28E3D0" w14:textId="77777777" w:rsidR="00DD0AA6" w:rsidRPr="00FA5A8B" w:rsidRDefault="00DD0AA6" w:rsidP="00DD0A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</w:p>
          <w:p w14:paraId="1AB8A2FE" w14:textId="77777777" w:rsidR="00DD0AA6" w:rsidRPr="00FA5A8B" w:rsidRDefault="00DD0AA6" w:rsidP="00DD0AA6">
            <w:pPr>
              <w:shd w:val="clear" w:color="auto" w:fill="FFFFFF" w:themeFill="background1"/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 xml:space="preserve">2. zajistit permanentní izolační monitor pro více než jeden vyhrazený obvod, pokud jsou tyto obvody napájeny stejným zdrojem elektřiny, jako je například transformátor. Tento požadavek je splněn provedením tohoto zařízení buď v pevném elektrickém zařízení proti proudu, nebo v dobíjecí stanici. </w:t>
            </w:r>
            <w:r w:rsidRPr="00FA5A8B">
              <w:rPr>
                <w:rFonts w:ascii="Arial" w:hAnsi="Arial"/>
                <w:color w:val="000000" w:themeColor="text1"/>
              </w:rPr>
              <w:t>Jakmile stálý izolační monitor oznámí existenci jediné závady v uzemnění nebo ve spojení se zemí, musí být učiněny nezbytné kroky pro prozkoumání a odstranění této chyby.</w:t>
            </w:r>
          </w:p>
          <w:p w14:paraId="69779B42" w14:textId="77777777" w:rsidR="0001776B" w:rsidRPr="00FA5A8B" w:rsidRDefault="0001776B" w:rsidP="00DD0AA6">
            <w:pPr>
              <w:rPr>
                <w:rFonts w:ascii="Arial" w:hAnsi="Arial" w:cs="Arial"/>
                <w:color w:val="000000" w:themeColor="text1"/>
              </w:rPr>
            </w:pPr>
          </w:p>
          <w:p w14:paraId="58EF4DD1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Pododdíl 7.22.4.2. Elektrická nadproudová ochrana</w:t>
            </w:r>
          </w:p>
          <w:p w14:paraId="6F893339" w14:textId="77777777" w:rsidR="00DD0AA6" w:rsidRPr="00FA5A8B" w:rsidRDefault="00DD0AA6" w:rsidP="00DD0AA6">
            <w:pPr>
              <w:rPr>
                <w:rFonts w:ascii="Arial" w:hAnsi="Arial" w:cs="Arial"/>
                <w:color w:val="000000" w:themeColor="text1"/>
              </w:rPr>
            </w:pPr>
          </w:p>
          <w:p w14:paraId="7D7F0BE9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Každý vyhrazený obvod je individuálně chráněn vhodným zařízením pro ochranu proti nadproudu.</w:t>
            </w:r>
          </w:p>
          <w:p w14:paraId="0DF8F3BE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2AB6A83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To se provádí zavedením odpovídajícího zařízení pro nadproudovou ochranu splňujícího požadavky kapitoly 4.4 a umístěného buď v pevném elektrickém zařízení před proudem, nebo v dobíjecí stanici (nebo v kombinaci obou).</w:t>
            </w:r>
          </w:p>
          <w:p w14:paraId="1E36197F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33D58AF" w14:textId="1C7CE4C5" w:rsidR="003C2DF7" w:rsidRPr="00FA5A8B" w:rsidRDefault="00DD0AA6" w:rsidP="00DD0AA6">
            <w:pPr>
              <w:jc w:val="both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A5A8B">
              <w:rPr>
                <w:rFonts w:ascii="Arial" w:hAnsi="Arial"/>
              </w:rPr>
              <w:t>Odchylně od 1.</w:t>
            </w:r>
            <w:r w:rsidRPr="00FA5A8B">
              <w:rPr>
                <w:rFonts w:ascii="Arial" w:hAnsi="Arial"/>
                <w:vertAlign w:val="superscript"/>
              </w:rPr>
              <w:t xml:space="preserve"> </w:t>
            </w:r>
            <w:r w:rsidRPr="00FA5A8B">
              <w:rPr>
                <w:rFonts w:ascii="Arial" w:hAnsi="Arial"/>
              </w:rPr>
              <w:t>odstavce, pokud má dobíjecí stanice několik bodů připojení, které se nepoužívají současně, musí mít tato zařízení společné zařízení pro nadproudovou ochranu za předpokladu, že tato zařízení poskytují ochranu požadovanou pro každý z bodů připojení (například pokud jmenovitý proud společného ochranného zařízení není vyšší než nejnižší jmenovitý proud bodů připojení).</w:t>
            </w:r>
          </w:p>
          <w:p w14:paraId="6E648943" w14:textId="77777777" w:rsidR="00BF274B" w:rsidRPr="00FA5A8B" w:rsidRDefault="00BF274B" w:rsidP="00BF274B">
            <w:pPr>
              <w:rPr>
                <w:rFonts w:ascii="Arial" w:hAnsi="Arial" w:cs="Arial"/>
                <w:color w:val="000000" w:themeColor="text1"/>
              </w:rPr>
            </w:pPr>
          </w:p>
          <w:p w14:paraId="1CFDF9D9" w14:textId="77777777" w:rsidR="00DD0AA6" w:rsidRPr="00FA5A8B" w:rsidRDefault="00DD0AA6" w:rsidP="00DD0AA6">
            <w:pPr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FA5A8B">
              <w:rPr>
                <w:rFonts w:ascii="Arial" w:hAnsi="Arial"/>
                <w:b/>
                <w:i/>
                <w:color w:val="000000" w:themeColor="text1"/>
              </w:rPr>
              <w:t>Oddíl 7.22.5. Výběr a zavedení elektrických zařízení</w:t>
            </w:r>
          </w:p>
          <w:p w14:paraId="5666AD9B" w14:textId="77777777" w:rsidR="00DD0AA6" w:rsidRPr="00FA5A8B" w:rsidRDefault="00DD0AA6" w:rsidP="00DD0AA6">
            <w:pPr>
              <w:rPr>
                <w:rFonts w:ascii="Arial" w:hAnsi="Arial" w:cs="Arial"/>
                <w:color w:val="000000" w:themeColor="text1"/>
              </w:rPr>
            </w:pPr>
          </w:p>
          <w:p w14:paraId="3C1F00DB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 xml:space="preserve">Pododdíl 7.22.5.1. Vnější vlivy </w:t>
            </w:r>
          </w:p>
          <w:p w14:paraId="56E296F4" w14:textId="77777777" w:rsidR="00DD0AA6" w:rsidRPr="00FA5A8B" w:rsidRDefault="00DD0AA6" w:rsidP="00DD0AA6">
            <w:pPr>
              <w:rPr>
                <w:rFonts w:ascii="Arial" w:hAnsi="Arial" w:cs="Arial"/>
                <w:color w:val="000000" w:themeColor="text1"/>
                <w:lang w:eastAsia="nl-NL"/>
              </w:rPr>
            </w:pPr>
          </w:p>
          <w:p w14:paraId="4DC5F2AB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Dobíjecí stanice je chráněna před předvídatelnými vnějšími vlivy místa, kde je dobíjecí stanice instalována.</w:t>
            </w:r>
          </w:p>
          <w:p w14:paraId="3DFB76C4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3082593" w14:textId="7777777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color w:val="000000" w:themeColor="text1"/>
              </w:rPr>
              <w:t>Je-li dobíjecí stanice instalována ve venkovním prostředí, má hardware úroveň ochrany alespoň IP44.</w:t>
            </w:r>
          </w:p>
          <w:p w14:paraId="1A967995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9C3024D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Kromě opatření proti předvídatelným vnějším vlivům jsou přijata dodatečná opatření na ochranu proti mechanickým namáháním způsobeným rozumně předvídatelným střetem.</w:t>
            </w:r>
          </w:p>
          <w:p w14:paraId="7CC6D648" w14:textId="77777777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0124C0F" w14:textId="77777777" w:rsidR="00FA5A8B" w:rsidRDefault="00FA5A8B" w:rsidP="00DD0AA6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14:paraId="2108D1F7" w14:textId="77777777" w:rsidR="00FA5A8B" w:rsidRDefault="00FA5A8B" w:rsidP="00DD0AA6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14:paraId="1D0C4A33" w14:textId="48FCB06B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lastRenderedPageBreak/>
              <w:t>Pododdíl 7.22.5.2. Nouzové odpojení</w:t>
            </w:r>
          </w:p>
          <w:p w14:paraId="7B874CCF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i/>
                <w:color w:val="000000" w:themeColor="text1"/>
              </w:rPr>
            </w:pPr>
          </w:p>
          <w:p w14:paraId="109A8994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Dobíjecí stanice instalované v budově musí být vybaveny nouzovým odpojením napájení v souladu s bodem C pododdílem 5.3.3.1. Každá řídicí jednotka nouzového odpojovacího zařízení je viditelná a odpovídajícím způsobem označena, stejně jako snadno přístupná a připravená k provozu. Budou k dispozici u každého vchodu přístupného pro vozidla poblíž společného parkovacího místa, pokud dodavatel po dohodě s hasiči neurčí jiné místo před návrhem a výstavbou zařízení. Oznámení hasičů je archivováno v souboru elektroinstalace a je uloženo na místě dostupném každému, kdo se stará o montáž, údržbu, monitorování a kontrolu.</w:t>
            </w:r>
          </w:p>
          <w:p w14:paraId="139CA74B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BCAA862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Nouzové odpojení napájení zajišťuje funkci přerušení zatížení.</w:t>
            </w:r>
          </w:p>
          <w:p w14:paraId="28AAA406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5634DBA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Tento pododdíl se nevztahuje na dobíjecí stanice, které jsou součástí elektrické instalace bytové jednotky.</w:t>
            </w:r>
          </w:p>
          <w:p w14:paraId="1E5E4EFE" w14:textId="6D9DE91F" w:rsidR="00BF274B" w:rsidRPr="00FA5A8B" w:rsidRDefault="00BF274B" w:rsidP="00BF274B">
            <w:pPr>
              <w:jc w:val="both"/>
              <w:rPr>
                <w:rFonts w:ascii="Arial" w:hAnsi="Arial" w:cs="Arial"/>
                <w:iCs/>
              </w:rPr>
            </w:pPr>
          </w:p>
          <w:p w14:paraId="1DC202B1" w14:textId="77777777" w:rsidR="00DD0AA6" w:rsidRPr="00FA5A8B" w:rsidRDefault="00DD0AA6" w:rsidP="00DD0AA6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 xml:space="preserve">Pododdíl 7.22.5.3. Bod připojení </w:t>
            </w:r>
          </w:p>
          <w:p w14:paraId="36EE132C" w14:textId="77777777" w:rsidR="00DD0AA6" w:rsidRPr="00FA5A8B" w:rsidRDefault="00DD0AA6" w:rsidP="00DD0AA6">
            <w:pPr>
              <w:rPr>
                <w:rFonts w:ascii="Arial" w:hAnsi="Arial" w:cs="Arial"/>
                <w:bCs/>
                <w:color w:val="000000" w:themeColor="text1"/>
              </w:rPr>
            </w:pPr>
          </w:p>
          <w:p w14:paraId="666254C6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Přípojné místo je umístěno co nejblíže parkovacímu stání elektromobilu určenému k nabíjení.</w:t>
            </w:r>
          </w:p>
          <w:p w14:paraId="655B2F4E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632BB71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Každý bod připojení může být elektricky připojen k jednomu elektrickému vozidlu najednou.</w:t>
            </w:r>
          </w:p>
          <w:p w14:paraId="134DE4C6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E4E4A2F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Pododdíl 7.22.5.4. Decentralizované nízkonapěťové výrobní jednotky</w:t>
            </w:r>
          </w:p>
          <w:p w14:paraId="0C80C724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4364704B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A5A8B">
              <w:rPr>
                <w:rFonts w:ascii="Arial" w:hAnsi="Arial"/>
                <w:color w:val="000000" w:themeColor="text1"/>
              </w:rPr>
              <w:t>V případě, že dobíjecí stanice umožňuje opětovné dodávání elektrické energie do pevného elektrického zařízení proti proudu:</w:t>
            </w:r>
          </w:p>
          <w:p w14:paraId="7F34BA45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4DADEC8" w14:textId="3E5C38DE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color w:val="000000" w:themeColor="text1"/>
              </w:rPr>
              <w:t>1.</w:t>
            </w:r>
            <w:r w:rsidR="00FA5A8B">
              <w:rPr>
                <w:rFonts w:ascii="Arial" w:hAnsi="Arial"/>
                <w:color w:val="000000" w:themeColor="text1"/>
              </w:rPr>
              <w:t xml:space="preserve"> </w:t>
            </w:r>
            <w:r w:rsidRPr="00FA5A8B">
              <w:rPr>
                <w:rFonts w:ascii="Arial" w:hAnsi="Arial"/>
                <w:color w:val="000000" w:themeColor="text1"/>
              </w:rPr>
              <w:t>požadavky na decentralizované výrobní jednotky by měly být splněny, zejména</w:t>
            </w:r>
            <w:r w:rsidRPr="00FA5A8B">
              <w:rPr>
                <w:rFonts w:ascii="Arial" w:hAnsi="Arial"/>
              </w:rPr>
              <w:t xml:space="preserve"> pokud jde o ochranu před elektrickými otřesy, ochranu před nadproudy a bezpečnostní uzávěry;</w:t>
            </w:r>
          </w:p>
          <w:p w14:paraId="30C2E303" w14:textId="77777777" w:rsidR="00DD0AA6" w:rsidRPr="00FA5A8B" w:rsidRDefault="00DD0AA6" w:rsidP="00DD0AA6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8E99C39" w14:textId="0F453AD7" w:rsidR="00DD0AA6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color w:val="000000" w:themeColor="text1"/>
              </w:rPr>
              <w:t>2. varování:</w:t>
            </w:r>
            <w:r w:rsidR="00FA5A8B">
              <w:rPr>
                <w:rFonts w:ascii="Arial" w:hAnsi="Arial"/>
                <w:color w:val="000000" w:themeColor="text1"/>
              </w:rPr>
              <w:t xml:space="preserve"> </w:t>
            </w:r>
            <w:r w:rsidRPr="00FA5A8B">
              <w:rPr>
                <w:rFonts w:ascii="Arial" w:hAnsi="Arial"/>
                <w:color w:val="000000" w:themeColor="text1"/>
              </w:rPr>
              <w:t>“Upozornění: možné opětovné dodávání elektrické energie do zařízení“ je aplikováno</w:t>
            </w:r>
            <w:r w:rsidRPr="00FA5A8B">
              <w:rPr>
                <w:rFonts w:ascii="Arial" w:hAnsi="Arial"/>
              </w:rPr>
              <w:t xml:space="preserve"> na dobíjecí stanici (dobíjecí stanice) a provozní a distribuční panel(y), které jsou jím napájeny.</w:t>
            </w:r>
          </w:p>
          <w:p w14:paraId="5BE1BE55" w14:textId="77777777" w:rsidR="00C118D6" w:rsidRPr="00FA5A8B" w:rsidRDefault="00C118D6" w:rsidP="00DD0AA6">
            <w:pPr>
              <w:jc w:val="both"/>
              <w:rPr>
                <w:rFonts w:ascii="Arial" w:hAnsi="Arial" w:cs="Arial"/>
              </w:rPr>
            </w:pPr>
          </w:p>
          <w:p w14:paraId="7163CB63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FA5A8B">
              <w:rPr>
                <w:rFonts w:ascii="Arial" w:hAnsi="Arial"/>
                <w:b/>
                <w:color w:val="000000" w:themeColor="text1"/>
              </w:rPr>
              <w:t>Pododdíl 7.22.5.5. Umístění dobíjecích stanic a jejich přilehlých parkovacích míst</w:t>
            </w:r>
          </w:p>
          <w:p w14:paraId="1C7E8A01" w14:textId="77777777" w:rsidR="00DD0AA6" w:rsidRPr="00FA5A8B" w:rsidRDefault="00DD0AA6" w:rsidP="00DD0AA6">
            <w:pPr>
              <w:jc w:val="both"/>
              <w:rPr>
                <w:rFonts w:ascii="Arial" w:hAnsi="Arial" w:cs="Arial"/>
                <w:b/>
                <w:color w:val="000000" w:themeColor="text1"/>
                <w:lang w:eastAsia="nl-NL"/>
              </w:rPr>
            </w:pPr>
          </w:p>
          <w:p w14:paraId="7F11120A" w14:textId="3D8117B6" w:rsidR="00BF274B" w:rsidRPr="00FA5A8B" w:rsidRDefault="00DD0AA6" w:rsidP="00DD0AA6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  <w:color w:val="000000" w:themeColor="text1"/>
              </w:rPr>
              <w:t>Dobíjecí stanice a jejich přilehlá parkovací místa nejsou umístěna na místech s vnějšími vlivy BE3.</w:t>
            </w:r>
          </w:p>
          <w:p w14:paraId="5AE45711" w14:textId="3F8BAA3B" w:rsidR="003C2DF7" w:rsidRPr="00FA5A8B" w:rsidRDefault="003C2DF7" w:rsidP="00BF274B">
            <w:pPr>
              <w:jc w:val="both"/>
              <w:rPr>
                <w:rFonts w:ascii="Arial" w:hAnsi="Arial" w:cs="Arial"/>
              </w:rPr>
            </w:pPr>
          </w:p>
          <w:p w14:paraId="21D46C32" w14:textId="568BD11E" w:rsidR="00DD0AA6" w:rsidRPr="00FA5A8B" w:rsidRDefault="00DD0AA6" w:rsidP="00BF274B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Viz příloha ke královskému výnosu ze dne</w:t>
            </w:r>
            <w:r w:rsidR="00FA5A8B">
              <w:rPr>
                <w:rFonts w:ascii="Arial" w:hAnsi="Arial"/>
              </w:rPr>
              <w:t xml:space="preserve"> </w:t>
            </w:r>
            <w:r w:rsidRPr="00FA5A8B">
              <w:rPr>
                <w:rFonts w:ascii="Arial" w:hAnsi="Arial"/>
              </w:rPr>
              <w:t>10. července 2022,</w:t>
            </w:r>
            <w:r w:rsidR="00FA5A8B">
              <w:rPr>
                <w:rFonts w:ascii="Arial" w:hAnsi="Arial"/>
              </w:rPr>
              <w:t xml:space="preserve"> </w:t>
            </w:r>
            <w:r w:rsidRPr="00FA5A8B">
              <w:rPr>
                <w:rFonts w:ascii="Arial" w:hAnsi="Arial"/>
              </w:rPr>
              <w:t>kterým se vkládá kapitola 7.22 knihy 1 a mění některé části knih 1 a 3, zavedených královským výnosem ze dne 8. září 2019, kterým se zřizuje kniha 1 o elektrických zařízeních nízkého a velmi nízkého napětí, kniha 2 o elektrických zařízeních vysokého napětí a kniha 3 o přenosových a distribučních elektroenergetických zařízeních.</w:t>
            </w:r>
          </w:p>
          <w:p w14:paraId="69850FE5" w14:textId="30BFA094" w:rsidR="00DD0AA6" w:rsidRPr="00FA5A8B" w:rsidRDefault="00DD0AA6" w:rsidP="00BF274B">
            <w:pPr>
              <w:jc w:val="both"/>
              <w:rPr>
                <w:rFonts w:ascii="Arial" w:hAnsi="Arial" w:cs="Arial"/>
              </w:rPr>
            </w:pPr>
          </w:p>
          <w:p w14:paraId="4280262E" w14:textId="49459970" w:rsidR="00DD0AA6" w:rsidRPr="00FA5A8B" w:rsidRDefault="00DD0AA6" w:rsidP="00BF274B">
            <w:pPr>
              <w:jc w:val="both"/>
              <w:rPr>
                <w:rFonts w:ascii="Arial" w:hAnsi="Arial" w:cs="Arial"/>
              </w:rPr>
            </w:pPr>
          </w:p>
          <w:p w14:paraId="45D4053B" w14:textId="77777777" w:rsidR="00DD0AA6" w:rsidRPr="00FA5A8B" w:rsidRDefault="00DD0AA6" w:rsidP="00BF274B">
            <w:pPr>
              <w:jc w:val="both"/>
              <w:rPr>
                <w:rFonts w:ascii="Arial" w:hAnsi="Arial" w:cs="Arial"/>
              </w:rPr>
            </w:pPr>
          </w:p>
          <w:p w14:paraId="12788B40" w14:textId="7CDC5555" w:rsidR="00BF274B" w:rsidRPr="00FA5A8B" w:rsidRDefault="003C2DF7" w:rsidP="00BF274B">
            <w:pPr>
              <w:jc w:val="both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br/>
            </w:r>
            <w:r w:rsidRPr="00FA5A8B">
              <w:rPr>
                <w:rFonts w:ascii="Arial" w:hAnsi="Arial"/>
              </w:rPr>
              <w:lastRenderedPageBreak/>
              <w:br/>
            </w:r>
          </w:p>
          <w:p w14:paraId="433369E2" w14:textId="77777777" w:rsidR="00DD0AA6" w:rsidRPr="00FA5A8B" w:rsidRDefault="00DD0AA6" w:rsidP="00BF274B">
            <w:pPr>
              <w:jc w:val="both"/>
              <w:rPr>
                <w:rFonts w:ascii="Arial" w:hAnsi="Arial" w:cs="Arial"/>
              </w:rPr>
            </w:pPr>
          </w:p>
          <w:p w14:paraId="542AC3AC" w14:textId="13190DCF" w:rsidR="00DD0AA6" w:rsidRPr="00FA5A8B" w:rsidRDefault="00DD0AA6" w:rsidP="00BF274B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F274B" w:rsidRPr="00FA5A8B" w14:paraId="2D1208C7" w14:textId="77777777" w:rsidTr="00EB6A7E">
        <w:tc>
          <w:tcPr>
            <w:tcW w:w="4774" w:type="dxa"/>
            <w:gridSpan w:val="2"/>
          </w:tcPr>
          <w:p w14:paraId="40062ED1" w14:textId="214A65B1" w:rsidR="00BF274B" w:rsidRPr="00FA5A8B" w:rsidRDefault="00BF274B" w:rsidP="00106BDC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lang w:eastAsia="nl-NL"/>
              </w:rPr>
            </w:pPr>
          </w:p>
        </w:tc>
        <w:tc>
          <w:tcPr>
            <w:tcW w:w="4779" w:type="dxa"/>
            <w:gridSpan w:val="2"/>
          </w:tcPr>
          <w:p w14:paraId="483ED22E" w14:textId="2BB6DF41" w:rsidR="00BF274B" w:rsidRPr="00FA5A8B" w:rsidRDefault="00DD0AA6" w:rsidP="00106BDC">
            <w:pPr>
              <w:jc w:val="center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FA5A8B">
              <w:rPr>
                <w:rFonts w:ascii="Arial" w:hAnsi="Arial"/>
              </w:rPr>
              <w:t>Za krále:</w:t>
            </w:r>
          </w:p>
        </w:tc>
      </w:tr>
      <w:tr w:rsidR="00BF274B" w:rsidRPr="00FA5A8B" w14:paraId="38F1489E" w14:textId="77777777" w:rsidTr="00106BDC">
        <w:tc>
          <w:tcPr>
            <w:tcW w:w="4774" w:type="dxa"/>
            <w:gridSpan w:val="2"/>
          </w:tcPr>
          <w:p w14:paraId="6E3C46E3" w14:textId="6BD815E8" w:rsidR="00BF274B" w:rsidRPr="00FA5A8B" w:rsidRDefault="00BF274B" w:rsidP="003E322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79" w:type="dxa"/>
            <w:gridSpan w:val="2"/>
          </w:tcPr>
          <w:p w14:paraId="5E166DF0" w14:textId="5BCD6089" w:rsidR="00106BDC" w:rsidRPr="00FA5A8B" w:rsidRDefault="00DD0AA6" w:rsidP="003E3226">
            <w:pPr>
              <w:jc w:val="center"/>
              <w:rPr>
                <w:rFonts w:ascii="Arial" w:hAnsi="Arial" w:cs="Arial"/>
                <w:spacing w:val="-3"/>
              </w:rPr>
            </w:pPr>
            <w:r w:rsidRPr="00FA5A8B">
              <w:rPr>
                <w:rFonts w:ascii="Arial" w:hAnsi="Arial"/>
              </w:rPr>
              <w:t>Ministr práce,</w:t>
            </w:r>
          </w:p>
          <w:p w14:paraId="6C540621" w14:textId="77777777" w:rsidR="00106BDC" w:rsidRPr="00FA5A8B" w:rsidRDefault="00106BDC" w:rsidP="003E3226">
            <w:pPr>
              <w:jc w:val="center"/>
              <w:rPr>
                <w:rFonts w:ascii="Arial" w:hAnsi="Arial" w:cs="Arial"/>
                <w:spacing w:val="-3"/>
              </w:rPr>
            </w:pPr>
          </w:p>
          <w:p w14:paraId="2A5C1004" w14:textId="77777777" w:rsidR="00106BDC" w:rsidRPr="00FA5A8B" w:rsidRDefault="00106BDC" w:rsidP="003E3226">
            <w:pPr>
              <w:jc w:val="center"/>
              <w:rPr>
                <w:rFonts w:ascii="Arial" w:hAnsi="Arial" w:cs="Arial"/>
                <w:spacing w:val="-3"/>
              </w:rPr>
            </w:pPr>
          </w:p>
          <w:p w14:paraId="1584C42F" w14:textId="77777777" w:rsidR="00106BDC" w:rsidRPr="00FA5A8B" w:rsidRDefault="00106BDC" w:rsidP="003E3226">
            <w:pPr>
              <w:jc w:val="center"/>
              <w:rPr>
                <w:rFonts w:ascii="Arial" w:hAnsi="Arial" w:cs="Arial"/>
                <w:spacing w:val="-3"/>
              </w:rPr>
            </w:pPr>
          </w:p>
          <w:p w14:paraId="062BD49F" w14:textId="31BD28C1" w:rsidR="00106BDC" w:rsidRPr="00FA5A8B" w:rsidRDefault="00106BDC" w:rsidP="003E3226">
            <w:pPr>
              <w:jc w:val="center"/>
              <w:rPr>
                <w:rFonts w:ascii="Arial" w:hAnsi="Arial" w:cs="Arial"/>
                <w:spacing w:val="-3"/>
              </w:rPr>
            </w:pPr>
          </w:p>
          <w:p w14:paraId="40D14A35" w14:textId="5B00055D" w:rsidR="00406053" w:rsidRPr="00FA5A8B" w:rsidRDefault="00406053" w:rsidP="003E3226">
            <w:pPr>
              <w:jc w:val="center"/>
              <w:rPr>
                <w:rFonts w:ascii="Arial" w:hAnsi="Arial" w:cs="Arial"/>
                <w:spacing w:val="-3"/>
              </w:rPr>
            </w:pPr>
          </w:p>
          <w:p w14:paraId="2ADA9AA0" w14:textId="77777777" w:rsidR="003E3226" w:rsidRPr="00FA5A8B" w:rsidRDefault="003E3226" w:rsidP="003E3226">
            <w:pPr>
              <w:jc w:val="center"/>
              <w:rPr>
                <w:rFonts w:ascii="Arial" w:hAnsi="Arial" w:cs="Arial"/>
                <w:spacing w:val="-3"/>
              </w:rPr>
            </w:pPr>
          </w:p>
          <w:p w14:paraId="197858BF" w14:textId="2166F759" w:rsidR="00106BDC" w:rsidRPr="00FA5A8B" w:rsidRDefault="00106BDC" w:rsidP="003E3226">
            <w:pPr>
              <w:jc w:val="center"/>
              <w:rPr>
                <w:rFonts w:ascii="Arial" w:hAnsi="Arial" w:cs="Arial"/>
              </w:rPr>
            </w:pPr>
          </w:p>
        </w:tc>
      </w:tr>
      <w:tr w:rsidR="00BF274B" w:rsidRPr="00FA5A8B" w14:paraId="1B498759" w14:textId="77777777" w:rsidTr="00106BDC">
        <w:tc>
          <w:tcPr>
            <w:tcW w:w="9553" w:type="dxa"/>
            <w:gridSpan w:val="4"/>
          </w:tcPr>
          <w:p w14:paraId="381BDACD" w14:textId="77777777" w:rsidR="00BF274B" w:rsidRPr="00FA5A8B" w:rsidRDefault="00BF274B" w:rsidP="00BF274B">
            <w:pPr>
              <w:jc w:val="center"/>
              <w:rPr>
                <w:rFonts w:ascii="Arial" w:hAnsi="Arial" w:cs="Arial"/>
                <w:spacing w:val="-3"/>
              </w:rPr>
            </w:pPr>
            <w:r w:rsidRPr="00FA5A8B">
              <w:rPr>
                <w:rStyle w:val="acopre1"/>
                <w:rFonts w:ascii="Arial" w:hAnsi="Arial"/>
              </w:rPr>
              <w:t>Pierre-Yves Dermagne</w:t>
            </w:r>
            <w:r w:rsidRPr="00FA5A8B">
              <w:rPr>
                <w:rFonts w:ascii="Arial" w:hAnsi="Arial"/>
              </w:rPr>
              <w:t xml:space="preserve"> </w:t>
            </w:r>
          </w:p>
          <w:p w14:paraId="36454A8B" w14:textId="77777777" w:rsidR="00BF274B" w:rsidRPr="00FA5A8B" w:rsidRDefault="00BF274B" w:rsidP="00BF274B">
            <w:pPr>
              <w:jc w:val="both"/>
              <w:rPr>
                <w:rFonts w:ascii="Arial" w:hAnsi="Arial" w:cs="Arial"/>
                <w:spacing w:val="-3"/>
                <w:lang w:val="nl-BE"/>
              </w:rPr>
            </w:pPr>
          </w:p>
        </w:tc>
      </w:tr>
      <w:tr w:rsidR="00106BDC" w:rsidRPr="00FA5A8B" w14:paraId="1540C9BE" w14:textId="77777777" w:rsidTr="00106BDC">
        <w:tc>
          <w:tcPr>
            <w:tcW w:w="4774" w:type="dxa"/>
            <w:gridSpan w:val="2"/>
          </w:tcPr>
          <w:p w14:paraId="4A7CA506" w14:textId="3E2C0B5F" w:rsidR="00106BDC" w:rsidRPr="00FA5A8B" w:rsidRDefault="00106BDC" w:rsidP="003E3226">
            <w:pPr>
              <w:jc w:val="center"/>
              <w:rPr>
                <w:rFonts w:ascii="Arial" w:hAnsi="Arial" w:cs="Arial"/>
                <w:lang w:val="nl-NL"/>
              </w:rPr>
            </w:pPr>
          </w:p>
        </w:tc>
        <w:tc>
          <w:tcPr>
            <w:tcW w:w="4779" w:type="dxa"/>
            <w:gridSpan w:val="2"/>
          </w:tcPr>
          <w:p w14:paraId="43F92D55" w14:textId="337C69EB" w:rsidR="00106BDC" w:rsidRPr="00FA5A8B" w:rsidRDefault="00DD0AA6" w:rsidP="003E3226">
            <w:pPr>
              <w:jc w:val="center"/>
              <w:rPr>
                <w:rFonts w:ascii="Arial" w:hAnsi="Arial" w:cs="Arial"/>
              </w:rPr>
            </w:pPr>
            <w:r w:rsidRPr="00FA5A8B">
              <w:rPr>
                <w:rFonts w:ascii="Arial" w:hAnsi="Arial"/>
              </w:rPr>
              <w:t>Ministr energetiky,</w:t>
            </w:r>
          </w:p>
          <w:p w14:paraId="7F8D760D" w14:textId="77777777" w:rsidR="00106BDC" w:rsidRPr="00FA5A8B" w:rsidRDefault="00106BDC" w:rsidP="00106BDC">
            <w:pPr>
              <w:jc w:val="both"/>
              <w:rPr>
                <w:rFonts w:ascii="Arial" w:hAnsi="Arial" w:cs="Arial"/>
                <w:lang w:val="nl-BE"/>
              </w:rPr>
            </w:pPr>
          </w:p>
          <w:p w14:paraId="2630C78E" w14:textId="77777777" w:rsidR="00106BDC" w:rsidRPr="00FA5A8B" w:rsidRDefault="00106BDC" w:rsidP="00106BDC">
            <w:pPr>
              <w:jc w:val="both"/>
              <w:rPr>
                <w:rFonts w:ascii="Arial" w:hAnsi="Arial" w:cs="Arial"/>
                <w:lang w:val="nl-BE"/>
              </w:rPr>
            </w:pPr>
          </w:p>
          <w:p w14:paraId="7BA6D10C" w14:textId="77777777" w:rsidR="00106BDC" w:rsidRPr="00FA5A8B" w:rsidRDefault="00106BDC" w:rsidP="00106BDC">
            <w:pPr>
              <w:jc w:val="both"/>
              <w:rPr>
                <w:rFonts w:ascii="Arial" w:hAnsi="Arial" w:cs="Arial"/>
                <w:lang w:val="nl-BE"/>
              </w:rPr>
            </w:pPr>
          </w:p>
          <w:p w14:paraId="4F289A06" w14:textId="77777777" w:rsidR="00106BDC" w:rsidRPr="00FA5A8B" w:rsidRDefault="00106BDC" w:rsidP="00106BDC">
            <w:pPr>
              <w:jc w:val="both"/>
              <w:rPr>
                <w:rFonts w:ascii="Arial" w:hAnsi="Arial" w:cs="Arial"/>
                <w:lang w:val="nl-BE"/>
              </w:rPr>
            </w:pPr>
          </w:p>
          <w:p w14:paraId="01E846EE" w14:textId="77777777" w:rsidR="00106BDC" w:rsidRPr="00FA5A8B" w:rsidRDefault="00106BDC" w:rsidP="00106BDC">
            <w:pPr>
              <w:jc w:val="both"/>
              <w:rPr>
                <w:rFonts w:ascii="Arial" w:hAnsi="Arial" w:cs="Arial"/>
                <w:lang w:val="nl-BE"/>
              </w:rPr>
            </w:pPr>
          </w:p>
          <w:p w14:paraId="5D00147F" w14:textId="77777777" w:rsidR="00106BDC" w:rsidRPr="00FA5A8B" w:rsidRDefault="00106BDC" w:rsidP="00106BDC">
            <w:pPr>
              <w:jc w:val="both"/>
              <w:rPr>
                <w:rFonts w:ascii="Arial" w:hAnsi="Arial" w:cs="Arial"/>
                <w:spacing w:val="-3"/>
                <w:lang w:val="nl-BE"/>
              </w:rPr>
            </w:pPr>
          </w:p>
          <w:p w14:paraId="2AD3AA80" w14:textId="472E922C" w:rsidR="003C2DF7" w:rsidRPr="00FA5A8B" w:rsidRDefault="003C2DF7" w:rsidP="00106BDC">
            <w:pPr>
              <w:jc w:val="both"/>
              <w:rPr>
                <w:rFonts w:ascii="Arial" w:hAnsi="Arial" w:cs="Arial"/>
                <w:spacing w:val="-3"/>
                <w:lang w:val="nl-BE"/>
              </w:rPr>
            </w:pPr>
          </w:p>
        </w:tc>
      </w:tr>
      <w:tr w:rsidR="00106BDC" w:rsidRPr="00FA5A8B" w14:paraId="68257E2F" w14:textId="77777777" w:rsidTr="00106BDC">
        <w:tc>
          <w:tcPr>
            <w:tcW w:w="9553" w:type="dxa"/>
            <w:gridSpan w:val="4"/>
          </w:tcPr>
          <w:p w14:paraId="74FEA5A4" w14:textId="1D68146F" w:rsidR="00106BDC" w:rsidRPr="00FA5A8B" w:rsidRDefault="00106BDC" w:rsidP="00844802">
            <w:pPr>
              <w:jc w:val="center"/>
              <w:rPr>
                <w:rFonts w:ascii="Arial" w:hAnsi="Arial" w:cs="Arial"/>
                <w:spacing w:val="-3"/>
              </w:rPr>
            </w:pPr>
            <w:r w:rsidRPr="00FA5A8B">
              <w:rPr>
                <w:rFonts w:ascii="Arial" w:hAnsi="Arial"/>
              </w:rPr>
              <w:t>Tinne Van der Straeten</w:t>
            </w:r>
          </w:p>
        </w:tc>
      </w:tr>
      <w:bookmarkEnd w:id="0"/>
    </w:tbl>
    <w:p w14:paraId="57A461D4" w14:textId="77777777" w:rsidR="00996E0F" w:rsidRPr="00FA5A8B" w:rsidRDefault="00996E0F" w:rsidP="00996E0F">
      <w:pPr>
        <w:jc w:val="both"/>
        <w:rPr>
          <w:lang w:val="nl-NL"/>
        </w:rPr>
      </w:pPr>
    </w:p>
    <w:sectPr w:rsidR="00996E0F" w:rsidRPr="00FA5A8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C13F" w14:textId="77777777" w:rsidR="006C51B1" w:rsidRDefault="006C51B1" w:rsidP="00CD031E">
      <w:pPr>
        <w:spacing w:after="0" w:line="240" w:lineRule="auto"/>
      </w:pPr>
      <w:r>
        <w:separator/>
      </w:r>
    </w:p>
  </w:endnote>
  <w:endnote w:type="continuationSeparator" w:id="0">
    <w:p w14:paraId="1C9C9883" w14:textId="77777777" w:rsidR="006C51B1" w:rsidRDefault="006C51B1" w:rsidP="00CD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71DF" w14:textId="77777777" w:rsidR="00944B04" w:rsidRDefault="00944B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CEF9" w14:textId="77777777" w:rsidR="00944B04" w:rsidRDefault="00944B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E9082" w14:textId="77777777" w:rsidR="00944B04" w:rsidRDefault="00944B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E6BD" w14:textId="77777777" w:rsidR="006C51B1" w:rsidRDefault="006C51B1" w:rsidP="00CD031E">
      <w:pPr>
        <w:spacing w:after="0" w:line="240" w:lineRule="auto"/>
      </w:pPr>
      <w:r>
        <w:separator/>
      </w:r>
    </w:p>
  </w:footnote>
  <w:footnote w:type="continuationSeparator" w:id="0">
    <w:p w14:paraId="6A877A43" w14:textId="77777777" w:rsidR="006C51B1" w:rsidRDefault="006C51B1" w:rsidP="00CD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73195" w14:textId="77777777" w:rsidR="00944B04" w:rsidRDefault="00944B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59B9" w14:textId="77777777" w:rsidR="00944B04" w:rsidRDefault="00944B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0EC7" w14:textId="77777777" w:rsidR="00944B04" w:rsidRDefault="00944B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54BBF"/>
    <w:multiLevelType w:val="hybridMultilevel"/>
    <w:tmpl w:val="06925692"/>
    <w:lvl w:ilvl="0" w:tplc="A4E2FE62">
      <w:start w:val="1"/>
      <w:numFmt w:val="bullet"/>
      <w:pStyle w:val="FOD-opsomming1"/>
      <w:lvlText w:val="-"/>
      <w:lvlJc w:val="left"/>
      <w:pPr>
        <w:ind w:left="-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781D338C"/>
    <w:multiLevelType w:val="multilevel"/>
    <w:tmpl w:val="79CCF61E"/>
    <w:lvl w:ilvl="0">
      <w:start w:val="7"/>
      <w:numFmt w:val="bullet"/>
      <w:lvlText w:val="-"/>
      <w:lvlJc w:val="left"/>
      <w:pPr>
        <w:ind w:left="360" w:hanging="360"/>
      </w:pPr>
      <w:rPr>
        <w:rFonts w:ascii="Trebuchet MS" w:hAnsi="Trebuchet MS" w:cs="Trebuchet M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303392610">
    <w:abstractNumId w:val="0"/>
  </w:num>
  <w:num w:numId="2" w16cid:durableId="1909269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0F"/>
    <w:rsid w:val="000047B5"/>
    <w:rsid w:val="000049F2"/>
    <w:rsid w:val="00015EEB"/>
    <w:rsid w:val="0001776B"/>
    <w:rsid w:val="00023196"/>
    <w:rsid w:val="00025D92"/>
    <w:rsid w:val="0003236E"/>
    <w:rsid w:val="00037346"/>
    <w:rsid w:val="00047B0F"/>
    <w:rsid w:val="00054FAF"/>
    <w:rsid w:val="0005541B"/>
    <w:rsid w:val="00067D4A"/>
    <w:rsid w:val="00072724"/>
    <w:rsid w:val="00074EBC"/>
    <w:rsid w:val="00081E33"/>
    <w:rsid w:val="000958DA"/>
    <w:rsid w:val="000A56F6"/>
    <w:rsid w:val="000B4DCC"/>
    <w:rsid w:val="000D5501"/>
    <w:rsid w:val="000E1CFB"/>
    <w:rsid w:val="000E6287"/>
    <w:rsid w:val="000F0B2C"/>
    <w:rsid w:val="000F66B0"/>
    <w:rsid w:val="000F69A5"/>
    <w:rsid w:val="00105E76"/>
    <w:rsid w:val="00106A77"/>
    <w:rsid w:val="00106BDC"/>
    <w:rsid w:val="00117A19"/>
    <w:rsid w:val="00120BBC"/>
    <w:rsid w:val="001324E8"/>
    <w:rsid w:val="0013258E"/>
    <w:rsid w:val="00140B06"/>
    <w:rsid w:val="00143445"/>
    <w:rsid w:val="00143E45"/>
    <w:rsid w:val="001542A2"/>
    <w:rsid w:val="001660B6"/>
    <w:rsid w:val="00172FD8"/>
    <w:rsid w:val="001756A7"/>
    <w:rsid w:val="0018036A"/>
    <w:rsid w:val="00182C87"/>
    <w:rsid w:val="00182CCE"/>
    <w:rsid w:val="001860E9"/>
    <w:rsid w:val="001904B8"/>
    <w:rsid w:val="001A2519"/>
    <w:rsid w:val="001B2143"/>
    <w:rsid w:val="001B71A6"/>
    <w:rsid w:val="001C7631"/>
    <w:rsid w:val="001C7F32"/>
    <w:rsid w:val="001E0133"/>
    <w:rsid w:val="001E1124"/>
    <w:rsid w:val="002024C7"/>
    <w:rsid w:val="00207A1A"/>
    <w:rsid w:val="00211196"/>
    <w:rsid w:val="002170BD"/>
    <w:rsid w:val="00227E68"/>
    <w:rsid w:val="00232534"/>
    <w:rsid w:val="00240FFF"/>
    <w:rsid w:val="002530B5"/>
    <w:rsid w:val="00257254"/>
    <w:rsid w:val="002624D8"/>
    <w:rsid w:val="00265339"/>
    <w:rsid w:val="00265466"/>
    <w:rsid w:val="00281BCA"/>
    <w:rsid w:val="002921E5"/>
    <w:rsid w:val="002A0683"/>
    <w:rsid w:val="002A68F6"/>
    <w:rsid w:val="002B517E"/>
    <w:rsid w:val="002C1226"/>
    <w:rsid w:val="002C1F89"/>
    <w:rsid w:val="002D46BA"/>
    <w:rsid w:val="002E6222"/>
    <w:rsid w:val="00301B32"/>
    <w:rsid w:val="00307F37"/>
    <w:rsid w:val="00310CBE"/>
    <w:rsid w:val="003225F3"/>
    <w:rsid w:val="003273CB"/>
    <w:rsid w:val="00332025"/>
    <w:rsid w:val="00336D1A"/>
    <w:rsid w:val="00357B13"/>
    <w:rsid w:val="0036669D"/>
    <w:rsid w:val="00370020"/>
    <w:rsid w:val="0037189A"/>
    <w:rsid w:val="003914EB"/>
    <w:rsid w:val="003A363D"/>
    <w:rsid w:val="003A446F"/>
    <w:rsid w:val="003B0BEB"/>
    <w:rsid w:val="003C2DF7"/>
    <w:rsid w:val="003E3226"/>
    <w:rsid w:val="003E4714"/>
    <w:rsid w:val="003F0FBA"/>
    <w:rsid w:val="003F3E3D"/>
    <w:rsid w:val="003F5613"/>
    <w:rsid w:val="00406053"/>
    <w:rsid w:val="00406081"/>
    <w:rsid w:val="00410190"/>
    <w:rsid w:val="004138CA"/>
    <w:rsid w:val="0042511F"/>
    <w:rsid w:val="00427297"/>
    <w:rsid w:val="004462AD"/>
    <w:rsid w:val="004531EB"/>
    <w:rsid w:val="004634F1"/>
    <w:rsid w:val="004672AE"/>
    <w:rsid w:val="00476886"/>
    <w:rsid w:val="00476EE1"/>
    <w:rsid w:val="00485911"/>
    <w:rsid w:val="00487BE0"/>
    <w:rsid w:val="00490F9A"/>
    <w:rsid w:val="00495F94"/>
    <w:rsid w:val="00497D89"/>
    <w:rsid w:val="004A7381"/>
    <w:rsid w:val="004B6089"/>
    <w:rsid w:val="004D1C04"/>
    <w:rsid w:val="004D1D74"/>
    <w:rsid w:val="004D2829"/>
    <w:rsid w:val="004E7D27"/>
    <w:rsid w:val="004F23B8"/>
    <w:rsid w:val="004F4538"/>
    <w:rsid w:val="004F5AB2"/>
    <w:rsid w:val="00502ECF"/>
    <w:rsid w:val="0050575F"/>
    <w:rsid w:val="00505B46"/>
    <w:rsid w:val="00516466"/>
    <w:rsid w:val="0053287B"/>
    <w:rsid w:val="00537FBD"/>
    <w:rsid w:val="005452ED"/>
    <w:rsid w:val="005633A9"/>
    <w:rsid w:val="00566182"/>
    <w:rsid w:val="00567E26"/>
    <w:rsid w:val="00572C34"/>
    <w:rsid w:val="00575547"/>
    <w:rsid w:val="00575657"/>
    <w:rsid w:val="00577BC7"/>
    <w:rsid w:val="005842CC"/>
    <w:rsid w:val="00591C15"/>
    <w:rsid w:val="005A309E"/>
    <w:rsid w:val="005B1D5A"/>
    <w:rsid w:val="005F1AC0"/>
    <w:rsid w:val="005F1ACD"/>
    <w:rsid w:val="005F3080"/>
    <w:rsid w:val="005F3B3D"/>
    <w:rsid w:val="005F556A"/>
    <w:rsid w:val="00600571"/>
    <w:rsid w:val="00603412"/>
    <w:rsid w:val="0061036D"/>
    <w:rsid w:val="00614A41"/>
    <w:rsid w:val="006307CF"/>
    <w:rsid w:val="00633E10"/>
    <w:rsid w:val="0063477A"/>
    <w:rsid w:val="00637409"/>
    <w:rsid w:val="006406E0"/>
    <w:rsid w:val="00652F23"/>
    <w:rsid w:val="00655824"/>
    <w:rsid w:val="0066352E"/>
    <w:rsid w:val="006656DB"/>
    <w:rsid w:val="0068248D"/>
    <w:rsid w:val="00687334"/>
    <w:rsid w:val="00687844"/>
    <w:rsid w:val="00687E2F"/>
    <w:rsid w:val="006947C0"/>
    <w:rsid w:val="006A128A"/>
    <w:rsid w:val="006A216E"/>
    <w:rsid w:val="006A3C8D"/>
    <w:rsid w:val="006C51B1"/>
    <w:rsid w:val="00701C3D"/>
    <w:rsid w:val="0071645D"/>
    <w:rsid w:val="00717AB5"/>
    <w:rsid w:val="00725E91"/>
    <w:rsid w:val="00735838"/>
    <w:rsid w:val="0074119F"/>
    <w:rsid w:val="00742313"/>
    <w:rsid w:val="00755396"/>
    <w:rsid w:val="0075561E"/>
    <w:rsid w:val="007761B2"/>
    <w:rsid w:val="00776A7C"/>
    <w:rsid w:val="00776C82"/>
    <w:rsid w:val="007770D3"/>
    <w:rsid w:val="00780955"/>
    <w:rsid w:val="00791A46"/>
    <w:rsid w:val="0079460A"/>
    <w:rsid w:val="007C08E5"/>
    <w:rsid w:val="007C32EB"/>
    <w:rsid w:val="007D1226"/>
    <w:rsid w:val="007D28CA"/>
    <w:rsid w:val="007D5658"/>
    <w:rsid w:val="007D602F"/>
    <w:rsid w:val="007E6966"/>
    <w:rsid w:val="007E70B7"/>
    <w:rsid w:val="007F5D52"/>
    <w:rsid w:val="0083280A"/>
    <w:rsid w:val="00844802"/>
    <w:rsid w:val="00845E61"/>
    <w:rsid w:val="0085731C"/>
    <w:rsid w:val="008605BB"/>
    <w:rsid w:val="00860E8A"/>
    <w:rsid w:val="00861B3D"/>
    <w:rsid w:val="00875FF8"/>
    <w:rsid w:val="00880316"/>
    <w:rsid w:val="0088673A"/>
    <w:rsid w:val="008A3C0D"/>
    <w:rsid w:val="008A4A15"/>
    <w:rsid w:val="008A4CD5"/>
    <w:rsid w:val="008A5464"/>
    <w:rsid w:val="008E235D"/>
    <w:rsid w:val="008E66D0"/>
    <w:rsid w:val="008F0566"/>
    <w:rsid w:val="008F172E"/>
    <w:rsid w:val="00901BBE"/>
    <w:rsid w:val="009056E9"/>
    <w:rsid w:val="009260BC"/>
    <w:rsid w:val="00932147"/>
    <w:rsid w:val="009337E2"/>
    <w:rsid w:val="00936FD1"/>
    <w:rsid w:val="0093718C"/>
    <w:rsid w:val="00937997"/>
    <w:rsid w:val="00944288"/>
    <w:rsid w:val="00944B04"/>
    <w:rsid w:val="0094591A"/>
    <w:rsid w:val="00955C50"/>
    <w:rsid w:val="00973DB3"/>
    <w:rsid w:val="00981CC8"/>
    <w:rsid w:val="00991162"/>
    <w:rsid w:val="00996E0F"/>
    <w:rsid w:val="00997863"/>
    <w:rsid w:val="009A021B"/>
    <w:rsid w:val="009A5A33"/>
    <w:rsid w:val="009B5528"/>
    <w:rsid w:val="009B74FF"/>
    <w:rsid w:val="009D3040"/>
    <w:rsid w:val="009D7280"/>
    <w:rsid w:val="009E2ACF"/>
    <w:rsid w:val="00A00775"/>
    <w:rsid w:val="00A024C6"/>
    <w:rsid w:val="00A148EB"/>
    <w:rsid w:val="00A15D87"/>
    <w:rsid w:val="00A34B49"/>
    <w:rsid w:val="00A4604E"/>
    <w:rsid w:val="00A4736C"/>
    <w:rsid w:val="00A532BA"/>
    <w:rsid w:val="00A56B0F"/>
    <w:rsid w:val="00A65898"/>
    <w:rsid w:val="00A674E7"/>
    <w:rsid w:val="00A73EC1"/>
    <w:rsid w:val="00A8557E"/>
    <w:rsid w:val="00A95816"/>
    <w:rsid w:val="00AA226D"/>
    <w:rsid w:val="00AA390B"/>
    <w:rsid w:val="00AA6780"/>
    <w:rsid w:val="00AA7607"/>
    <w:rsid w:val="00AB1152"/>
    <w:rsid w:val="00AB172E"/>
    <w:rsid w:val="00AB7A97"/>
    <w:rsid w:val="00AC72EC"/>
    <w:rsid w:val="00AD1E02"/>
    <w:rsid w:val="00AF3D82"/>
    <w:rsid w:val="00B0784B"/>
    <w:rsid w:val="00B145FD"/>
    <w:rsid w:val="00B25B63"/>
    <w:rsid w:val="00B27D85"/>
    <w:rsid w:val="00B34BD6"/>
    <w:rsid w:val="00B375E3"/>
    <w:rsid w:val="00B41567"/>
    <w:rsid w:val="00B42602"/>
    <w:rsid w:val="00B52732"/>
    <w:rsid w:val="00B54C4B"/>
    <w:rsid w:val="00B54DD7"/>
    <w:rsid w:val="00B571B9"/>
    <w:rsid w:val="00B65DF5"/>
    <w:rsid w:val="00B72487"/>
    <w:rsid w:val="00B736CC"/>
    <w:rsid w:val="00B73EBF"/>
    <w:rsid w:val="00B74C40"/>
    <w:rsid w:val="00B77124"/>
    <w:rsid w:val="00B7774E"/>
    <w:rsid w:val="00B77F85"/>
    <w:rsid w:val="00B81201"/>
    <w:rsid w:val="00B81466"/>
    <w:rsid w:val="00B91CBE"/>
    <w:rsid w:val="00B9258F"/>
    <w:rsid w:val="00BA05F3"/>
    <w:rsid w:val="00BA186D"/>
    <w:rsid w:val="00BB12E6"/>
    <w:rsid w:val="00BB2010"/>
    <w:rsid w:val="00BB405F"/>
    <w:rsid w:val="00BB40C8"/>
    <w:rsid w:val="00BB6DE6"/>
    <w:rsid w:val="00BB74F2"/>
    <w:rsid w:val="00BD2B51"/>
    <w:rsid w:val="00BD359D"/>
    <w:rsid w:val="00BF274B"/>
    <w:rsid w:val="00BF53A4"/>
    <w:rsid w:val="00C00A44"/>
    <w:rsid w:val="00C117C2"/>
    <w:rsid w:val="00C118D6"/>
    <w:rsid w:val="00C149B7"/>
    <w:rsid w:val="00C16696"/>
    <w:rsid w:val="00C16823"/>
    <w:rsid w:val="00C224EC"/>
    <w:rsid w:val="00C263C8"/>
    <w:rsid w:val="00C278CE"/>
    <w:rsid w:val="00C31945"/>
    <w:rsid w:val="00C461FD"/>
    <w:rsid w:val="00C51871"/>
    <w:rsid w:val="00C51B77"/>
    <w:rsid w:val="00C54FC2"/>
    <w:rsid w:val="00C62682"/>
    <w:rsid w:val="00C66AB4"/>
    <w:rsid w:val="00C72127"/>
    <w:rsid w:val="00C82951"/>
    <w:rsid w:val="00C829C2"/>
    <w:rsid w:val="00C83202"/>
    <w:rsid w:val="00C8547B"/>
    <w:rsid w:val="00C906E8"/>
    <w:rsid w:val="00C91AEB"/>
    <w:rsid w:val="00C92C74"/>
    <w:rsid w:val="00CA0F71"/>
    <w:rsid w:val="00CB125B"/>
    <w:rsid w:val="00CB63C4"/>
    <w:rsid w:val="00CB687A"/>
    <w:rsid w:val="00CC1644"/>
    <w:rsid w:val="00CC3CDF"/>
    <w:rsid w:val="00CD031E"/>
    <w:rsid w:val="00CE1F4A"/>
    <w:rsid w:val="00CE274D"/>
    <w:rsid w:val="00CE5310"/>
    <w:rsid w:val="00CE5D27"/>
    <w:rsid w:val="00CE707F"/>
    <w:rsid w:val="00D01267"/>
    <w:rsid w:val="00D044DF"/>
    <w:rsid w:val="00D121B9"/>
    <w:rsid w:val="00D1473E"/>
    <w:rsid w:val="00D23C6A"/>
    <w:rsid w:val="00D2585B"/>
    <w:rsid w:val="00D27A23"/>
    <w:rsid w:val="00D30FD5"/>
    <w:rsid w:val="00D33220"/>
    <w:rsid w:val="00D34603"/>
    <w:rsid w:val="00D44A7B"/>
    <w:rsid w:val="00D47186"/>
    <w:rsid w:val="00D51A93"/>
    <w:rsid w:val="00D53E58"/>
    <w:rsid w:val="00D552D1"/>
    <w:rsid w:val="00D66355"/>
    <w:rsid w:val="00D66D8B"/>
    <w:rsid w:val="00D71389"/>
    <w:rsid w:val="00D74197"/>
    <w:rsid w:val="00D85246"/>
    <w:rsid w:val="00D903DF"/>
    <w:rsid w:val="00DA3A03"/>
    <w:rsid w:val="00DB40C8"/>
    <w:rsid w:val="00DB6BC3"/>
    <w:rsid w:val="00DC12A9"/>
    <w:rsid w:val="00DD0AA6"/>
    <w:rsid w:val="00DD5447"/>
    <w:rsid w:val="00DD6525"/>
    <w:rsid w:val="00DD6609"/>
    <w:rsid w:val="00DD7BA5"/>
    <w:rsid w:val="00DE1B25"/>
    <w:rsid w:val="00DE2C82"/>
    <w:rsid w:val="00DF17B7"/>
    <w:rsid w:val="00E0023E"/>
    <w:rsid w:val="00E03621"/>
    <w:rsid w:val="00E13326"/>
    <w:rsid w:val="00E16F50"/>
    <w:rsid w:val="00E207F2"/>
    <w:rsid w:val="00E3501E"/>
    <w:rsid w:val="00E353C7"/>
    <w:rsid w:val="00E41E13"/>
    <w:rsid w:val="00E50807"/>
    <w:rsid w:val="00E51C1E"/>
    <w:rsid w:val="00E5727E"/>
    <w:rsid w:val="00E57474"/>
    <w:rsid w:val="00E756C3"/>
    <w:rsid w:val="00E82C35"/>
    <w:rsid w:val="00E934B7"/>
    <w:rsid w:val="00E938C9"/>
    <w:rsid w:val="00EA2D0C"/>
    <w:rsid w:val="00EB55C9"/>
    <w:rsid w:val="00EB6A7E"/>
    <w:rsid w:val="00ED01E5"/>
    <w:rsid w:val="00ED2796"/>
    <w:rsid w:val="00EE015E"/>
    <w:rsid w:val="00EE19B7"/>
    <w:rsid w:val="00EE43C3"/>
    <w:rsid w:val="00EF338F"/>
    <w:rsid w:val="00EF4E66"/>
    <w:rsid w:val="00EF741C"/>
    <w:rsid w:val="00F01D5E"/>
    <w:rsid w:val="00F0213F"/>
    <w:rsid w:val="00F26147"/>
    <w:rsid w:val="00F27F73"/>
    <w:rsid w:val="00F35973"/>
    <w:rsid w:val="00F531F1"/>
    <w:rsid w:val="00F54103"/>
    <w:rsid w:val="00F55AB2"/>
    <w:rsid w:val="00F579B1"/>
    <w:rsid w:val="00F63BA3"/>
    <w:rsid w:val="00F752E7"/>
    <w:rsid w:val="00F817B1"/>
    <w:rsid w:val="00F93B62"/>
    <w:rsid w:val="00F97474"/>
    <w:rsid w:val="00FA3F9D"/>
    <w:rsid w:val="00FA5A8B"/>
    <w:rsid w:val="00FB0C32"/>
    <w:rsid w:val="00FD7873"/>
    <w:rsid w:val="00FE281E"/>
    <w:rsid w:val="00FE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3086D"/>
  <w15:chartTrackingRefBased/>
  <w15:docId w15:val="{D10CBAB3-1186-4E1B-A828-22EFC006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phaseple1">
    <w:name w:val="Emphase pâle1"/>
    <w:rsid w:val="00996E0F"/>
    <w:rPr>
      <w:i/>
      <w:iCs/>
      <w:color w:val="808080"/>
    </w:rPr>
  </w:style>
  <w:style w:type="paragraph" w:customStyle="1" w:styleId="FOD-opsomming1">
    <w:name w:val="FOD-opsomming1"/>
    <w:basedOn w:val="ListParagraph"/>
    <w:qFormat/>
    <w:rsid w:val="00996E0F"/>
    <w:pPr>
      <w:widowControl w:val="0"/>
      <w:numPr>
        <w:numId w:val="1"/>
      </w:numPr>
      <w:tabs>
        <w:tab w:val="num" w:pos="360"/>
        <w:tab w:val="left" w:pos="880"/>
      </w:tabs>
      <w:autoSpaceDE w:val="0"/>
      <w:autoSpaceDN w:val="0"/>
      <w:adjustRightInd w:val="0"/>
      <w:spacing w:after="0" w:line="240" w:lineRule="auto"/>
      <w:ind w:left="720" w:firstLine="0"/>
    </w:pPr>
    <w:rPr>
      <w:rFonts w:ascii="Trebuchet MS" w:eastAsiaTheme="minorEastAsia" w:hAnsi="Trebuchet MS" w:cs="Arial"/>
      <w:sz w:val="19"/>
      <w:szCs w:val="19"/>
      <w:lang w:eastAsia="nl-NL"/>
    </w:rPr>
  </w:style>
  <w:style w:type="paragraph" w:styleId="ListParagraph">
    <w:name w:val="List Paragraph"/>
    <w:basedOn w:val="Normal"/>
    <w:uiPriority w:val="34"/>
    <w:qFormat/>
    <w:rsid w:val="00996E0F"/>
    <w:pPr>
      <w:ind w:left="720"/>
      <w:contextualSpacing/>
    </w:pPr>
  </w:style>
  <w:style w:type="paragraph" w:customStyle="1" w:styleId="En-ttedeliste">
    <w:name w:val="En-tête de liste"/>
    <w:basedOn w:val="Normal"/>
    <w:next w:val="Normal"/>
    <w:rsid w:val="007C32E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FOD-opsommingabc">
    <w:name w:val="FOD-opsomming abc"/>
    <w:basedOn w:val="ListParagraph"/>
    <w:qFormat/>
    <w:rsid w:val="007C32EB"/>
    <w:pPr>
      <w:widowControl w:val="0"/>
      <w:tabs>
        <w:tab w:val="left" w:pos="480"/>
      </w:tabs>
      <w:autoSpaceDE w:val="0"/>
      <w:autoSpaceDN w:val="0"/>
      <w:adjustRightInd w:val="0"/>
      <w:spacing w:after="0" w:line="240" w:lineRule="auto"/>
      <w:ind w:left="0"/>
    </w:pPr>
    <w:rPr>
      <w:rFonts w:ascii="Trebuchet MS" w:eastAsiaTheme="minorEastAsia" w:hAnsi="Trebuchet MS" w:cs="Arial"/>
      <w:sz w:val="19"/>
      <w:szCs w:val="19"/>
      <w:lang w:eastAsia="nl-NL"/>
    </w:rPr>
  </w:style>
  <w:style w:type="paragraph" w:customStyle="1" w:styleId="FOD-normal">
    <w:name w:val="FOD-normal"/>
    <w:basedOn w:val="Normal"/>
    <w:qFormat/>
    <w:rsid w:val="00932147"/>
    <w:pPr>
      <w:spacing w:before="120" w:after="0" w:line="240" w:lineRule="auto"/>
    </w:pPr>
    <w:rPr>
      <w:rFonts w:ascii="Trebuchet MS" w:eastAsiaTheme="minorEastAsia" w:hAnsi="Trebuchet MS" w:cs="Arial"/>
      <w:sz w:val="19"/>
      <w:szCs w:val="19"/>
      <w:lang w:eastAsia="fr-BE"/>
    </w:rPr>
  </w:style>
  <w:style w:type="paragraph" w:customStyle="1" w:styleId="Default">
    <w:name w:val="Default"/>
    <w:rsid w:val="0093214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copre1">
    <w:name w:val="acopre1"/>
    <w:basedOn w:val="DefaultParagraphFont"/>
    <w:rsid w:val="00932147"/>
  </w:style>
  <w:style w:type="paragraph" w:styleId="Header">
    <w:name w:val="header"/>
    <w:basedOn w:val="Normal"/>
    <w:link w:val="HeaderChar"/>
    <w:uiPriority w:val="99"/>
    <w:unhideWhenUsed/>
    <w:rsid w:val="00CD0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31E"/>
  </w:style>
  <w:style w:type="paragraph" w:styleId="Footer">
    <w:name w:val="footer"/>
    <w:basedOn w:val="Normal"/>
    <w:link w:val="FooterChar"/>
    <w:uiPriority w:val="99"/>
    <w:unhideWhenUsed/>
    <w:rsid w:val="00CD0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31E"/>
  </w:style>
  <w:style w:type="paragraph" w:styleId="BalloonText">
    <w:name w:val="Balloon Text"/>
    <w:basedOn w:val="Normal"/>
    <w:link w:val="BalloonTextChar"/>
    <w:uiPriority w:val="99"/>
    <w:semiHidden/>
    <w:unhideWhenUsed/>
    <w:rsid w:val="00BD2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1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7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7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7D85"/>
    <w:pPr>
      <w:spacing w:after="0" w:line="240" w:lineRule="auto"/>
    </w:pPr>
  </w:style>
  <w:style w:type="paragraph" w:customStyle="1" w:styleId="CITAAT1">
    <w:name w:val="CITAAT1"/>
    <w:basedOn w:val="Quote"/>
    <w:uiPriority w:val="99"/>
    <w:rsid w:val="00C83202"/>
    <w:pPr>
      <w:spacing w:before="120" w:after="280" w:line="240" w:lineRule="auto"/>
      <w:ind w:left="709" w:right="0" w:firstLine="709"/>
      <w:jc w:val="both"/>
    </w:pPr>
    <w:rPr>
      <w:rFonts w:ascii="Times New Roman" w:eastAsia="Calibri" w:hAnsi="Times New Roman" w:cs="Times New Roman"/>
      <w:i w:val="0"/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C8320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20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oleObject" Target="embeddings/oleObject3.bin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oleObject" Target="embeddings/oleObject2.bin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4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DExtra_DocField1 xmlns="766d371f-f3f8-43d9-b061-9186835be81f" xsi:nil="true"/>
    <INDType xmlns="766d371f-f3f8-43d9-b061-9186835be81f">Note</INDType>
    <INDResponsiblePerson xmlns="766d371f-f3f8-43d9-b061-9186835be81f">
      <UserInfo>
        <DisplayName/>
        <AccountId xsi:nil="true"/>
        <AccountType/>
      </UserInfo>
    </INDResponsiblePerson>
    <INDToBeSigned xmlns="766d371f-f3f8-43d9-b061-9186835be81f" xsi:nil="true"/>
    <INDMailroomRef xmlns="766d371f-f3f8-43d9-b061-9186835be81f" xsi:nil="true"/>
    <INDDivision xmlns="766d371f-f3f8-43d9-b061-9186835be81f">SJ-JD</INDDivision>
    <INDBoards xmlns="766d371f-f3f8-43d9-b061-9186835be81f">T</INDBoards>
    <INDIndicationNr xmlns="766d371f-f3f8-43d9-b061-9186835be81f">E2-HTEIP-2022-000505</INDIndicationNr>
    <INDComments xmlns="766d371f-f3f8-43d9-b061-9186835be81f" xsi:nil="true"/>
    <INDExtra_DocDate1 xmlns="766d371f-f3f8-43d9-b061-9186835be81f" xsi:nil="true"/>
    <INDIsSigned xmlns="766d371f-f3f8-43d9-b061-9186835be81f" xsi:nil="true"/>
    <INDStartDocument xmlns="766d371f-f3f8-43d9-b061-9186835be81f">E2-HTEIP-2022-000272</INDStartDocument>
    <_dlc_DocId xmlns="766d371f-f3f8-43d9-b061-9186835be81f">85b7d79e-9ab6-4f3c-99b2-e490f3afa4e4</_dlc_DocId>
    <_dlc_DocIdUrl xmlns="766d371f-f3f8-43d9-b061-9186835be81f">
      <Url>http://indicateur.internal.economie.fgov.be/sites/T/DG/_layouts/DocIdRedir.aspx?ID=85b7d79e-9ab6-4f3c-99b2-e490f3afa4e4</Url>
      <Description>85b7d79e-9ab6-4f3c-99b2-e490f3afa4e4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ND_Document" ma:contentTypeID="0x010100E04F66D73F674408B15F33E995327ED200BBD1BC78D2BB5840AD447D2140E0117F" ma:contentTypeVersion="1" ma:contentTypeDescription="Description" ma:contentTypeScope="" ma:versionID="664ead3dccd4ad41863e1f29df55a66c">
  <xsd:schema xmlns:xsd="http://www.w3.org/2001/XMLSchema" xmlns:xs="http://www.w3.org/2001/XMLSchema" xmlns:p="http://schemas.microsoft.com/office/2006/metadata/properties" xmlns:ns2="766d371f-f3f8-43d9-b061-9186835be81f" targetNamespace="http://schemas.microsoft.com/office/2006/metadata/properties" ma:root="true" ma:fieldsID="03b5982385aa64a2b6a48933c096070d" ns2:_="">
    <xsd:import namespace="766d371f-f3f8-43d9-b061-9186835be81f"/>
    <xsd:element name="properties">
      <xsd:complexType>
        <xsd:sequence>
          <xsd:element name="documentManagement">
            <xsd:complexType>
              <xsd:all>
                <xsd:element ref="ns2:INDIndicationNr"/>
                <xsd:element ref="ns2:INDType"/>
                <xsd:element ref="ns2:INDBoards"/>
                <xsd:element ref="ns2:INDDivision"/>
                <xsd:element ref="ns2:INDStartDocument"/>
                <xsd:element ref="ns2:INDResponsiblePerson" minOccurs="0"/>
                <xsd:element ref="ns2:INDToBeSigned" minOccurs="0"/>
                <xsd:element ref="ns2:INDIsSigned" minOccurs="0"/>
                <xsd:element ref="ns2:INDComments" minOccurs="0"/>
                <xsd:element ref="ns2:INDMailroomRef" minOccurs="0"/>
                <xsd:element ref="ns2:INDExtra_DocField1" minOccurs="0"/>
                <xsd:element ref="ns2:INDExtra_DocDate1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d371f-f3f8-43d9-b061-9186835be81f" elementFormDefault="qualified">
    <xsd:import namespace="http://schemas.microsoft.com/office/2006/documentManagement/types"/>
    <xsd:import namespace="http://schemas.microsoft.com/office/infopath/2007/PartnerControls"/>
    <xsd:element name="INDIndicationNr" ma:index="7" ma:displayName="Indication Nr" ma:indexed="true" ma:internalName="INDIndicationNr" ma:readOnly="false">
      <xsd:simpleType>
        <xsd:restriction base="dms:Text"/>
      </xsd:simpleType>
    </xsd:element>
    <xsd:element name="INDType" ma:index="8" ma:displayName="Type" ma:internalName="INDType">
      <xsd:simpleType>
        <xsd:restriction base="dms:Text"/>
      </xsd:simpleType>
    </xsd:element>
    <xsd:element name="INDBoards" ma:index="9" ma:displayName="Boards" ma:internalName="INDBoards">
      <xsd:simpleType>
        <xsd:restriction base="dms:Text"/>
      </xsd:simpleType>
    </xsd:element>
    <xsd:element name="INDDivision" ma:index="10" ma:displayName="Division" ma:internalName="INDDivision">
      <xsd:simpleType>
        <xsd:restriction base="dms:Text"/>
      </xsd:simpleType>
    </xsd:element>
    <xsd:element name="INDStartDocument" ma:index="11" ma:displayName="Start Document" ma:internalName="INDStartDocument">
      <xsd:simpleType>
        <xsd:restriction base="dms:Text"/>
      </xsd:simpleType>
    </xsd:element>
    <xsd:element name="INDResponsiblePerson" ma:index="12" nillable="true" ma:displayName="Responsible Person" ma:list="UserInfo" ma:SharePointGroup="0" ma:internalName="INDResponsible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ToBeSigned" ma:index="13" nillable="true" ma:displayName="ToBeSigned" ma:internalName="INDToBeSigned">
      <xsd:simpleType>
        <xsd:restriction base="dms:Boolean"/>
      </xsd:simpleType>
    </xsd:element>
    <xsd:element name="INDIsSigned" ma:index="14" nillable="true" ma:displayName="IsSigned" ma:internalName="INDIsSigned">
      <xsd:simpleType>
        <xsd:restriction base="dms:Boolean"/>
      </xsd:simpleType>
    </xsd:element>
    <xsd:element name="INDComments" ma:index="15" nillable="true" ma:displayName="Comments" ma:internalName="INDComments">
      <xsd:simpleType>
        <xsd:restriction base="dms:Note">
          <xsd:maxLength value="255"/>
        </xsd:restriction>
      </xsd:simpleType>
    </xsd:element>
    <xsd:element name="INDMailroomRef" ma:index="16" nillable="true" ma:displayName="Mailroom Reference" ma:internalName="INDMailroomRef">
      <xsd:simpleType>
        <xsd:restriction base="dms:Text"/>
      </xsd:simpleType>
    </xsd:element>
    <xsd:element name="INDExtra_DocField1" ma:index="17" nillable="true" ma:displayName="INDExtra_DocField1_Title" ma:internalName="INDExtra_DocField1">
      <xsd:simpleType>
        <xsd:restriction base="dms:Text"/>
      </xsd:simpleType>
    </xsd:element>
    <xsd:element name="INDExtra_DocDate1" ma:index="18" nillable="true" ma:displayName="INDExtra_DocDate1_Title" ma:internalName="INDExtra_DocDate1">
      <xsd:simpleType>
        <xsd:restriction base="dms:DateTime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B148F-926E-413F-9BE6-9F2AB841A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CAB95-316B-4D8D-A2B9-9C5174850C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F82940-5F83-4A8F-A071-5BB677436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D0F45-70E2-467A-B050-25BA562573BF}">
  <ds:schemaRefs>
    <ds:schemaRef ds:uri="http://schemas.microsoft.com/office/2006/metadata/properties"/>
    <ds:schemaRef ds:uri="http://schemas.microsoft.com/office/infopath/2007/PartnerControls"/>
    <ds:schemaRef ds:uri="766d371f-f3f8-43d9-b061-9186835be81f"/>
  </ds:schemaRefs>
</ds:datastoreItem>
</file>

<file path=customXml/itemProps5.xml><?xml version="1.0" encoding="utf-8"?>
<ds:datastoreItem xmlns:ds="http://schemas.openxmlformats.org/officeDocument/2006/customXml" ds:itemID="{41A91DC0-F5DF-42A3-A0BF-C89498D08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d371f-f3f8-43d9-b061-9186835be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2410</Words>
  <Characters>14897</Characters>
  <Application>Microsoft Office Word</Application>
  <DocSecurity>0</DocSecurity>
  <Lines>551</Lines>
  <Paragraphs>196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FPS Economy</Company>
  <LinksUpToDate>false</LinksUpToDate>
  <CharactersWithSpaces>17111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Rogge (FOD Economie - SPF Economie)</dc:creator>
  <cp:keywords>class='Internal'</cp:keywords>
  <dc:description/>
  <cp:lastModifiedBy>Ines Varvodic</cp:lastModifiedBy>
  <cp:revision>3</cp:revision>
  <cp:lastPrinted>2022-06-07T09:17:00Z</cp:lastPrinted>
  <dcterms:created xsi:type="dcterms:W3CDTF">2022-10-31T09:25:00Z</dcterms:created>
  <dcterms:modified xsi:type="dcterms:W3CDTF">2022-10-31T09:59:00Z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0x010100E04F66D73F674408B15F33E995327ED200BBD1BC78D2BB5840AD447D2140E0117F</vt:lpwstr>
  </property>
  <property fmtid="{D5CDD505-2E9C-101B-9397-08002B2CF9AE}" pid="3" name="_dlc_DocIdItemGuid">
    <vt:lpwstr>85b7d79e-9ab6-4f3c-99b2-e490f3afa4e4</vt:lpwstr>
  </property>
</Properties>
</file>