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Proyecto de Código de Leyes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Reglamento de la Agencia Sueca de Sustancias Químicas (KIFS 2017:7) sobre productos químicos y organismos biotecnológicos</w:t>
      </w:r>
    </w:p>
    <w:p w14:paraId="7AFDF2AB" w14:textId="7BEF76B0" w:rsidR="009F020D" w:rsidRDefault="009F020D" w:rsidP="009F020D">
      <w:r>
        <w:t xml:space="preserve">Capítulo 4</w:t>
      </w:r>
      <w:r>
        <w:t xml:space="preserve"> </w:t>
      </w:r>
    </w:p>
    <w:p w14:paraId="794D3BB0" w14:textId="540B037C" w:rsidR="009F020D" w:rsidRDefault="009F020D" w:rsidP="009F020D">
      <w:r>
        <w:t xml:space="preserve">Artículo 3 Las disposiciones de los artículos 7 y 9 a 14 de la Ordenanza (2008:245) no se aplicarán al hidróxido de sodio y al hidróxido de potasio como sustancias o en mezclas.</w:t>
      </w:r>
      <w:r>
        <w:t xml:space="preserve"> </w:t>
      </w:r>
      <w:r>
        <w:t xml:space="preserve">Las disposiciones tampoco se aplicarán a los explosivos, fuelóleos o combustibles destinados al funcionamiento de motores.</w:t>
      </w:r>
      <w:r>
        <w:t xml:space="preserve">  </w:t>
      </w:r>
    </w:p>
    <w:p w14:paraId="22F7CF4B" w14:textId="77777777" w:rsidR="009F020D" w:rsidRDefault="009F020D" w:rsidP="009F020D">
      <w:r>
        <w:t xml:space="preserve">Artículo 3 </w:t>
      </w:r>
      <w:r>
        <w:rPr>
          <w:i/>
          <w:iCs/>
        </w:rPr>
        <w:t xml:space="preserve">bis</w:t>
      </w:r>
      <w:r>
        <w:t xml:space="preserve"> No obstante lo dispuesto en el artículo 3, se requiere autorización: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para la manipulación no profesional, de conformidad con el artículo 7, apartado 1, de la Ordenanza (2008:245), de hidróxido de sodio e hidróxido de potasio como sustancias o en mezclas destinadas a desatascar o limpiar desagües.</w:t>
      </w:r>
      <w:r>
        <w:t xml:space="preserve"> </w:t>
      </w:r>
      <w:r>
        <w:t xml:space="preserve">Para los productos mencionados también se aplican las disposiciones del artículo 9, apartado 2, de la Ordenanza (2008:245).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