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6043F" w:rsidRPr="002217AD" w14:paraId="4B918421" w14:textId="77777777" w:rsidTr="0066043F">
        <w:tc>
          <w:tcPr>
            <w:tcW w:w="5000" w:type="pct"/>
          </w:tcPr>
          <w:p w14:paraId="35850805" w14:textId="77777777" w:rsidR="0066043F" w:rsidRPr="00DD5BDD" w:rsidRDefault="0066043F" w:rsidP="005B3FB9">
            <w:pPr>
              <w:spacing w:before="240"/>
              <w:jc w:val="center"/>
              <w:rPr>
                <w:b/>
                <w:bCs/>
                <w:caps/>
              </w:rPr>
            </w:pPr>
            <w:r>
              <w:rPr>
                <w:b/>
                <w:caps/>
              </w:rPr>
              <w:t>Konungariket Belgien</w:t>
            </w:r>
          </w:p>
        </w:tc>
      </w:tr>
      <w:tr w:rsidR="0066043F" w:rsidRPr="002217AD" w14:paraId="5338082C" w14:textId="77777777" w:rsidTr="0066043F">
        <w:tc>
          <w:tcPr>
            <w:tcW w:w="5000" w:type="pct"/>
          </w:tcPr>
          <w:p w14:paraId="2886B770" w14:textId="77777777" w:rsidR="0066043F" w:rsidRPr="002217AD" w:rsidRDefault="0066043F" w:rsidP="005B3FB9">
            <w:pPr>
              <w:spacing w:before="240"/>
              <w:jc w:val="center"/>
              <w:rPr>
                <w:b/>
                <w:bCs/>
              </w:rPr>
            </w:pPr>
            <w:r>
              <w:rPr>
                <w:b/>
              </w:rPr>
              <w:t>_________</w:t>
            </w:r>
          </w:p>
        </w:tc>
      </w:tr>
      <w:tr w:rsidR="0066043F" w:rsidRPr="002217AD" w14:paraId="01058409" w14:textId="77777777" w:rsidTr="0066043F">
        <w:tc>
          <w:tcPr>
            <w:tcW w:w="5000" w:type="pct"/>
          </w:tcPr>
          <w:p w14:paraId="279E5A93" w14:textId="77777777" w:rsidR="0066043F" w:rsidRPr="002217AD" w:rsidRDefault="0066043F" w:rsidP="005B3FB9">
            <w:pPr>
              <w:spacing w:before="240"/>
              <w:jc w:val="center"/>
              <w:rPr>
                <w:b/>
                <w:bCs/>
              </w:rPr>
            </w:pPr>
          </w:p>
        </w:tc>
      </w:tr>
      <w:tr w:rsidR="0066043F" w:rsidRPr="002217AD" w14:paraId="6055F6C0" w14:textId="77777777" w:rsidTr="0066043F">
        <w:tc>
          <w:tcPr>
            <w:tcW w:w="5000" w:type="pct"/>
          </w:tcPr>
          <w:p w14:paraId="4BA6FD73" w14:textId="77777777" w:rsidR="0066043F" w:rsidRPr="00DD5BDD" w:rsidRDefault="0066043F" w:rsidP="005B3FB9">
            <w:pPr>
              <w:spacing w:before="240"/>
              <w:jc w:val="center"/>
              <w:rPr>
                <w:b/>
                <w:bCs/>
                <w:caps/>
              </w:rPr>
            </w:pPr>
            <w:r>
              <w:rPr>
                <w:b/>
                <w:caps/>
              </w:rPr>
              <w:t>Federala justitieministeriet</w:t>
            </w:r>
          </w:p>
        </w:tc>
      </w:tr>
      <w:tr w:rsidR="0066043F" w:rsidRPr="002217AD" w14:paraId="4B0C7A9F" w14:textId="77777777" w:rsidTr="0066043F">
        <w:tc>
          <w:tcPr>
            <w:tcW w:w="5000" w:type="pct"/>
          </w:tcPr>
          <w:p w14:paraId="5CE7FE1D" w14:textId="77777777" w:rsidR="0066043F" w:rsidRPr="002217AD" w:rsidRDefault="0066043F" w:rsidP="005B3FB9">
            <w:pPr>
              <w:spacing w:before="240"/>
              <w:jc w:val="both"/>
              <w:rPr>
                <w:b/>
                <w:bCs/>
              </w:rPr>
            </w:pPr>
          </w:p>
        </w:tc>
      </w:tr>
      <w:tr w:rsidR="0066043F" w:rsidRPr="001262B1" w14:paraId="135E58F9" w14:textId="77777777" w:rsidTr="0066043F">
        <w:tc>
          <w:tcPr>
            <w:tcW w:w="5000" w:type="pct"/>
          </w:tcPr>
          <w:p w14:paraId="38C908AB" w14:textId="514268E2" w:rsidR="0066043F" w:rsidRPr="001262B1" w:rsidRDefault="0066043F" w:rsidP="005B3FB9">
            <w:pPr>
              <w:spacing w:before="240"/>
              <w:jc w:val="both"/>
              <w:rPr>
                <w:b/>
                <w:bCs/>
              </w:rPr>
            </w:pPr>
            <w:r>
              <w:rPr>
                <w:b/>
              </w:rPr>
              <w:t>7 MAJ 2024 – Lag om ändring av lagen av den 7 maj 1999 om hasardspel, vadhållning, spelinrättningar och skydd av spelare och om olika bestämmelser avseende hasardspel (1)</w:t>
            </w:r>
          </w:p>
        </w:tc>
      </w:tr>
      <w:tr w:rsidR="0066043F" w:rsidRPr="002217AD" w14:paraId="6CCA7224" w14:textId="77777777" w:rsidTr="0066043F">
        <w:tc>
          <w:tcPr>
            <w:tcW w:w="5000" w:type="pct"/>
          </w:tcPr>
          <w:p w14:paraId="2587FB8F" w14:textId="77777777" w:rsidR="0066043F" w:rsidRPr="00925EA1" w:rsidRDefault="0066043F" w:rsidP="005B3FB9">
            <w:pPr>
              <w:spacing w:before="240"/>
              <w:jc w:val="both"/>
            </w:pPr>
          </w:p>
        </w:tc>
      </w:tr>
      <w:tr w:rsidR="0066043F" w14:paraId="18274E42" w14:textId="77777777" w:rsidTr="0066043F">
        <w:tc>
          <w:tcPr>
            <w:tcW w:w="5000" w:type="pct"/>
          </w:tcPr>
          <w:p w14:paraId="2D89BD13" w14:textId="77777777" w:rsidR="0066043F" w:rsidRDefault="0066043F" w:rsidP="005B3FB9">
            <w:pPr>
              <w:spacing w:before="240"/>
              <w:jc w:val="both"/>
            </w:pPr>
            <w:r>
              <w:t>PHILIPPE, belgarnas konung,</w:t>
            </w:r>
          </w:p>
        </w:tc>
      </w:tr>
      <w:tr w:rsidR="0066043F" w:rsidRPr="002217AD" w14:paraId="7AB666BB" w14:textId="77777777" w:rsidTr="0066043F">
        <w:tc>
          <w:tcPr>
            <w:tcW w:w="5000" w:type="pct"/>
          </w:tcPr>
          <w:p w14:paraId="36F1F0FA" w14:textId="77777777" w:rsidR="0066043F" w:rsidRPr="002217AD" w:rsidRDefault="0066043F" w:rsidP="005B3FB9">
            <w:pPr>
              <w:spacing w:before="240"/>
              <w:jc w:val="both"/>
            </w:pPr>
            <w:r>
              <w:t>utfärdar denna förordning, riktad till alla nu och i framtiden berörda parter.</w:t>
            </w:r>
          </w:p>
        </w:tc>
      </w:tr>
      <w:tr w:rsidR="0066043F" w:rsidRPr="002217AD" w14:paraId="2C083866" w14:textId="77777777" w:rsidTr="0066043F">
        <w:tc>
          <w:tcPr>
            <w:tcW w:w="5000" w:type="pct"/>
          </w:tcPr>
          <w:p w14:paraId="429011D0" w14:textId="77777777" w:rsidR="0066043F" w:rsidRPr="002217AD" w:rsidRDefault="0066043F" w:rsidP="005B3FB9">
            <w:pPr>
              <w:spacing w:before="240"/>
              <w:jc w:val="both"/>
            </w:pPr>
            <w:r>
              <w:t>Representanthuset har antagit och vi godkänner följande.</w:t>
            </w:r>
          </w:p>
        </w:tc>
      </w:tr>
      <w:tr w:rsidR="0066043F" w:rsidRPr="0082140B" w14:paraId="09544200" w14:textId="77777777" w:rsidTr="0066043F">
        <w:tc>
          <w:tcPr>
            <w:tcW w:w="5000" w:type="pct"/>
          </w:tcPr>
          <w:p w14:paraId="526860BE" w14:textId="77777777" w:rsidR="0066043F" w:rsidRPr="0082140B" w:rsidRDefault="0066043F" w:rsidP="005B3FB9">
            <w:pPr>
              <w:spacing w:before="240"/>
              <w:jc w:val="center"/>
            </w:pPr>
            <w:r>
              <w:t xml:space="preserve">KAPITEL 1. – </w:t>
            </w:r>
            <w:r>
              <w:rPr>
                <w:i/>
              </w:rPr>
              <w:t>Allmän bestämmelse</w:t>
            </w:r>
          </w:p>
        </w:tc>
      </w:tr>
      <w:tr w:rsidR="0066043F" w:rsidRPr="002217AD" w14:paraId="19F0334F" w14:textId="77777777" w:rsidTr="0066043F">
        <w:tc>
          <w:tcPr>
            <w:tcW w:w="5000" w:type="pct"/>
          </w:tcPr>
          <w:p w14:paraId="0074BFD6" w14:textId="77777777" w:rsidR="0066043F" w:rsidRPr="002217AD" w:rsidRDefault="0066043F" w:rsidP="005B3FB9">
            <w:pPr>
              <w:spacing w:before="240"/>
              <w:jc w:val="both"/>
            </w:pPr>
            <w:r>
              <w:rPr>
                <w:b/>
              </w:rPr>
              <w:t xml:space="preserve">Artikel 1. </w:t>
            </w:r>
            <w:r>
              <w:t>I föreliggande lag regleras det område som avses i artikel 74 i grundlagen.</w:t>
            </w:r>
          </w:p>
        </w:tc>
      </w:tr>
      <w:tr w:rsidR="0066043F" w:rsidRPr="0082140B" w14:paraId="5B92BC29" w14:textId="77777777" w:rsidTr="0066043F">
        <w:tc>
          <w:tcPr>
            <w:tcW w:w="5000" w:type="pct"/>
          </w:tcPr>
          <w:p w14:paraId="2EED2AE1" w14:textId="77777777" w:rsidR="0066043F" w:rsidRPr="0082140B" w:rsidRDefault="0066043F" w:rsidP="005B3FB9">
            <w:pPr>
              <w:spacing w:before="240"/>
              <w:jc w:val="center"/>
            </w:pPr>
            <w:r>
              <w:t xml:space="preserve">KAPITEL 2 – </w:t>
            </w:r>
            <w:r>
              <w:rPr>
                <w:i/>
              </w:rPr>
              <w:t>Ändringar av lagen av den 7 maj 1999 om hasardspel, vadhållning, spelinrättningar och skydd av spelare</w:t>
            </w:r>
          </w:p>
        </w:tc>
      </w:tr>
      <w:tr w:rsidR="0066043F" w:rsidRPr="002217AD" w14:paraId="44C8AD35" w14:textId="77777777" w:rsidTr="0066043F">
        <w:tc>
          <w:tcPr>
            <w:tcW w:w="5000" w:type="pct"/>
          </w:tcPr>
          <w:p w14:paraId="27495EDB" w14:textId="77777777" w:rsidR="0066043F" w:rsidRPr="002217AD" w:rsidRDefault="0066043F" w:rsidP="005B3FB9">
            <w:pPr>
              <w:spacing w:before="240"/>
              <w:jc w:val="both"/>
            </w:pPr>
            <w:r>
              <w:rPr>
                <w:b/>
              </w:rPr>
              <w:t>Artikel 2.</w:t>
            </w:r>
            <w:r>
              <w:t xml:space="preserve"> Artikel 4 i lagen av den 7 maj 1999 om hasardspel, vadslagning, spelinrättningar och skydd av spelare, som har ersatts av lagen av den 10 januari 2010, ska kompletteras med punkterna 4 och 5 med följande lydelse:</w:t>
            </w:r>
          </w:p>
        </w:tc>
      </w:tr>
      <w:tr w:rsidR="0066043F" w:rsidRPr="002217AD" w14:paraId="44597AC5" w14:textId="77777777" w:rsidTr="0066043F">
        <w:tc>
          <w:tcPr>
            <w:tcW w:w="5000" w:type="pct"/>
          </w:tcPr>
          <w:p w14:paraId="61A9A630" w14:textId="77777777" w:rsidR="0066043F" w:rsidRPr="002217AD" w:rsidRDefault="0066043F" w:rsidP="005B3FB9">
            <w:pPr>
              <w:spacing w:before="240"/>
              <w:jc w:val="both"/>
            </w:pPr>
            <w:r>
              <w:t>”4 §. Det är förbjudet för någon person att i någon form använda personuppgifter som inte tillhör honom/henne för att få tillgång till en spelinrättning eller delta i spel.</w:t>
            </w:r>
          </w:p>
        </w:tc>
      </w:tr>
      <w:tr w:rsidR="0066043F" w:rsidRPr="002217AD" w14:paraId="02D0F5C0" w14:textId="77777777" w:rsidTr="0066043F">
        <w:tc>
          <w:tcPr>
            <w:tcW w:w="5000" w:type="pct"/>
          </w:tcPr>
          <w:p w14:paraId="37C7B0A8" w14:textId="77777777" w:rsidR="0066043F" w:rsidRPr="002217AD" w:rsidRDefault="0066043F" w:rsidP="005B3FB9">
            <w:pPr>
              <w:spacing w:before="240"/>
              <w:jc w:val="both"/>
            </w:pPr>
            <w:r>
              <w:t>Det är förbjudet för någon person att i någon form göra personuppgifter tillgängliga för en annan person, med vetskap om att sådana uppgifter kommer att användas för att få tillgång till en spelinrättning eller delta i spel.</w:t>
            </w:r>
          </w:p>
        </w:tc>
      </w:tr>
      <w:tr w:rsidR="0066043F" w:rsidRPr="002217AD" w14:paraId="6769D09B" w14:textId="77777777" w:rsidTr="0066043F">
        <w:tc>
          <w:tcPr>
            <w:tcW w:w="5000" w:type="pct"/>
          </w:tcPr>
          <w:p w14:paraId="25707CA0" w14:textId="77777777" w:rsidR="0066043F" w:rsidRPr="002217AD" w:rsidRDefault="0066043F" w:rsidP="005B3FB9">
            <w:pPr>
              <w:spacing w:before="240"/>
              <w:jc w:val="both"/>
            </w:pPr>
            <w:r>
              <w:t xml:space="preserve">I denna punkt avses med </w:t>
            </w:r>
            <w:r>
              <w:rPr>
                <w:i/>
                <w:iCs/>
              </w:rPr>
              <w:t>personuppgifter</w:t>
            </w:r>
            <w:r>
              <w:t xml:space="preserve"> </w:t>
            </w:r>
            <w:proofErr w:type="spellStart"/>
            <w:r>
              <w:t>personuppgifter</w:t>
            </w:r>
            <w:proofErr w:type="spellEnd"/>
            <w:r>
              <w:t xml:space="preserve"> enligt definitionen i artikel 4.1 i Europaparlamentets och rådets förordning (EU) 2016/679 av den 27 april 2016 om skydd för fysiska personer med avseende på behandling av personuppgifter och om det fria flödet av sådana uppgifter och om upphävande av direktiv 95/46/EG (allmän dataskyddsförordning).</w:t>
            </w:r>
          </w:p>
        </w:tc>
      </w:tr>
      <w:tr w:rsidR="0066043F" w:rsidRPr="002217AD" w14:paraId="53A76D84" w14:textId="77777777" w:rsidTr="0066043F">
        <w:tc>
          <w:tcPr>
            <w:tcW w:w="5000" w:type="pct"/>
          </w:tcPr>
          <w:p w14:paraId="6174A9EA" w14:textId="77777777" w:rsidR="0066043F" w:rsidRPr="002217AD" w:rsidRDefault="0066043F" w:rsidP="005B3FB9">
            <w:pPr>
              <w:spacing w:before="240"/>
              <w:jc w:val="both"/>
            </w:pPr>
            <w:r>
              <w:t>5 §. Det är förbjudet för någon person att bevilja tillträde till en spelinrättning eller spelverksamhet för personer för vilka sådant tillträde eller sådan verksamhet inte är tillåten enligt artikel 54.”.</w:t>
            </w:r>
          </w:p>
        </w:tc>
      </w:tr>
      <w:tr w:rsidR="0066043F" w:rsidRPr="002217AD" w14:paraId="6EF83FF4" w14:textId="77777777" w:rsidTr="0066043F">
        <w:tc>
          <w:tcPr>
            <w:tcW w:w="5000" w:type="pct"/>
          </w:tcPr>
          <w:p w14:paraId="5921564A" w14:textId="77777777" w:rsidR="0066043F" w:rsidRPr="002217AD" w:rsidRDefault="0066043F" w:rsidP="005B3FB9">
            <w:pPr>
              <w:spacing w:before="240"/>
              <w:jc w:val="both"/>
            </w:pPr>
            <w:r>
              <w:rPr>
                <w:b/>
              </w:rPr>
              <w:t>Artikel 3.</w:t>
            </w:r>
            <w:r>
              <w:t xml:space="preserve"> Artikel 8/1 ska införas i samma lag med följande lydelse:</w:t>
            </w:r>
          </w:p>
        </w:tc>
      </w:tr>
      <w:tr w:rsidR="0066043F" w:rsidRPr="002217AD" w14:paraId="3D79F3FB" w14:textId="77777777" w:rsidTr="0066043F">
        <w:tc>
          <w:tcPr>
            <w:tcW w:w="5000" w:type="pct"/>
          </w:tcPr>
          <w:p w14:paraId="44BA6322" w14:textId="77777777" w:rsidR="0066043F" w:rsidRPr="002217AD" w:rsidRDefault="0066043F" w:rsidP="005B3FB9">
            <w:pPr>
              <w:spacing w:before="240"/>
              <w:jc w:val="both"/>
            </w:pPr>
            <w:r>
              <w:t>”Artikel 8/1 Den Konsumentmedlingstjänst som avses i artikel XVI.5 i lagen om ekonomisk rätt tar emot och handlägger begäranden om tvistlösning utanför domstol av konsumenttvister som rör hasardspel i enlighet med bestämmelserna i avdelning 3 kapitel 3 avsnitt 2 i bok XVI i samma lag.</w:t>
            </w:r>
          </w:p>
        </w:tc>
      </w:tr>
      <w:tr w:rsidR="0066043F" w:rsidRPr="002217AD" w14:paraId="13E0619B" w14:textId="77777777" w:rsidTr="0066043F">
        <w:tc>
          <w:tcPr>
            <w:tcW w:w="5000" w:type="pct"/>
          </w:tcPr>
          <w:p w14:paraId="0A91BBDA" w14:textId="77777777" w:rsidR="0066043F" w:rsidRPr="002217AD" w:rsidRDefault="0066043F" w:rsidP="005B3FB9">
            <w:pPr>
              <w:spacing w:before="240"/>
              <w:jc w:val="both"/>
            </w:pPr>
            <w:r>
              <w:lastRenderedPageBreak/>
              <w:t>Om begäran avser en överträdelse av denna lag eller dess genomförandeförordningar ska konsumentmedlingstjänsten vidarebefordra den till kommissionen.”</w:t>
            </w:r>
          </w:p>
        </w:tc>
      </w:tr>
      <w:tr w:rsidR="0066043F" w:rsidRPr="002217AD" w14:paraId="6EC78BD6" w14:textId="77777777" w:rsidTr="0066043F">
        <w:tc>
          <w:tcPr>
            <w:tcW w:w="5000" w:type="pct"/>
          </w:tcPr>
          <w:p w14:paraId="220D2EC2" w14:textId="77777777" w:rsidR="0066043F" w:rsidRPr="002217AD" w:rsidRDefault="0066043F" w:rsidP="005B3FB9">
            <w:pPr>
              <w:spacing w:before="240"/>
              <w:jc w:val="both"/>
            </w:pPr>
            <w:r>
              <w:rPr>
                <w:b/>
              </w:rPr>
              <w:t>Artikel 4.</w:t>
            </w:r>
            <w:r>
              <w:t xml:space="preserve"> I artikel 15.1.4.2 i samma lag ska orden ”och särskilt det register över yrkesutövare som avses i artikel 55/4 och bilderna från övervakningskameror som installerats av operatörer i enlighet med lagen av den 21 mars 2007 om installation och användning av övervakningskameror” införas mellan orden ”kräver överlämnande av alla handlingar” och orden ”som kan vara användbara för deras utredning,”.</w:t>
            </w:r>
          </w:p>
        </w:tc>
      </w:tr>
      <w:tr w:rsidR="0066043F" w:rsidRPr="002217AD" w14:paraId="2853B46D" w14:textId="77777777" w:rsidTr="0066043F">
        <w:tc>
          <w:tcPr>
            <w:tcW w:w="5000" w:type="pct"/>
          </w:tcPr>
          <w:p w14:paraId="784C75E4" w14:textId="77777777" w:rsidR="0066043F" w:rsidRPr="002217AD" w:rsidRDefault="0066043F" w:rsidP="005B3FB9">
            <w:pPr>
              <w:spacing w:before="240"/>
              <w:jc w:val="both"/>
            </w:pPr>
            <w:r>
              <w:rPr>
                <w:b/>
              </w:rPr>
              <w:t>Artikel 5.</w:t>
            </w:r>
            <w:r>
              <w:t xml:space="preserve"> I artikel 15/2 i samma lag, som infördes genom lagen av den 10 januari 2010 och ersattes av lagen av den 7 maj 2019, ska följande ändringar göras:</w:t>
            </w:r>
          </w:p>
        </w:tc>
      </w:tr>
      <w:tr w:rsidR="0066043F" w:rsidRPr="002217AD" w14:paraId="0651BAC9" w14:textId="77777777" w:rsidTr="0066043F">
        <w:tc>
          <w:tcPr>
            <w:tcW w:w="5000" w:type="pct"/>
          </w:tcPr>
          <w:p w14:paraId="2E3D722C" w14:textId="77777777" w:rsidR="0066043F" w:rsidRPr="002217AD" w:rsidRDefault="0066043F" w:rsidP="005B3FB9">
            <w:pPr>
              <w:spacing w:before="240"/>
              <w:jc w:val="both"/>
            </w:pPr>
            <w:r>
              <w:t>1) I punkt 2.1.3 ska orden ”en person under 18 år” ersättas med orden ”en person under 21 år.”.</w:t>
            </w:r>
          </w:p>
        </w:tc>
      </w:tr>
      <w:tr w:rsidR="0066043F" w:rsidRPr="002217AD" w14:paraId="658582C2" w14:textId="77777777" w:rsidTr="0066043F">
        <w:tc>
          <w:tcPr>
            <w:tcW w:w="5000" w:type="pct"/>
          </w:tcPr>
          <w:p w14:paraId="0877585C" w14:textId="77777777" w:rsidR="0066043F" w:rsidRPr="002217AD" w:rsidRDefault="0066043F" w:rsidP="005B3FB9">
            <w:pPr>
              <w:spacing w:before="240"/>
              <w:jc w:val="both"/>
            </w:pPr>
            <w:r>
              <w:t xml:space="preserve">2) I punkt 3.1.2 ska orden ”en person under 18 år,” ersättas med orden ”en person under 21 år,”. </w:t>
            </w:r>
          </w:p>
        </w:tc>
      </w:tr>
      <w:tr w:rsidR="0066043F" w:rsidRPr="002217AD" w14:paraId="7967A93B" w14:textId="77777777" w:rsidTr="0066043F">
        <w:tc>
          <w:tcPr>
            <w:tcW w:w="5000" w:type="pct"/>
          </w:tcPr>
          <w:p w14:paraId="4DF6354D" w14:textId="77777777" w:rsidR="0066043F" w:rsidRPr="002217AD" w:rsidRDefault="0066043F" w:rsidP="005B3FB9">
            <w:pPr>
              <w:spacing w:before="240"/>
              <w:jc w:val="both"/>
            </w:pPr>
            <w:r>
              <w:rPr>
                <w:b/>
              </w:rPr>
              <w:t>Artikel 6.</w:t>
            </w:r>
            <w:r>
              <w:t xml:space="preserve"> I artikel 15/3.1 i samma lag, som infördes genom lagen av den 10 januari 2010, ersatt av lagen av den 7 maj 2019 och senast ändrad genom lagen av den 18 januari 2024, ska orden ”46, 54, 58, 60, 62 och de bestämmelser som antagits i enlighet med dessa artiklar och artikel 61.2” ersättas med orden ”46, 58, 60, 61.2 och 61.3 samt de bestämmelser som antagits i enlighet med dessa artiklar”.</w:t>
            </w:r>
          </w:p>
        </w:tc>
      </w:tr>
      <w:tr w:rsidR="0066043F" w:rsidRPr="002217AD" w14:paraId="1E4CEBD0" w14:textId="77777777" w:rsidTr="0066043F">
        <w:tc>
          <w:tcPr>
            <w:tcW w:w="5000" w:type="pct"/>
          </w:tcPr>
          <w:p w14:paraId="18D4299B" w14:textId="77777777" w:rsidR="0066043F" w:rsidRPr="002217AD" w:rsidRDefault="0066043F" w:rsidP="005B3FB9">
            <w:pPr>
              <w:spacing w:before="240"/>
              <w:jc w:val="both"/>
            </w:pPr>
            <w:r>
              <w:rPr>
                <w:b/>
              </w:rPr>
              <w:t>Artikel 7.</w:t>
            </w:r>
            <w:r>
              <w:t xml:space="preserve"> I artikel 20 i samma lag, ändrad genom lagarna av den 10 januari 2010 och den 18 september 2017, ska tredje stycket ersättas med följande:</w:t>
            </w:r>
          </w:p>
        </w:tc>
      </w:tr>
      <w:tr w:rsidR="0066043F" w:rsidRPr="002217AD" w14:paraId="6899992B" w14:textId="77777777" w:rsidTr="0066043F">
        <w:tc>
          <w:tcPr>
            <w:tcW w:w="5000" w:type="pct"/>
          </w:tcPr>
          <w:p w14:paraId="07FF4F80" w14:textId="77777777" w:rsidR="0066043F" w:rsidRPr="002217AD" w:rsidRDefault="0066043F" w:rsidP="005B3FB9">
            <w:pPr>
              <w:spacing w:before="240"/>
              <w:jc w:val="both"/>
            </w:pPr>
            <w:r>
              <w:t>”Kommissionen ska ta emot klagomål avseende tillämpningen och verkställigheten av denna lag och dess genomförandeförordningar i enlighet med de förfaranden som ska fastställas av kommissionen.”</w:t>
            </w:r>
          </w:p>
        </w:tc>
      </w:tr>
      <w:tr w:rsidR="0066043F" w:rsidRPr="002217AD" w14:paraId="0154410B" w14:textId="77777777" w:rsidTr="0066043F">
        <w:tc>
          <w:tcPr>
            <w:tcW w:w="5000" w:type="pct"/>
          </w:tcPr>
          <w:p w14:paraId="6796053F" w14:textId="77777777" w:rsidR="0066043F" w:rsidRPr="002217AD" w:rsidRDefault="0066043F" w:rsidP="005B3FB9">
            <w:pPr>
              <w:spacing w:before="240"/>
              <w:jc w:val="both"/>
            </w:pPr>
            <w:r>
              <w:rPr>
                <w:b/>
              </w:rPr>
              <w:t xml:space="preserve">Artikel 8. </w:t>
            </w:r>
            <w:r>
              <w:t>I samma lag ska artikel 24 ersättas med följande:</w:t>
            </w:r>
          </w:p>
        </w:tc>
      </w:tr>
      <w:tr w:rsidR="0066043F" w:rsidRPr="0071317A" w14:paraId="5016A177" w14:textId="77777777" w:rsidTr="0066043F">
        <w:tc>
          <w:tcPr>
            <w:tcW w:w="5000" w:type="pct"/>
          </w:tcPr>
          <w:p w14:paraId="184FFFD7" w14:textId="77777777" w:rsidR="0066043F" w:rsidRPr="0071317A" w:rsidRDefault="0066043F" w:rsidP="005B3FB9">
            <w:pPr>
              <w:spacing w:before="240"/>
              <w:jc w:val="both"/>
            </w:pPr>
            <w:r>
              <w:t>”Artikel 24. 1 §. För att stärka spelarskyddet ska kommissionen minst en gång om året sammanträda med licenstagarnas företrädare för att ta del av operatörernas perspektiv och initiativ när det gäller beteendeberoende och skuld och de resurser de avsätter för detta.</w:t>
            </w:r>
          </w:p>
        </w:tc>
      </w:tr>
      <w:tr w:rsidR="0066043F" w:rsidRPr="002217AD" w14:paraId="3802F96C" w14:textId="77777777" w:rsidTr="0066043F">
        <w:tc>
          <w:tcPr>
            <w:tcW w:w="5000" w:type="pct"/>
          </w:tcPr>
          <w:p w14:paraId="0F3D26B7" w14:textId="77777777" w:rsidR="0066043F" w:rsidRPr="002217AD" w:rsidRDefault="0066043F" w:rsidP="005B3FB9">
            <w:pPr>
              <w:spacing w:before="240"/>
              <w:jc w:val="both"/>
            </w:pPr>
            <w:r>
              <w:t>Denna information ska lämnas i den rapport som avses i artikel 16.</w:t>
            </w:r>
          </w:p>
        </w:tc>
      </w:tr>
      <w:tr w:rsidR="0066043F" w:rsidRPr="002217AD" w14:paraId="34AF8C82" w14:textId="77777777" w:rsidTr="0066043F">
        <w:tc>
          <w:tcPr>
            <w:tcW w:w="5000" w:type="pct"/>
          </w:tcPr>
          <w:p w14:paraId="65276DE3" w14:textId="77777777" w:rsidR="0066043F" w:rsidRPr="002217AD" w:rsidRDefault="0066043F" w:rsidP="005B3FB9">
            <w:pPr>
              <w:spacing w:before="240"/>
              <w:jc w:val="both"/>
            </w:pPr>
            <w:r>
              <w:t>2 §. I frågor som omfattas av kommissionens behörighet får kommissionen, efter samråd med Federala folkhälsoministeriet (</w:t>
            </w:r>
            <w:r>
              <w:rPr>
                <w:i/>
                <w:iCs/>
              </w:rPr>
              <w:t xml:space="preserve">Service </w:t>
            </w:r>
            <w:proofErr w:type="spellStart"/>
            <w:r>
              <w:rPr>
                <w:i/>
                <w:iCs/>
              </w:rPr>
              <w:t>publique</w:t>
            </w:r>
            <w:proofErr w:type="spellEnd"/>
            <w:r>
              <w:rPr>
                <w:i/>
                <w:iCs/>
              </w:rPr>
              <w:t xml:space="preserve"> </w:t>
            </w:r>
            <w:proofErr w:type="spellStart"/>
            <w:r>
              <w:rPr>
                <w:i/>
                <w:iCs/>
              </w:rPr>
              <w:t>fédéral</w:t>
            </w:r>
            <w:proofErr w:type="spellEnd"/>
            <w:r>
              <w:rPr>
                <w:i/>
                <w:iCs/>
              </w:rPr>
              <w:t xml:space="preserve"> </w:t>
            </w:r>
            <w:proofErr w:type="spellStart"/>
            <w:r>
              <w:rPr>
                <w:i/>
                <w:iCs/>
              </w:rPr>
              <w:t>Santé</w:t>
            </w:r>
            <w:proofErr w:type="spellEnd"/>
            <w:r>
              <w:rPr>
                <w:i/>
                <w:iCs/>
              </w:rPr>
              <w:t xml:space="preserve"> </w:t>
            </w:r>
            <w:proofErr w:type="spellStart"/>
            <w:r>
              <w:rPr>
                <w:i/>
                <w:iCs/>
              </w:rPr>
              <w:t>publique</w:t>
            </w:r>
            <w:proofErr w:type="spellEnd"/>
            <w:r>
              <w:t>), utarbeta gemensamma protokoll för tekniskt och praktiskt genomförande av lagar och andra författningar.</w:t>
            </w:r>
          </w:p>
        </w:tc>
      </w:tr>
      <w:tr w:rsidR="0066043F" w:rsidRPr="002217AD" w14:paraId="2FB6DE2D" w14:textId="77777777" w:rsidTr="0066043F">
        <w:tc>
          <w:tcPr>
            <w:tcW w:w="5000" w:type="pct"/>
          </w:tcPr>
          <w:p w14:paraId="4DAE3868" w14:textId="77777777" w:rsidR="0066043F" w:rsidRPr="002217AD" w:rsidRDefault="0066043F" w:rsidP="005B3FB9">
            <w:pPr>
              <w:spacing w:before="240"/>
              <w:jc w:val="both"/>
            </w:pPr>
            <w:r>
              <w:t>Om Federala folkhälsoministeriet inom en 30-dagarsperiod inte skickar kommissionen något meddelande eller begäran om att förlänga perioden till 60 dagar, ska förfarandet fortsätta utan yttrande.</w:t>
            </w:r>
          </w:p>
        </w:tc>
      </w:tr>
      <w:tr w:rsidR="0066043F" w:rsidRPr="002217AD" w14:paraId="71232CCD" w14:textId="77777777" w:rsidTr="0066043F">
        <w:tc>
          <w:tcPr>
            <w:tcW w:w="5000" w:type="pct"/>
          </w:tcPr>
          <w:p w14:paraId="15762982" w14:textId="77777777" w:rsidR="0066043F" w:rsidRPr="002217AD" w:rsidRDefault="0066043F" w:rsidP="005B3FB9">
            <w:pPr>
              <w:spacing w:before="240"/>
              <w:jc w:val="both"/>
            </w:pPr>
            <w:r>
              <w:t>Kommissionen ska offentliggöra dessa protokoll i Belgiens officiella tidning (</w:t>
            </w:r>
            <w:r>
              <w:rPr>
                <w:rStyle w:val="Italic"/>
              </w:rPr>
              <w:t xml:space="preserve">Le </w:t>
            </w:r>
            <w:proofErr w:type="spellStart"/>
            <w:r>
              <w:rPr>
                <w:rStyle w:val="Italic"/>
              </w:rPr>
              <w:t>Moniteur</w:t>
            </w:r>
            <w:proofErr w:type="spellEnd"/>
            <w:r>
              <w:rPr>
                <w:rStyle w:val="Italic"/>
              </w:rPr>
              <w:t xml:space="preserve"> </w:t>
            </w:r>
            <w:proofErr w:type="spellStart"/>
            <w:r>
              <w:rPr>
                <w:rStyle w:val="Italic"/>
              </w:rPr>
              <w:t>belge</w:t>
            </w:r>
            <w:proofErr w:type="spellEnd"/>
            <w:r>
              <w:t>).”.</w:t>
            </w:r>
          </w:p>
        </w:tc>
      </w:tr>
      <w:tr w:rsidR="0066043F" w:rsidRPr="002217AD" w14:paraId="155B7AA7" w14:textId="77777777" w:rsidTr="0066043F">
        <w:tc>
          <w:tcPr>
            <w:tcW w:w="5000" w:type="pct"/>
          </w:tcPr>
          <w:p w14:paraId="6D7AA6BC" w14:textId="77777777" w:rsidR="0066043F" w:rsidRPr="002217AD" w:rsidRDefault="0066043F" w:rsidP="005B3FB9">
            <w:pPr>
              <w:spacing w:before="240"/>
              <w:jc w:val="both"/>
            </w:pPr>
            <w:r>
              <w:rPr>
                <w:b/>
              </w:rPr>
              <w:t>Artikel 9.</w:t>
            </w:r>
            <w:r>
              <w:t xml:space="preserve"> Artikel 42/1 ska införas i samma lag med följande lydelse:</w:t>
            </w:r>
          </w:p>
        </w:tc>
      </w:tr>
      <w:tr w:rsidR="0066043F" w:rsidRPr="002217AD" w14:paraId="6627EF06" w14:textId="77777777" w:rsidTr="0066043F">
        <w:tc>
          <w:tcPr>
            <w:tcW w:w="5000" w:type="pct"/>
          </w:tcPr>
          <w:p w14:paraId="717D11FC" w14:textId="77777777" w:rsidR="0066043F" w:rsidRPr="002217AD" w:rsidRDefault="0066043F" w:rsidP="005B3FB9">
            <w:pPr>
              <w:spacing w:before="240"/>
              <w:jc w:val="both"/>
            </w:pPr>
            <w:r>
              <w:t>”Artikel 42/1. För att förbli innehavare av ett körkort av klass C måste sökanden fortsätta att uppfylla villkoren i artiklarna 41 och 42.”.</w:t>
            </w:r>
          </w:p>
        </w:tc>
      </w:tr>
      <w:tr w:rsidR="0066043F" w:rsidRPr="002217AD" w14:paraId="7EDAD023" w14:textId="77777777" w:rsidTr="0066043F">
        <w:tc>
          <w:tcPr>
            <w:tcW w:w="5000" w:type="pct"/>
          </w:tcPr>
          <w:p w14:paraId="2509AA66" w14:textId="77777777" w:rsidR="0066043F" w:rsidRPr="002217AD" w:rsidRDefault="0066043F" w:rsidP="005B3FB9">
            <w:pPr>
              <w:spacing w:before="240"/>
              <w:jc w:val="both"/>
            </w:pPr>
            <w:r>
              <w:rPr>
                <w:b/>
              </w:rPr>
              <w:lastRenderedPageBreak/>
              <w:t>Artikel 10.</w:t>
            </w:r>
            <w:r>
              <w:t xml:space="preserve"> I artikel 43/1.1 i samma lag, som infördes genom lagen av den 10 januari 2010 och ändrades genom lagen av den 7 maj 2019, ska ordet ”minderåriga” ersättas med orden ”personer under 21 år”.</w:t>
            </w:r>
          </w:p>
        </w:tc>
      </w:tr>
      <w:tr w:rsidR="0066043F" w:rsidRPr="00CF6D43" w14:paraId="7859C208" w14:textId="77777777" w:rsidTr="0066043F">
        <w:tc>
          <w:tcPr>
            <w:tcW w:w="5000" w:type="pct"/>
          </w:tcPr>
          <w:p w14:paraId="2B6FBAB0" w14:textId="77777777" w:rsidR="0066043F" w:rsidRPr="00CF6D43" w:rsidRDefault="0066043F" w:rsidP="005B3FB9">
            <w:pPr>
              <w:spacing w:before="240"/>
              <w:jc w:val="both"/>
            </w:pPr>
            <w:r>
              <w:rPr>
                <w:b/>
              </w:rPr>
              <w:t xml:space="preserve">Artikel 11. </w:t>
            </w:r>
            <w:r>
              <w:t>I artikel 43/8 i samma lag, som infördes genom lagen av den 10 januari 2010 och ändrades genom lagarna av den 7 maj 2019 och den 28 november 2021, ska följande ändringar göras:</w:t>
            </w:r>
          </w:p>
        </w:tc>
      </w:tr>
      <w:tr w:rsidR="0066043F" w:rsidRPr="006D2041" w14:paraId="0C7EB156" w14:textId="77777777" w:rsidTr="0066043F">
        <w:tc>
          <w:tcPr>
            <w:tcW w:w="5000" w:type="pct"/>
          </w:tcPr>
          <w:p w14:paraId="2675B3C7" w14:textId="77777777" w:rsidR="0066043F" w:rsidRPr="006D2041" w:rsidRDefault="0066043F" w:rsidP="005B3FB9">
            <w:pPr>
              <w:spacing w:before="240"/>
              <w:jc w:val="both"/>
              <w:rPr>
                <w:b/>
                <w:bCs/>
              </w:rPr>
            </w:pPr>
            <w:r>
              <w:t>1) I paragraf 2.1 ska led e upphöra att gälla,</w:t>
            </w:r>
          </w:p>
        </w:tc>
      </w:tr>
      <w:tr w:rsidR="0066043F" w:rsidRPr="00F11721" w14:paraId="29535F32" w14:textId="77777777" w:rsidTr="0066043F">
        <w:tc>
          <w:tcPr>
            <w:tcW w:w="5000" w:type="pct"/>
          </w:tcPr>
          <w:p w14:paraId="7365F420" w14:textId="77777777" w:rsidR="0066043F" w:rsidRPr="00F11721" w:rsidRDefault="0066043F" w:rsidP="005B3FB9">
            <w:pPr>
              <w:spacing w:before="240"/>
              <w:jc w:val="both"/>
            </w:pPr>
            <w:r>
              <w:t>2) Punkt 4 ska kompletteras med tre stycken med följande lydelse:</w:t>
            </w:r>
          </w:p>
        </w:tc>
      </w:tr>
      <w:tr w:rsidR="0066043F" w:rsidRPr="00F11721" w14:paraId="5405EA78" w14:textId="77777777" w:rsidTr="0066043F">
        <w:tc>
          <w:tcPr>
            <w:tcW w:w="5000" w:type="pct"/>
          </w:tcPr>
          <w:p w14:paraId="7E77C678" w14:textId="77777777" w:rsidR="0066043F" w:rsidRPr="00F11721" w:rsidRDefault="0066043F" w:rsidP="005B3FB9">
            <w:pPr>
              <w:spacing w:before="240"/>
              <w:jc w:val="both"/>
              <w:rPr>
                <w:b/>
                <w:bCs/>
              </w:rPr>
            </w:pPr>
            <w:r>
              <w:t>”Kommissionen ska också föra en uppdaterad förteckning över de webbadresser till speloperatörers webbplatser som den finner erbjuda hasardspel i Belgien utan innehav av licens som den har beviljat för detta ändamål via informationssamhällets verktyg. Uppdateringarna av denna förteckning ska offentliggöras i Belgiens officiella tidning (</w:t>
            </w:r>
            <w:r>
              <w:rPr>
                <w:rStyle w:val="Italic"/>
              </w:rPr>
              <w:t xml:space="preserve">Le </w:t>
            </w:r>
            <w:proofErr w:type="spellStart"/>
            <w:r>
              <w:rPr>
                <w:rStyle w:val="Italic"/>
              </w:rPr>
              <w:t>Moniteur</w:t>
            </w:r>
            <w:proofErr w:type="spellEnd"/>
            <w:r>
              <w:rPr>
                <w:rStyle w:val="Italic"/>
              </w:rPr>
              <w:t xml:space="preserve"> </w:t>
            </w:r>
            <w:proofErr w:type="spellStart"/>
            <w:r>
              <w:rPr>
                <w:rStyle w:val="Italic"/>
              </w:rPr>
              <w:t>belge</w:t>
            </w:r>
            <w:proofErr w:type="spellEnd"/>
            <w:r>
              <w:t>).</w:t>
            </w:r>
          </w:p>
        </w:tc>
      </w:tr>
      <w:tr w:rsidR="0066043F" w:rsidRPr="00F11721" w14:paraId="77C2730F" w14:textId="77777777" w:rsidTr="0066043F">
        <w:tc>
          <w:tcPr>
            <w:tcW w:w="5000" w:type="pct"/>
          </w:tcPr>
          <w:p w14:paraId="0200E79F" w14:textId="77777777" w:rsidR="0066043F" w:rsidRPr="00F11721" w:rsidRDefault="0066043F" w:rsidP="005B3FB9">
            <w:pPr>
              <w:spacing w:before="240"/>
              <w:jc w:val="both"/>
            </w:pPr>
            <w:r>
              <w:t>Webbadresser i den förteckning som avses i punkt 2 ska överföras till internetleverantörer i enlighet med lagen av den 13 juni 2005 om elektronisk kommunikation så att de kan blockera åtkomsten till dem så snart som möjligt.</w:t>
            </w:r>
          </w:p>
        </w:tc>
      </w:tr>
      <w:tr w:rsidR="0066043F" w:rsidRPr="00F11721" w14:paraId="1560EB92" w14:textId="77777777" w:rsidTr="0066043F">
        <w:tc>
          <w:tcPr>
            <w:tcW w:w="5000" w:type="pct"/>
          </w:tcPr>
          <w:p w14:paraId="79C4FE69" w14:textId="77777777" w:rsidR="0066043F" w:rsidRPr="00F11721" w:rsidRDefault="0066043F" w:rsidP="005B3FB9">
            <w:pPr>
              <w:spacing w:before="240"/>
              <w:jc w:val="both"/>
            </w:pPr>
            <w:r>
              <w:t>Kungen får fastställa andra arrangemang för den förteckning som avses i andra stycket.”.</w:t>
            </w:r>
          </w:p>
        </w:tc>
      </w:tr>
      <w:tr w:rsidR="0066043F" w14:paraId="47873ADD" w14:textId="77777777" w:rsidTr="0066043F">
        <w:tc>
          <w:tcPr>
            <w:tcW w:w="5000" w:type="pct"/>
          </w:tcPr>
          <w:p w14:paraId="423A0965" w14:textId="77777777" w:rsidR="0066043F" w:rsidRDefault="0066043F" w:rsidP="005B3FB9">
            <w:pPr>
              <w:spacing w:before="240"/>
              <w:jc w:val="both"/>
            </w:pPr>
            <w:r>
              <w:rPr>
                <w:b/>
              </w:rPr>
              <w:t xml:space="preserve">Artikel 12. </w:t>
            </w:r>
            <w:r>
              <w:t>I artikel 44 i samma lag, i dess ändrade lydelse enligt lagen av den 10 januari 2010, ska följande ändringar göras:</w:t>
            </w:r>
          </w:p>
        </w:tc>
      </w:tr>
      <w:tr w:rsidR="0066043F" w14:paraId="10659864" w14:textId="77777777" w:rsidTr="0066043F">
        <w:tc>
          <w:tcPr>
            <w:tcW w:w="5000" w:type="pct"/>
          </w:tcPr>
          <w:p w14:paraId="29E9FB97" w14:textId="77777777" w:rsidR="0066043F" w:rsidRDefault="0066043F" w:rsidP="005B3FB9">
            <w:pPr>
              <w:spacing w:before="240"/>
              <w:jc w:val="both"/>
            </w:pPr>
            <w:r>
              <w:t>1) Orden ”och permanent vara försedda med det identitetskort som styrker innehavet av licensen” ska ersättas med orden ”och har permanent bevis på detta.”.</w:t>
            </w:r>
          </w:p>
        </w:tc>
      </w:tr>
      <w:tr w:rsidR="0066043F" w14:paraId="5833A6E3" w14:textId="77777777" w:rsidTr="0066043F">
        <w:tc>
          <w:tcPr>
            <w:tcW w:w="5000" w:type="pct"/>
          </w:tcPr>
          <w:p w14:paraId="2493E136" w14:textId="77777777" w:rsidR="0066043F" w:rsidRDefault="0066043F" w:rsidP="005B3FB9">
            <w:pPr>
              <w:spacing w:before="240"/>
              <w:jc w:val="both"/>
            </w:pPr>
            <w:r>
              <w:t>2) I den nederländska texten ska orden “</w:t>
            </w:r>
            <w:r>
              <w:rPr>
                <w:i/>
                <w:iCs/>
              </w:rPr>
              <w:t xml:space="preserve">in de </w:t>
            </w:r>
            <w:proofErr w:type="spellStart"/>
            <w:r>
              <w:rPr>
                <w:i/>
                <w:iCs/>
              </w:rPr>
              <w:t>vorm</w:t>
            </w:r>
            <w:proofErr w:type="spellEnd"/>
            <w:r>
              <w:rPr>
                <w:i/>
                <w:iCs/>
              </w:rPr>
              <w:t xml:space="preserve"> van </w:t>
            </w:r>
            <w:proofErr w:type="spellStart"/>
            <w:r>
              <w:rPr>
                <w:i/>
                <w:iCs/>
              </w:rPr>
              <w:t>een</w:t>
            </w:r>
            <w:proofErr w:type="spellEnd"/>
            <w:r>
              <w:rPr>
                <w:i/>
                <w:iCs/>
              </w:rPr>
              <w:t xml:space="preserve"> </w:t>
            </w:r>
            <w:proofErr w:type="spellStart"/>
            <w:r>
              <w:rPr>
                <w:i/>
                <w:iCs/>
              </w:rPr>
              <w:t>identificatiekaart</w:t>
            </w:r>
            <w:proofErr w:type="spellEnd"/>
            <w:r>
              <w:rPr>
                <w:i/>
                <w:iCs/>
              </w:rPr>
              <w:t>,</w:t>
            </w:r>
            <w:r>
              <w:t>” utgå.</w:t>
            </w:r>
          </w:p>
        </w:tc>
      </w:tr>
      <w:tr w:rsidR="0066043F" w14:paraId="2EB820C8" w14:textId="77777777" w:rsidTr="0066043F">
        <w:tc>
          <w:tcPr>
            <w:tcW w:w="5000" w:type="pct"/>
          </w:tcPr>
          <w:p w14:paraId="50963D3D" w14:textId="77777777" w:rsidR="0066043F" w:rsidRDefault="0066043F" w:rsidP="005B3FB9">
            <w:pPr>
              <w:spacing w:before="240"/>
              <w:jc w:val="both"/>
            </w:pPr>
            <w:r>
              <w:rPr>
                <w:b/>
              </w:rPr>
              <w:t>Artikel 13.</w:t>
            </w:r>
            <w:r>
              <w:t xml:space="preserve"> I artikel 47.1 i denna lag ska orden ”och det medföljande identitetskortet” utgå.</w:t>
            </w:r>
          </w:p>
        </w:tc>
      </w:tr>
      <w:tr w:rsidR="0066043F" w14:paraId="5161D6F3" w14:textId="77777777" w:rsidTr="0066043F">
        <w:tc>
          <w:tcPr>
            <w:tcW w:w="5000" w:type="pct"/>
          </w:tcPr>
          <w:p w14:paraId="68CE6767" w14:textId="77777777" w:rsidR="0066043F" w:rsidRDefault="0066043F" w:rsidP="005B3FB9">
            <w:pPr>
              <w:spacing w:before="240"/>
              <w:jc w:val="both"/>
            </w:pPr>
            <w:r>
              <w:rPr>
                <w:b/>
              </w:rPr>
              <w:t xml:space="preserve">Artikel 14. </w:t>
            </w:r>
            <w:r>
              <w:t>I artikel 54.3 i denna lag, i dess ändrade lydelse enligt lagarna av den 10 januari 2010 och den 17 mars 2013, ska följande ändringar göras:</w:t>
            </w:r>
          </w:p>
        </w:tc>
      </w:tr>
      <w:tr w:rsidR="0066043F" w14:paraId="16375213" w14:textId="77777777" w:rsidTr="0066043F">
        <w:tc>
          <w:tcPr>
            <w:tcW w:w="5000" w:type="pct"/>
          </w:tcPr>
          <w:p w14:paraId="317FFDC6" w14:textId="77777777" w:rsidR="0066043F" w:rsidRDefault="0066043F" w:rsidP="005B3FB9">
            <w:pPr>
              <w:spacing w:before="240"/>
              <w:jc w:val="both"/>
            </w:pPr>
            <w:r>
              <w:t xml:space="preserve">1) Den inledande meningen ska ersättas med följande: </w:t>
            </w:r>
          </w:p>
        </w:tc>
      </w:tr>
      <w:tr w:rsidR="0066043F" w14:paraId="36C48A6D" w14:textId="77777777" w:rsidTr="0066043F">
        <w:tc>
          <w:tcPr>
            <w:tcW w:w="5000" w:type="pct"/>
          </w:tcPr>
          <w:p w14:paraId="63545EC5" w14:textId="77777777" w:rsidR="0066043F" w:rsidRDefault="0066043F" w:rsidP="005B3FB9">
            <w:pPr>
              <w:spacing w:before="240"/>
              <w:jc w:val="both"/>
            </w:pPr>
            <w:r>
              <w:t>”Innehavare av licenser av klass A, A+, B, B+, F1+ och F2 ska förbjuda tillträde till spelhallar i spelinrättningar i klass I och II eller till spelinrättningar i klass IV, deltagande i vadhållning utanför spelinrättningar i klass IV och hasardspel med hjälp av informationssamhällets instrument för följande personer som beträder spelhallar i spelinrättningar eller önskar delta i hasardspel, med undantag för personer som beträder spelhallar för yrkesmässiga ändamål, för vilka kommissionen har förbjudit tillträde:”.</w:t>
            </w:r>
          </w:p>
        </w:tc>
      </w:tr>
      <w:tr w:rsidR="0066043F" w14:paraId="59A4CA34" w14:textId="77777777" w:rsidTr="0066043F">
        <w:tc>
          <w:tcPr>
            <w:tcW w:w="5000" w:type="pct"/>
          </w:tcPr>
          <w:p w14:paraId="2CFF4FCA" w14:textId="77777777" w:rsidR="0066043F" w:rsidRDefault="0066043F" w:rsidP="005B3FB9">
            <w:pPr>
              <w:spacing w:before="240"/>
              <w:jc w:val="both"/>
            </w:pPr>
            <w:r>
              <w:t>2) 4 ska ersättas med följande:</w:t>
            </w:r>
          </w:p>
        </w:tc>
      </w:tr>
      <w:tr w:rsidR="0066043F" w14:paraId="458A6E54" w14:textId="77777777" w:rsidTr="0066043F">
        <w:tc>
          <w:tcPr>
            <w:tcW w:w="5000" w:type="pct"/>
          </w:tcPr>
          <w:p w14:paraId="21EE1438" w14:textId="77777777" w:rsidR="0066043F" w:rsidRDefault="0066043F" w:rsidP="005B3FB9">
            <w:pPr>
              <w:spacing w:before="240"/>
              <w:jc w:val="both"/>
            </w:pPr>
            <w:r>
              <w:t>”4. Personer som har problem med spelberoende och för vilka kommissionen, på begäran av en berörd part, har gjort en uteslutning.”</w:t>
            </w:r>
          </w:p>
        </w:tc>
      </w:tr>
      <w:tr w:rsidR="0066043F" w14:paraId="16DED9C1" w14:textId="77777777" w:rsidTr="0066043F">
        <w:tc>
          <w:tcPr>
            <w:tcW w:w="5000" w:type="pct"/>
          </w:tcPr>
          <w:p w14:paraId="6AB75904" w14:textId="77777777" w:rsidR="0066043F" w:rsidRDefault="0066043F" w:rsidP="005B3FB9">
            <w:pPr>
              <w:spacing w:before="240"/>
              <w:jc w:val="both"/>
            </w:pPr>
            <w:r>
              <w:rPr>
                <w:b/>
              </w:rPr>
              <w:t xml:space="preserve">Artikel 15. </w:t>
            </w:r>
            <w:r>
              <w:t>Artikel 54/1, som har följande lydelse, ska införas i samma lag:</w:t>
            </w:r>
          </w:p>
        </w:tc>
      </w:tr>
      <w:tr w:rsidR="0066043F" w14:paraId="09AA8F4A" w14:textId="77777777" w:rsidTr="0066043F">
        <w:tc>
          <w:tcPr>
            <w:tcW w:w="5000" w:type="pct"/>
          </w:tcPr>
          <w:p w14:paraId="7E5478C8" w14:textId="77777777" w:rsidR="0066043F" w:rsidRDefault="0066043F" w:rsidP="005B3FB9">
            <w:pPr>
              <w:spacing w:before="240"/>
              <w:jc w:val="both"/>
            </w:pPr>
            <w:r>
              <w:lastRenderedPageBreak/>
              <w:t>”Artikel 54/1. 1 §. Innehavare av licenser av klass A, A+, B, B+, F1+ och F2, med undantag av de F2-licenser som avses i artikel 43/4.5.1, är skyldiga att identifiera alla personer som beträder spelinrättningens spelhallar eller som vill delta i hasardspel, med undantag för personer som beträder spelhallarna för yrkesmässiga ändamål.</w:t>
            </w:r>
          </w:p>
        </w:tc>
      </w:tr>
      <w:tr w:rsidR="0066043F" w14:paraId="2E15C5A6" w14:textId="77777777" w:rsidTr="0066043F">
        <w:tc>
          <w:tcPr>
            <w:tcW w:w="5000" w:type="pct"/>
          </w:tcPr>
          <w:p w14:paraId="6F47BC75" w14:textId="77777777" w:rsidR="0066043F" w:rsidRDefault="0066043F" w:rsidP="005B3FB9">
            <w:pPr>
              <w:spacing w:before="240"/>
              <w:jc w:val="both"/>
            </w:pPr>
            <w:r>
              <w:t>Syftet med denna identifiering är att</w:t>
            </w:r>
          </w:p>
        </w:tc>
      </w:tr>
      <w:tr w:rsidR="0066043F" w14:paraId="49C9CBB4" w14:textId="77777777" w:rsidTr="0066043F">
        <w:tc>
          <w:tcPr>
            <w:tcW w:w="5000" w:type="pct"/>
          </w:tcPr>
          <w:p w14:paraId="144C2F93" w14:textId="77777777" w:rsidR="0066043F" w:rsidRDefault="0066043F" w:rsidP="005B3FB9">
            <w:pPr>
              <w:spacing w:before="240"/>
              <w:jc w:val="both"/>
            </w:pPr>
            <w:r>
              <w:t>1) kontrollera om den uppvisade identitetshandlingen tillhör den person som avses i första stycket och som visar upp den,</w:t>
            </w:r>
          </w:p>
        </w:tc>
      </w:tr>
      <w:tr w:rsidR="0066043F" w14:paraId="442B50B4" w14:textId="77777777" w:rsidTr="0066043F">
        <w:tc>
          <w:tcPr>
            <w:tcW w:w="5000" w:type="pct"/>
          </w:tcPr>
          <w:p w14:paraId="5D98A629" w14:textId="77777777" w:rsidR="0066043F" w:rsidRDefault="0066043F" w:rsidP="005B3FB9">
            <w:pPr>
              <w:spacing w:before="240"/>
              <w:jc w:val="both"/>
            </w:pPr>
            <w:r>
              <w:t>2) kontrollera om den person som avses i första stycket är behörig att få tillträde till spelhallen i spelinrättningen eller att delta i hasardspel i enlighet med artikel 54.1–54.4.</w:t>
            </w:r>
          </w:p>
        </w:tc>
      </w:tr>
      <w:tr w:rsidR="0066043F" w14:paraId="145284B1" w14:textId="77777777" w:rsidTr="0066043F">
        <w:tc>
          <w:tcPr>
            <w:tcW w:w="5000" w:type="pct"/>
          </w:tcPr>
          <w:p w14:paraId="4CC3F31D" w14:textId="77777777" w:rsidR="0066043F" w:rsidRDefault="0066043F" w:rsidP="005B3FB9">
            <w:pPr>
              <w:spacing w:before="240"/>
              <w:jc w:val="both"/>
            </w:pPr>
            <w:r>
              <w:t>Om det råder tvivel om riktigheten eller riktigheten i identifieringen av personen ska licenstagaren förbjuda tillträde till spelinrättningens spelhall eller deltagande i hasardspel.</w:t>
            </w:r>
          </w:p>
        </w:tc>
      </w:tr>
      <w:tr w:rsidR="0066043F" w14:paraId="285A2EBE" w14:textId="77777777" w:rsidTr="0066043F">
        <w:tc>
          <w:tcPr>
            <w:tcW w:w="5000" w:type="pct"/>
          </w:tcPr>
          <w:p w14:paraId="3CB93605" w14:textId="77777777" w:rsidR="0066043F" w:rsidRDefault="0066043F" w:rsidP="005B3FB9">
            <w:pPr>
              <w:spacing w:before="240"/>
              <w:jc w:val="both"/>
            </w:pPr>
            <w:r>
              <w:t>2 §. För den identifiering som avses i punkt 1 ska de giltiga identitetshandlingar och uppehållshandlingar som tas emot vara följande:</w:t>
            </w:r>
          </w:p>
        </w:tc>
      </w:tr>
      <w:tr w:rsidR="0066043F" w14:paraId="2B5E0ECB" w14:textId="77777777" w:rsidTr="0066043F">
        <w:tc>
          <w:tcPr>
            <w:tcW w:w="5000" w:type="pct"/>
          </w:tcPr>
          <w:p w14:paraId="26BFE918" w14:textId="77777777" w:rsidR="0066043F" w:rsidRDefault="0066043F" w:rsidP="005B3FB9">
            <w:pPr>
              <w:spacing w:before="240"/>
              <w:jc w:val="both"/>
            </w:pPr>
            <w:r>
              <w:t>1) det belgiska elektroniska identitetskortet,</w:t>
            </w:r>
          </w:p>
        </w:tc>
      </w:tr>
      <w:tr w:rsidR="0066043F" w14:paraId="529C39F1" w14:textId="77777777" w:rsidTr="0066043F">
        <w:tc>
          <w:tcPr>
            <w:tcW w:w="5000" w:type="pct"/>
          </w:tcPr>
          <w:p w14:paraId="526A49C0" w14:textId="77777777" w:rsidR="0066043F" w:rsidRDefault="0066043F" w:rsidP="005B3FB9">
            <w:pPr>
              <w:spacing w:before="240"/>
              <w:jc w:val="both"/>
            </w:pPr>
            <w:r>
              <w:t>2) ett elektroniskt uppehållstillstånd eller ett elektroniskt registreringsbevis,</w:t>
            </w:r>
          </w:p>
        </w:tc>
      </w:tr>
      <w:tr w:rsidR="0066043F" w14:paraId="7D7DA545" w14:textId="77777777" w:rsidTr="0066043F">
        <w:tc>
          <w:tcPr>
            <w:tcW w:w="5000" w:type="pct"/>
          </w:tcPr>
          <w:p w14:paraId="4E67C1AB" w14:textId="77777777" w:rsidR="0066043F" w:rsidRDefault="0066043F" w:rsidP="005B3FB9">
            <w:pPr>
              <w:spacing w:before="240"/>
              <w:jc w:val="both"/>
            </w:pPr>
            <w:r>
              <w:t>3) ett utländskt identitetskort med chip,</w:t>
            </w:r>
          </w:p>
        </w:tc>
      </w:tr>
      <w:tr w:rsidR="0066043F" w14:paraId="4BF6B337" w14:textId="77777777" w:rsidTr="0066043F">
        <w:tc>
          <w:tcPr>
            <w:tcW w:w="5000" w:type="pct"/>
          </w:tcPr>
          <w:p w14:paraId="583A3456" w14:textId="77777777" w:rsidR="0066043F" w:rsidRDefault="0066043F" w:rsidP="005B3FB9">
            <w:pPr>
              <w:spacing w:before="240"/>
              <w:jc w:val="both"/>
            </w:pPr>
            <w:r>
              <w:t>4) särskilda elektroniska identitetskort som utfärdas till personalkategorier som arbetar vid diplomatiska och konsulära beskickningar och till deras familjemedlemmar i enlighet med Wienkonventionen av den 18 april 1961 om diplomatiska förbindelser och Wienkonventionen av den 24 april 1963 om konsulära förbindelser och den kungliga förordningen av den 30 oktober 1991 om vissa utländska medborgares uppehållshandlingar i Belgien,</w:t>
            </w:r>
          </w:p>
        </w:tc>
      </w:tr>
      <w:tr w:rsidR="0066043F" w14:paraId="65A0A0E7" w14:textId="77777777" w:rsidTr="0066043F">
        <w:tc>
          <w:tcPr>
            <w:tcW w:w="5000" w:type="pct"/>
          </w:tcPr>
          <w:p w14:paraId="52461501" w14:textId="77777777" w:rsidR="0066043F" w:rsidRDefault="0066043F" w:rsidP="005B3FB9">
            <w:pPr>
              <w:spacing w:before="240"/>
              <w:jc w:val="both"/>
            </w:pPr>
            <w:r>
              <w:t>5) varje annan handling som fastställs av kungen, förutsatt att den kungliga förordningen bekräftas genom lag inom sex månader efter offentliggörandet av förordningen.</w:t>
            </w:r>
          </w:p>
        </w:tc>
      </w:tr>
      <w:tr w:rsidR="0066043F" w14:paraId="48A8DB24" w14:textId="77777777" w:rsidTr="0066043F">
        <w:tc>
          <w:tcPr>
            <w:tcW w:w="5000" w:type="pct"/>
          </w:tcPr>
          <w:p w14:paraId="5E499A14" w14:textId="77777777" w:rsidR="0066043F" w:rsidRDefault="0066043F" w:rsidP="005B3FB9">
            <w:pPr>
              <w:spacing w:before="240"/>
              <w:jc w:val="both"/>
            </w:pPr>
            <w:r>
              <w:t>Vid tillämpning av punkt 1.2 ska den person som avses i punkt 1.1 autentiseras i EPIS med hjälp av modulen för e-legitimation för de dokument som avses i första stycket eller genom identifiering som uppfyller kraven på en väsentlig eller hög garantinivå enligt definitionen i punkt 2.2 i bilagan till kommissionens genomförandeförordning (EU) 2015/1502 av den 8 september 2015 om fastställande av tekniska minimispecifikationer och förfaranden för tillitsnivåer för medel för elektronisk identifiering i enlighet med artikel 8.3 i Europaparlamentets och rådets förordning (EU) nr 910/2014 om elektronisk identifiering och betrodda tjänster för elektroniska transaktioner på den inre marknaden.</w:t>
            </w:r>
          </w:p>
        </w:tc>
      </w:tr>
      <w:tr w:rsidR="0066043F" w14:paraId="3F5078AD" w14:textId="77777777" w:rsidTr="0066043F">
        <w:tc>
          <w:tcPr>
            <w:tcW w:w="5000" w:type="pct"/>
          </w:tcPr>
          <w:p w14:paraId="10EBC0CF" w14:textId="77777777" w:rsidR="0066043F" w:rsidRDefault="0066043F" w:rsidP="005B3FB9">
            <w:pPr>
              <w:spacing w:before="240"/>
              <w:jc w:val="both"/>
            </w:pPr>
            <w:r>
              <w:t>Om identifiering och autentisering på det sätt som avses i första och andra stycket inte är tekniskt möjlig får endast följande giltiga handlingar godtas:</w:t>
            </w:r>
          </w:p>
        </w:tc>
      </w:tr>
      <w:tr w:rsidR="0066043F" w14:paraId="5F2E05B4" w14:textId="77777777" w:rsidTr="0066043F">
        <w:tc>
          <w:tcPr>
            <w:tcW w:w="5000" w:type="pct"/>
          </w:tcPr>
          <w:p w14:paraId="0D325686" w14:textId="77777777" w:rsidR="0066043F" w:rsidRDefault="0066043F" w:rsidP="005B3FB9">
            <w:pPr>
              <w:spacing w:before="240"/>
              <w:jc w:val="both"/>
            </w:pPr>
            <w:r>
              <w:t>1) ett erkänt pass eller motsvarande resehandling,</w:t>
            </w:r>
          </w:p>
        </w:tc>
      </w:tr>
      <w:tr w:rsidR="0066043F" w14:paraId="55B46EEF" w14:textId="77777777" w:rsidTr="0066043F">
        <w:tc>
          <w:tcPr>
            <w:tcW w:w="5000" w:type="pct"/>
          </w:tcPr>
          <w:p w14:paraId="039DBEFC" w14:textId="77777777" w:rsidR="0066043F" w:rsidRDefault="0066043F" w:rsidP="005B3FB9">
            <w:pPr>
              <w:spacing w:before="240"/>
              <w:jc w:val="both"/>
            </w:pPr>
            <w:r>
              <w:t xml:space="preserve">2) ett identitetskort som utfärdats av en annan medlemsstat i </w:t>
            </w:r>
            <w:proofErr w:type="gramStart"/>
            <w:r>
              <w:t>Europeiska</w:t>
            </w:r>
            <w:proofErr w:type="gramEnd"/>
            <w:r>
              <w:t xml:space="preserve"> ekonomiska samarbetsområdet,</w:t>
            </w:r>
          </w:p>
        </w:tc>
      </w:tr>
      <w:tr w:rsidR="0066043F" w14:paraId="4A9C6124" w14:textId="77777777" w:rsidTr="0066043F">
        <w:tc>
          <w:tcPr>
            <w:tcW w:w="5000" w:type="pct"/>
          </w:tcPr>
          <w:p w14:paraId="0610B92B" w14:textId="77777777" w:rsidR="0066043F" w:rsidRDefault="0066043F" w:rsidP="005B3FB9">
            <w:pPr>
              <w:spacing w:before="240"/>
              <w:jc w:val="both"/>
            </w:pPr>
            <w:r>
              <w:t>3) uppehållstillstånd eller registreringsbevis utan chip.</w:t>
            </w:r>
          </w:p>
        </w:tc>
      </w:tr>
      <w:tr w:rsidR="0066043F" w14:paraId="0C9DA13B" w14:textId="77777777" w:rsidTr="0066043F">
        <w:tc>
          <w:tcPr>
            <w:tcW w:w="5000" w:type="pct"/>
          </w:tcPr>
          <w:p w14:paraId="6C477698" w14:textId="77777777" w:rsidR="0066043F" w:rsidRDefault="0066043F" w:rsidP="005B3FB9">
            <w:pPr>
              <w:spacing w:before="240"/>
              <w:jc w:val="both"/>
            </w:pPr>
            <w:r>
              <w:lastRenderedPageBreak/>
              <w:t>Kungen får fastställa varje annan identitetshandling eller uppehållstillstånd under förutsättning att den kungliga förordningen bekräftas genom lag inom sex månader från offentliggörandet av denna förordning.</w:t>
            </w:r>
          </w:p>
        </w:tc>
      </w:tr>
      <w:tr w:rsidR="0066043F" w14:paraId="08EBE0AB" w14:textId="77777777" w:rsidTr="0066043F">
        <w:tc>
          <w:tcPr>
            <w:tcW w:w="5000" w:type="pct"/>
          </w:tcPr>
          <w:p w14:paraId="163EF93A" w14:textId="37689395" w:rsidR="0066043F" w:rsidRDefault="0066043F" w:rsidP="005B3FB9">
            <w:pPr>
              <w:spacing w:before="240"/>
              <w:jc w:val="both"/>
            </w:pPr>
            <w:r>
              <w:t>3 §. De F2-licensinnehavare som avses i artikel 43/4.5.1 ska kontrollera spelarens ålder och autentisera den i EPIS i enlighet med artikel 54, med hjälp av ett lämpligt datorsystem som placeras på enheten och som har certifierats av ett ackrediterat organ som avses i artikel 52.2 andra strecksatsen.</w:t>
            </w:r>
          </w:p>
        </w:tc>
      </w:tr>
      <w:tr w:rsidR="0066043F" w14:paraId="6E340368" w14:textId="77777777" w:rsidTr="0066043F">
        <w:tc>
          <w:tcPr>
            <w:tcW w:w="5000" w:type="pct"/>
          </w:tcPr>
          <w:p w14:paraId="5C16B53E" w14:textId="77777777" w:rsidR="0066043F" w:rsidRDefault="0066043F" w:rsidP="005B3FB9">
            <w:pPr>
              <w:spacing w:before="240"/>
              <w:jc w:val="both"/>
            </w:pPr>
            <w:r>
              <w:t>Spelarens ålder kontrolleras och autentiseras i EPIS med hjälp av en giltig identitets- eller uppehållshandling som avses i punkt 2.1.1–2.1.4.</w:t>
            </w:r>
          </w:p>
        </w:tc>
      </w:tr>
      <w:tr w:rsidR="0066043F" w14:paraId="5A982A1F" w14:textId="77777777" w:rsidTr="0066043F">
        <w:tc>
          <w:tcPr>
            <w:tcW w:w="5000" w:type="pct"/>
          </w:tcPr>
          <w:p w14:paraId="5C739E99" w14:textId="77777777" w:rsidR="0066043F" w:rsidRDefault="0066043F" w:rsidP="005B3FB9">
            <w:pPr>
              <w:spacing w:before="240"/>
              <w:jc w:val="both"/>
            </w:pPr>
            <w:r>
              <w:t>Förutom i det fall som avses i artikel 55/5.1.2 ska kontrollen av spelarens ålder automatiseras genom avläsning av den informationen i något av de dokument som avses i punkt 2.1.1–2.1.4.</w:t>
            </w:r>
          </w:p>
        </w:tc>
      </w:tr>
      <w:tr w:rsidR="0066043F" w14:paraId="5C52BF7B" w14:textId="77777777" w:rsidTr="0066043F">
        <w:tc>
          <w:tcPr>
            <w:tcW w:w="5000" w:type="pct"/>
          </w:tcPr>
          <w:p w14:paraId="1A94DF99" w14:textId="77777777" w:rsidR="0066043F" w:rsidRDefault="0066043F" w:rsidP="005B3FB9">
            <w:pPr>
              <w:spacing w:before="240"/>
              <w:jc w:val="both"/>
            </w:pPr>
            <w:r>
              <w:t>Enheten får inte slås på om spelverksamheten är förbjuden för spelaren enligt artikel 54.”.</w:t>
            </w:r>
          </w:p>
        </w:tc>
      </w:tr>
      <w:tr w:rsidR="0066043F" w14:paraId="30B2D3A3" w14:textId="77777777" w:rsidTr="0066043F">
        <w:tc>
          <w:tcPr>
            <w:tcW w:w="5000" w:type="pct"/>
          </w:tcPr>
          <w:p w14:paraId="6D88B5C9" w14:textId="77777777" w:rsidR="0066043F" w:rsidRDefault="0066043F" w:rsidP="005B3FB9">
            <w:pPr>
              <w:spacing w:before="240"/>
              <w:jc w:val="both"/>
            </w:pPr>
            <w:r>
              <w:t>4 §. Vid EPIS-inspektionen ska endast informationen om att den person som berörs av kontrollen är förbjuden att delta i hasardspel eller utesluten lämnas till den person som bemyndigats av den licensinnehavare som avses i punkt 1 och som ansvarar för kontrollen eller i den datorapplikation som utlöser aktiveringen av den spelanordning som avses i punkt 3.”</w:t>
            </w:r>
          </w:p>
        </w:tc>
      </w:tr>
      <w:tr w:rsidR="0066043F" w14:paraId="2B2510DE" w14:textId="77777777" w:rsidTr="0066043F">
        <w:tc>
          <w:tcPr>
            <w:tcW w:w="5000" w:type="pct"/>
          </w:tcPr>
          <w:p w14:paraId="576DD22E" w14:textId="77777777" w:rsidR="0066043F" w:rsidRDefault="0066043F" w:rsidP="005B3FB9">
            <w:pPr>
              <w:spacing w:before="240"/>
              <w:jc w:val="both"/>
            </w:pPr>
            <w:r>
              <w:rPr>
                <w:b/>
              </w:rPr>
              <w:t xml:space="preserve">Artikel 16. </w:t>
            </w:r>
            <w:r>
              <w:t>Artikel 55 i denna lag, i dess ändrade lydelse enligt det kungliga dekretet av den 4 april 2003 och lagarna av den 10 januari 2010 och den 30 juli 2022, ska ersättas med följande:</w:t>
            </w:r>
          </w:p>
        </w:tc>
      </w:tr>
      <w:tr w:rsidR="0066043F" w14:paraId="7FF34671" w14:textId="77777777" w:rsidTr="0066043F">
        <w:tc>
          <w:tcPr>
            <w:tcW w:w="5000" w:type="pct"/>
          </w:tcPr>
          <w:p w14:paraId="4804EC8A" w14:textId="77777777" w:rsidR="0066043F" w:rsidRDefault="0066043F" w:rsidP="005B3FB9">
            <w:pPr>
              <w:spacing w:before="240"/>
              <w:jc w:val="both"/>
            </w:pPr>
            <w:r>
              <w:t>”Artikel 55. 1 §. Ett centralt system för behandling av uppgifter om de personer som avses i artikel 54, kallat informationssystemet för uteslutna personer (</w:t>
            </w:r>
            <w:proofErr w:type="spellStart"/>
            <w:r>
              <w:rPr>
                <w:rStyle w:val="Italic"/>
              </w:rPr>
              <w:t>Excluded</w:t>
            </w:r>
            <w:proofErr w:type="spellEnd"/>
            <w:r>
              <w:rPr>
                <w:rStyle w:val="Italic"/>
              </w:rPr>
              <w:t xml:space="preserve"> Persons Information System</w:t>
            </w:r>
            <w:r>
              <w:t>, EPIS), ska inrättas vid kommissionen, för vilket det ska vara personuppgiftsansvarig i den mening som avses i artikel 4.7 i Europaparlamentets och rådets förordning (EU) 2016/679 av den 27 april 2016 om skydd för fysiska personer med avseende på behandling av personuppgifter och om det fria flödet av sådana uppgifter och om upphävande av direktiv 95/46/EG (allmän dataskyddsförordning).</w:t>
            </w:r>
          </w:p>
        </w:tc>
      </w:tr>
      <w:tr w:rsidR="0066043F" w14:paraId="2FDE66D9" w14:textId="77777777" w:rsidTr="0066043F">
        <w:tc>
          <w:tcPr>
            <w:tcW w:w="5000" w:type="pct"/>
          </w:tcPr>
          <w:p w14:paraId="32E254DD" w14:textId="77777777" w:rsidR="0066043F" w:rsidRDefault="0066043F" w:rsidP="005B3FB9">
            <w:pPr>
              <w:spacing w:before="240"/>
              <w:jc w:val="both"/>
            </w:pPr>
            <w:r>
              <w:t>Syftet med EPIS är följande:</w:t>
            </w:r>
          </w:p>
        </w:tc>
      </w:tr>
      <w:tr w:rsidR="0066043F" w14:paraId="12EA290E" w14:textId="77777777" w:rsidTr="0066043F">
        <w:tc>
          <w:tcPr>
            <w:tcW w:w="5000" w:type="pct"/>
          </w:tcPr>
          <w:p w14:paraId="021C4E08" w14:textId="77777777" w:rsidR="0066043F" w:rsidRDefault="0066043F" w:rsidP="005B3FB9">
            <w:pPr>
              <w:spacing w:before="240"/>
              <w:jc w:val="both"/>
            </w:pPr>
            <w:r>
              <w:t>1) Tillåta innehavare av licenser av klass A, A+, B, B+, F1+ och F2 att säkerställa att personer som vill få tillträde till spelhallen i deras spelinrättning eller delta i hasardspel inte är förbjudna att delta i eller uteslutna från hasardspel i enlighet med artikel 54.2–54.4.</w:t>
            </w:r>
          </w:p>
        </w:tc>
      </w:tr>
      <w:tr w:rsidR="0066043F" w14:paraId="7279AF07" w14:textId="77777777" w:rsidTr="0066043F">
        <w:tc>
          <w:tcPr>
            <w:tcW w:w="5000" w:type="pct"/>
          </w:tcPr>
          <w:p w14:paraId="3C35AEA4" w14:textId="77777777" w:rsidR="0066043F" w:rsidRDefault="0066043F" w:rsidP="005B3FB9">
            <w:pPr>
              <w:spacing w:before="240"/>
              <w:jc w:val="both"/>
            </w:pPr>
            <w:r>
              <w:t>2) Göra det möjligt för kommissionen att hantera ansökningar om uteslutning eller tillbakadragande av uteslutning från hasardspel och, i förekommande fall, tvister i samband med detta.</w:t>
            </w:r>
          </w:p>
        </w:tc>
      </w:tr>
      <w:tr w:rsidR="0066043F" w14:paraId="4D72F803" w14:textId="77777777" w:rsidTr="0066043F">
        <w:tc>
          <w:tcPr>
            <w:tcW w:w="5000" w:type="pct"/>
          </w:tcPr>
          <w:p w14:paraId="413C9D7F" w14:textId="77777777" w:rsidR="0066043F" w:rsidRDefault="0066043F" w:rsidP="005B3FB9">
            <w:pPr>
              <w:spacing w:before="240"/>
              <w:jc w:val="both"/>
            </w:pPr>
            <w:r>
              <w:t>3) Utreda och upptäcka överträdelser av denna lag och dess genomförandeförordningar.</w:t>
            </w:r>
          </w:p>
        </w:tc>
      </w:tr>
      <w:tr w:rsidR="0066043F" w14:paraId="22EB9624" w14:textId="77777777" w:rsidTr="0066043F">
        <w:tc>
          <w:tcPr>
            <w:tcW w:w="5000" w:type="pct"/>
          </w:tcPr>
          <w:p w14:paraId="4EA173FD" w14:textId="77777777" w:rsidR="0066043F" w:rsidRDefault="0066043F" w:rsidP="005B3FB9">
            <w:pPr>
              <w:spacing w:before="240"/>
              <w:jc w:val="both"/>
            </w:pPr>
            <w:r>
              <w:t>2 §. För varje person som avses i artikel 54.2–54.4 ska följande uppgifter registreras i EPIS:</w:t>
            </w:r>
          </w:p>
        </w:tc>
      </w:tr>
      <w:tr w:rsidR="0066043F" w14:paraId="65431D01" w14:textId="77777777" w:rsidTr="0066043F">
        <w:tc>
          <w:tcPr>
            <w:tcW w:w="5000" w:type="pct"/>
          </w:tcPr>
          <w:p w14:paraId="42EBA5C4" w14:textId="77777777" w:rsidR="0066043F" w:rsidRDefault="0066043F" w:rsidP="005B3FB9">
            <w:pPr>
              <w:spacing w:before="240"/>
              <w:jc w:val="both"/>
            </w:pPr>
            <w:r>
              <w:t>1) efternamn och förnamn,</w:t>
            </w:r>
          </w:p>
        </w:tc>
      </w:tr>
      <w:tr w:rsidR="0066043F" w14:paraId="0EF3B58A" w14:textId="77777777" w:rsidTr="0066043F">
        <w:tc>
          <w:tcPr>
            <w:tcW w:w="5000" w:type="pct"/>
          </w:tcPr>
          <w:p w14:paraId="5ABC902B" w14:textId="77777777" w:rsidR="0066043F" w:rsidRDefault="0066043F" w:rsidP="005B3FB9">
            <w:pPr>
              <w:spacing w:before="240"/>
              <w:jc w:val="both"/>
            </w:pPr>
            <w:r>
              <w:t>2) födelsedatum,</w:t>
            </w:r>
          </w:p>
        </w:tc>
      </w:tr>
      <w:tr w:rsidR="0066043F" w14:paraId="1FA1AC7A" w14:textId="77777777" w:rsidTr="0066043F">
        <w:tc>
          <w:tcPr>
            <w:tcW w:w="5000" w:type="pct"/>
          </w:tcPr>
          <w:p w14:paraId="36882289" w14:textId="77777777" w:rsidR="0066043F" w:rsidRDefault="0066043F" w:rsidP="005B3FB9">
            <w:pPr>
              <w:spacing w:before="240"/>
              <w:jc w:val="both"/>
            </w:pPr>
            <w:r>
              <w:t xml:space="preserve">3) identifikationsnumret i det nationella registret över fysiska personer eller, om numret på det identitetskort som utfärdats av en annan medlemsstat i </w:t>
            </w:r>
            <w:proofErr w:type="gramStart"/>
            <w:r>
              <w:t>Europeiska</w:t>
            </w:r>
            <w:proofErr w:type="gramEnd"/>
            <w:r>
              <w:t xml:space="preserve"> ekonomiska samarbetsområdet </w:t>
            </w:r>
            <w:r>
              <w:lastRenderedPageBreak/>
              <w:t xml:space="preserve">inte är tillgängligt, passnumret eller alternativt det </w:t>
            </w:r>
            <w:r>
              <w:rPr>
                <w:i/>
                <w:iCs/>
              </w:rPr>
              <w:t>Banque Carrefour</w:t>
            </w:r>
            <w:r>
              <w:t xml:space="preserve">-identifieringsnummer som avses i artikel 8.1.2 i lagen av den 15 januari 1990 om inrättande och organisation av en </w:t>
            </w:r>
            <w:r>
              <w:rPr>
                <w:i/>
                <w:iCs/>
              </w:rPr>
              <w:t>Banque Carrefour</w:t>
            </w:r>
            <w:r>
              <w:t>-socialförsäkring,</w:t>
            </w:r>
          </w:p>
        </w:tc>
      </w:tr>
      <w:tr w:rsidR="0066043F" w14:paraId="15277872" w14:textId="77777777" w:rsidTr="0066043F">
        <w:tc>
          <w:tcPr>
            <w:tcW w:w="5000" w:type="pct"/>
          </w:tcPr>
          <w:p w14:paraId="18627B78" w14:textId="77777777" w:rsidR="0066043F" w:rsidRDefault="0066043F" w:rsidP="005B3FB9">
            <w:pPr>
              <w:spacing w:before="240"/>
              <w:jc w:val="both"/>
            </w:pPr>
            <w:r>
              <w:lastRenderedPageBreak/>
              <w:t>4) skäl, startdatum och slutdatum för uteslutningen.</w:t>
            </w:r>
          </w:p>
        </w:tc>
      </w:tr>
      <w:tr w:rsidR="0066043F" w14:paraId="2C704C86" w14:textId="77777777" w:rsidTr="0066043F">
        <w:tc>
          <w:tcPr>
            <w:tcW w:w="5000" w:type="pct"/>
          </w:tcPr>
          <w:p w14:paraId="26447CB1" w14:textId="77777777" w:rsidR="0066043F" w:rsidRDefault="0066043F" w:rsidP="005B3FB9">
            <w:pPr>
              <w:spacing w:before="240"/>
              <w:jc w:val="both"/>
            </w:pPr>
            <w:r>
              <w:t>De uppgifter som avses i första stycket ska bevaras i fem år från och med den dag då uteslutningen upphör.</w:t>
            </w:r>
          </w:p>
        </w:tc>
      </w:tr>
      <w:tr w:rsidR="0066043F" w14:paraId="54B97B47" w14:textId="77777777" w:rsidTr="0066043F">
        <w:tc>
          <w:tcPr>
            <w:tcW w:w="5000" w:type="pct"/>
          </w:tcPr>
          <w:p w14:paraId="6B346953" w14:textId="77777777" w:rsidR="0066043F" w:rsidRDefault="0066043F" w:rsidP="005B3FB9">
            <w:pPr>
              <w:spacing w:before="240"/>
              <w:jc w:val="both"/>
            </w:pPr>
            <w:r>
              <w:t>3 §. Åtkomsten till EPIS-uppgifter begränsas till följande personer:</w:t>
            </w:r>
          </w:p>
        </w:tc>
      </w:tr>
      <w:tr w:rsidR="0066043F" w14:paraId="2CFEEE3F" w14:textId="77777777" w:rsidTr="0066043F">
        <w:tc>
          <w:tcPr>
            <w:tcW w:w="5000" w:type="pct"/>
          </w:tcPr>
          <w:p w14:paraId="6ABB42CF" w14:textId="77777777" w:rsidR="0066043F" w:rsidRDefault="0066043F" w:rsidP="005B3FB9">
            <w:pPr>
              <w:spacing w:before="240"/>
              <w:jc w:val="both"/>
            </w:pPr>
            <w:r>
              <w:t>1) Kommissionens ordförande.</w:t>
            </w:r>
          </w:p>
        </w:tc>
      </w:tr>
      <w:tr w:rsidR="0066043F" w14:paraId="587666C8" w14:textId="77777777" w:rsidTr="0066043F">
        <w:tc>
          <w:tcPr>
            <w:tcW w:w="5000" w:type="pct"/>
          </w:tcPr>
          <w:p w14:paraId="4B06A1B5" w14:textId="77777777" w:rsidR="0066043F" w:rsidRDefault="0066043F" w:rsidP="005B3FB9">
            <w:pPr>
              <w:spacing w:before="240"/>
              <w:jc w:val="both"/>
            </w:pPr>
            <w:r>
              <w:t>2) Polistjänstemän som avses i artikel 15.3.1.</w:t>
            </w:r>
          </w:p>
        </w:tc>
      </w:tr>
      <w:tr w:rsidR="0066043F" w14:paraId="4FC49B49" w14:textId="77777777" w:rsidTr="0066043F">
        <w:tc>
          <w:tcPr>
            <w:tcW w:w="5000" w:type="pct"/>
          </w:tcPr>
          <w:p w14:paraId="5151F22D" w14:textId="77777777" w:rsidR="0066043F" w:rsidRDefault="0066043F" w:rsidP="005B3FB9">
            <w:pPr>
              <w:spacing w:before="240"/>
              <w:jc w:val="both"/>
            </w:pPr>
            <w:r>
              <w:t>3) Ledamöter i kommissionssekretariatet som utses av kommissionen och vars uppgifter så kräver.</w:t>
            </w:r>
          </w:p>
        </w:tc>
      </w:tr>
      <w:tr w:rsidR="0066043F" w14:paraId="6B30C5EE" w14:textId="77777777" w:rsidTr="0066043F">
        <w:tc>
          <w:tcPr>
            <w:tcW w:w="5000" w:type="pct"/>
          </w:tcPr>
          <w:p w14:paraId="448631C9" w14:textId="77777777" w:rsidR="0066043F" w:rsidRDefault="0066043F" w:rsidP="005B3FB9">
            <w:pPr>
              <w:spacing w:before="240"/>
              <w:jc w:val="both"/>
            </w:pPr>
            <w:r>
              <w:t>4 §. Kungen ska fastställa de tekniska och finansiella villkoren för EPIS.”</w:t>
            </w:r>
          </w:p>
        </w:tc>
      </w:tr>
      <w:tr w:rsidR="0066043F" w14:paraId="5A9DBC93" w14:textId="77777777" w:rsidTr="0066043F">
        <w:tc>
          <w:tcPr>
            <w:tcW w:w="5000" w:type="pct"/>
          </w:tcPr>
          <w:p w14:paraId="49263A77" w14:textId="77777777" w:rsidR="0066043F" w:rsidRDefault="0066043F" w:rsidP="005B3FB9">
            <w:pPr>
              <w:spacing w:before="240"/>
              <w:jc w:val="both"/>
            </w:pPr>
            <w:r>
              <w:rPr>
                <w:b/>
              </w:rPr>
              <w:t xml:space="preserve">Artikel 17. </w:t>
            </w:r>
            <w:r>
              <w:t>Artikel 55/2, som har följande lydelse, ska införas i samma lag:</w:t>
            </w:r>
          </w:p>
        </w:tc>
      </w:tr>
      <w:tr w:rsidR="0066043F" w14:paraId="01289C92" w14:textId="77777777" w:rsidTr="0066043F">
        <w:tc>
          <w:tcPr>
            <w:tcW w:w="5000" w:type="pct"/>
          </w:tcPr>
          <w:p w14:paraId="705828F8" w14:textId="77777777" w:rsidR="0066043F" w:rsidRDefault="0066043F" w:rsidP="005B3FB9">
            <w:pPr>
              <w:spacing w:before="240"/>
              <w:jc w:val="both"/>
            </w:pPr>
            <w:r>
              <w:t xml:space="preserve">”Artikel 55/2. 1 §. Alla EPIS-konsultationer ska lagras i en </w:t>
            </w:r>
            <w:proofErr w:type="spellStart"/>
            <w:r>
              <w:t>loggfil</w:t>
            </w:r>
            <w:proofErr w:type="spellEnd"/>
            <w:r>
              <w:t>, kallad ”Log-EPIS”, för vilken kommittén är personuppgiftsansvarig i den mening som avses i artikel 4.7 i Europaparlamentets och rådets förordning (EU) 2016/679 av den 27 april 2016 om skydd för fysiska personer med avseende på behandling av personuppgifter och om det fria flödet av sådana uppgifter och om upphävande av direktiv 95/46/EG (allmän dataskyddsförordning).</w:t>
            </w:r>
          </w:p>
        </w:tc>
      </w:tr>
      <w:tr w:rsidR="0066043F" w14:paraId="615D9220" w14:textId="77777777" w:rsidTr="0066043F">
        <w:tc>
          <w:tcPr>
            <w:tcW w:w="5000" w:type="pct"/>
          </w:tcPr>
          <w:p w14:paraId="0E0B44DD" w14:textId="77777777" w:rsidR="0066043F" w:rsidRDefault="0066043F" w:rsidP="005B3FB9">
            <w:pPr>
              <w:spacing w:before="240"/>
              <w:jc w:val="both"/>
            </w:pPr>
            <w:r>
              <w:t>Log-EPIS har följande syften:</w:t>
            </w:r>
          </w:p>
        </w:tc>
      </w:tr>
      <w:tr w:rsidR="0066043F" w14:paraId="049C0621" w14:textId="77777777" w:rsidTr="0066043F">
        <w:tc>
          <w:tcPr>
            <w:tcW w:w="5000" w:type="pct"/>
          </w:tcPr>
          <w:p w14:paraId="5DBBB1AC" w14:textId="77777777" w:rsidR="0066043F" w:rsidRDefault="0066043F" w:rsidP="005B3FB9">
            <w:pPr>
              <w:spacing w:before="240"/>
              <w:jc w:val="both"/>
            </w:pPr>
            <w:r>
              <w:t>1) Kontrollera om licensinnehavare på ett korrekt sätt uppfyller sina rättsliga förpliktelser i fråga om tillträdeskontroll vid beträdande av spelhallen i deras spelinrättning eller deltagande i hasardspel.</w:t>
            </w:r>
          </w:p>
        </w:tc>
      </w:tr>
      <w:tr w:rsidR="0066043F" w14:paraId="577013DA" w14:textId="77777777" w:rsidTr="0066043F">
        <w:tc>
          <w:tcPr>
            <w:tcW w:w="5000" w:type="pct"/>
          </w:tcPr>
          <w:p w14:paraId="70A3D004" w14:textId="77777777" w:rsidR="0066043F" w:rsidRDefault="0066043F" w:rsidP="005B3FB9">
            <w:pPr>
              <w:spacing w:before="240"/>
              <w:jc w:val="both"/>
            </w:pPr>
            <w:r>
              <w:t>2) Upptäcka och spåra eventuella tveksamma EPIS-konsultationer.</w:t>
            </w:r>
          </w:p>
        </w:tc>
      </w:tr>
      <w:tr w:rsidR="0066043F" w14:paraId="4DF3EB99" w14:textId="77777777" w:rsidTr="0066043F">
        <w:tc>
          <w:tcPr>
            <w:tcW w:w="5000" w:type="pct"/>
          </w:tcPr>
          <w:p w14:paraId="01B66957" w14:textId="77777777" w:rsidR="0066043F" w:rsidRDefault="0066043F" w:rsidP="005B3FB9">
            <w:pPr>
              <w:spacing w:before="240"/>
              <w:jc w:val="both"/>
            </w:pPr>
            <w:r>
              <w:t>2 §. För varje EPIS-konsultation ska följande uppgifter registreras i Log-EPIS:</w:t>
            </w:r>
          </w:p>
        </w:tc>
      </w:tr>
      <w:tr w:rsidR="0066043F" w14:paraId="63D42F7A" w14:textId="77777777" w:rsidTr="0066043F">
        <w:tc>
          <w:tcPr>
            <w:tcW w:w="5000" w:type="pct"/>
          </w:tcPr>
          <w:p w14:paraId="21A220E2" w14:textId="77777777" w:rsidR="0066043F" w:rsidRDefault="0066043F" w:rsidP="005B3FB9">
            <w:pPr>
              <w:spacing w:before="240"/>
              <w:jc w:val="both"/>
            </w:pPr>
            <w:r>
              <w:t>1) datum och klockslag för konsultationen,</w:t>
            </w:r>
          </w:p>
        </w:tc>
      </w:tr>
      <w:tr w:rsidR="0066043F" w14:paraId="31C22924" w14:textId="77777777" w:rsidTr="0066043F">
        <w:tc>
          <w:tcPr>
            <w:tcW w:w="5000" w:type="pct"/>
          </w:tcPr>
          <w:p w14:paraId="5E2E500F" w14:textId="77777777" w:rsidR="0066043F" w:rsidRDefault="0066043F" w:rsidP="005B3FB9">
            <w:pPr>
              <w:spacing w:before="240"/>
              <w:jc w:val="both"/>
            </w:pPr>
            <w:r>
              <w:t>2) de uppgifter som avses i artikel 55.2.1–55.2.3,</w:t>
            </w:r>
          </w:p>
        </w:tc>
      </w:tr>
      <w:tr w:rsidR="0066043F" w14:paraId="236BC632" w14:textId="77777777" w:rsidTr="0066043F">
        <w:tc>
          <w:tcPr>
            <w:tcW w:w="5000" w:type="pct"/>
          </w:tcPr>
          <w:p w14:paraId="00B10DD1" w14:textId="77777777" w:rsidR="0066043F" w:rsidRDefault="0066043F" w:rsidP="005B3FB9">
            <w:pPr>
              <w:spacing w:before="240"/>
              <w:jc w:val="both"/>
            </w:pPr>
            <w:r>
              <w:t>3) licensnummer för den spelanläggning från vilken EPIS konsulterades,</w:t>
            </w:r>
          </w:p>
        </w:tc>
      </w:tr>
      <w:tr w:rsidR="0066043F" w14:paraId="0F7326E1" w14:textId="77777777" w:rsidTr="0066043F">
        <w:tc>
          <w:tcPr>
            <w:tcW w:w="5000" w:type="pct"/>
          </w:tcPr>
          <w:p w14:paraId="789F39A3" w14:textId="77777777" w:rsidR="0066043F" w:rsidRDefault="0066043F" w:rsidP="005B3FB9">
            <w:pPr>
              <w:spacing w:before="240"/>
              <w:jc w:val="both"/>
            </w:pPr>
            <w:r>
              <w:t>4) licens D-nummer för den person som konsulterat EPIS eller identiteten på den person som avses i artikel 55.3,</w:t>
            </w:r>
          </w:p>
        </w:tc>
      </w:tr>
      <w:tr w:rsidR="0066043F" w14:paraId="5DDA7E2F" w14:textId="77777777" w:rsidTr="0066043F">
        <w:tc>
          <w:tcPr>
            <w:tcW w:w="5000" w:type="pct"/>
          </w:tcPr>
          <w:p w14:paraId="4FA73CF6" w14:textId="77777777" w:rsidR="0066043F" w:rsidRDefault="0066043F" w:rsidP="005B3FB9">
            <w:pPr>
              <w:spacing w:before="240"/>
              <w:jc w:val="both"/>
            </w:pPr>
            <w:r>
              <w:t>5) resultatet från EPIS-inspektionen,</w:t>
            </w:r>
          </w:p>
        </w:tc>
      </w:tr>
      <w:tr w:rsidR="0066043F" w14:paraId="6A60FBCF" w14:textId="77777777" w:rsidTr="0066043F">
        <w:tc>
          <w:tcPr>
            <w:tcW w:w="5000" w:type="pct"/>
          </w:tcPr>
          <w:p w14:paraId="2227C298" w14:textId="77777777" w:rsidR="0066043F" w:rsidRDefault="0066043F" w:rsidP="005B3FB9">
            <w:pPr>
              <w:spacing w:before="240"/>
              <w:jc w:val="both"/>
            </w:pPr>
            <w:r>
              <w:t>6) syftet med konsultationen och, om syftet med EPIS-konsultationen är att utföra rättsliga polisiära uppgifter för att kontrollera efterlevnaden av denna lag och dess genomförandeförordningar, det ärendenummer för vilket konsultationen genomförs,</w:t>
            </w:r>
          </w:p>
        </w:tc>
      </w:tr>
      <w:tr w:rsidR="0066043F" w14:paraId="678B623E" w14:textId="77777777" w:rsidTr="0066043F">
        <w:tc>
          <w:tcPr>
            <w:tcW w:w="5000" w:type="pct"/>
          </w:tcPr>
          <w:p w14:paraId="25A9360D" w14:textId="77777777" w:rsidR="0066043F" w:rsidRDefault="0066043F" w:rsidP="005B3FB9">
            <w:pPr>
              <w:spacing w:before="240"/>
              <w:jc w:val="both"/>
            </w:pPr>
            <w:r>
              <w:t>7) den typ av identifikation som avses i artikel 54/1.2.</w:t>
            </w:r>
          </w:p>
        </w:tc>
      </w:tr>
      <w:tr w:rsidR="0066043F" w14:paraId="10DF9E13" w14:textId="77777777" w:rsidTr="0066043F">
        <w:tc>
          <w:tcPr>
            <w:tcW w:w="5000" w:type="pct"/>
          </w:tcPr>
          <w:p w14:paraId="6944D656" w14:textId="77777777" w:rsidR="0066043F" w:rsidRDefault="0066043F" w:rsidP="005B3FB9">
            <w:pPr>
              <w:spacing w:before="240"/>
              <w:jc w:val="both"/>
            </w:pPr>
            <w:r>
              <w:lastRenderedPageBreak/>
              <w:t>Den information som avses i första stycket ska bevaras i fem år från och med datumet för EPIS-konsultationen.</w:t>
            </w:r>
          </w:p>
        </w:tc>
      </w:tr>
      <w:tr w:rsidR="0066043F" w14:paraId="7B48DC4C" w14:textId="77777777" w:rsidTr="0066043F">
        <w:tc>
          <w:tcPr>
            <w:tcW w:w="5000" w:type="pct"/>
          </w:tcPr>
          <w:p w14:paraId="6DC009E7" w14:textId="77777777" w:rsidR="0066043F" w:rsidRDefault="0066043F" w:rsidP="005B3FB9">
            <w:pPr>
              <w:spacing w:before="240"/>
              <w:jc w:val="both"/>
            </w:pPr>
            <w:r>
              <w:t>3 §. Åtkomst till Log-EPIS-data begränsas till:</w:t>
            </w:r>
          </w:p>
        </w:tc>
      </w:tr>
      <w:tr w:rsidR="0066043F" w14:paraId="4DD61F3D" w14:textId="77777777" w:rsidTr="0066043F">
        <w:tc>
          <w:tcPr>
            <w:tcW w:w="5000" w:type="pct"/>
          </w:tcPr>
          <w:p w14:paraId="353859B4" w14:textId="77777777" w:rsidR="0066043F" w:rsidRDefault="0066043F" w:rsidP="005B3FB9">
            <w:pPr>
              <w:spacing w:before="240"/>
              <w:jc w:val="both"/>
            </w:pPr>
            <w:r>
              <w:t>1) Kommissionens ordförande.</w:t>
            </w:r>
          </w:p>
        </w:tc>
      </w:tr>
      <w:tr w:rsidR="0066043F" w14:paraId="08B10F52" w14:textId="77777777" w:rsidTr="0066043F">
        <w:tc>
          <w:tcPr>
            <w:tcW w:w="5000" w:type="pct"/>
          </w:tcPr>
          <w:p w14:paraId="2A7940A0" w14:textId="77777777" w:rsidR="0066043F" w:rsidRDefault="0066043F" w:rsidP="005B3FB9">
            <w:pPr>
              <w:spacing w:before="240"/>
              <w:jc w:val="both"/>
            </w:pPr>
            <w:r>
              <w:t>2) Polistjänstemän som avses i artikel 15.3.1.</w:t>
            </w:r>
          </w:p>
        </w:tc>
      </w:tr>
      <w:tr w:rsidR="0066043F" w14:paraId="67D5EF96" w14:textId="77777777" w:rsidTr="0066043F">
        <w:tc>
          <w:tcPr>
            <w:tcW w:w="5000" w:type="pct"/>
          </w:tcPr>
          <w:p w14:paraId="0BA5846D" w14:textId="77777777" w:rsidR="0066043F" w:rsidRDefault="0066043F" w:rsidP="005B3FB9">
            <w:pPr>
              <w:spacing w:before="240"/>
              <w:jc w:val="both"/>
            </w:pPr>
            <w:r>
              <w:t>3) Ledamöter i kommissionssekretariatet som utses av kommissionen och vars uppgifter så kräver.”</w:t>
            </w:r>
          </w:p>
        </w:tc>
      </w:tr>
      <w:tr w:rsidR="0066043F" w:rsidRPr="00CD7F70" w14:paraId="7F59D378" w14:textId="77777777" w:rsidTr="0066043F">
        <w:tc>
          <w:tcPr>
            <w:tcW w:w="5000" w:type="pct"/>
          </w:tcPr>
          <w:p w14:paraId="15552ADB" w14:textId="77777777" w:rsidR="0066043F" w:rsidRPr="00925EA1" w:rsidRDefault="0066043F" w:rsidP="005B3FB9">
            <w:pPr>
              <w:spacing w:before="240"/>
              <w:jc w:val="both"/>
              <w:rPr>
                <w:b/>
                <w:bCs/>
              </w:rPr>
            </w:pPr>
          </w:p>
        </w:tc>
      </w:tr>
      <w:tr w:rsidR="0066043F" w14:paraId="49A321CA" w14:textId="77777777" w:rsidTr="0066043F">
        <w:tc>
          <w:tcPr>
            <w:tcW w:w="5000" w:type="pct"/>
          </w:tcPr>
          <w:p w14:paraId="3412A079" w14:textId="77777777" w:rsidR="0066043F" w:rsidRDefault="0066043F" w:rsidP="005B3FB9">
            <w:pPr>
              <w:spacing w:before="240"/>
              <w:jc w:val="both"/>
            </w:pPr>
            <w:r>
              <w:rPr>
                <w:b/>
              </w:rPr>
              <w:t xml:space="preserve">Artikel 18. </w:t>
            </w:r>
            <w:r>
              <w:t>Artikel 55/3, som har följande lydelse, ska införas i samma lag:</w:t>
            </w:r>
          </w:p>
        </w:tc>
      </w:tr>
      <w:tr w:rsidR="0066043F" w14:paraId="41A0134D" w14:textId="77777777" w:rsidTr="0066043F">
        <w:tc>
          <w:tcPr>
            <w:tcW w:w="5000" w:type="pct"/>
          </w:tcPr>
          <w:p w14:paraId="12542870" w14:textId="77777777" w:rsidR="0066043F" w:rsidRDefault="0066043F" w:rsidP="005B3FB9">
            <w:pPr>
              <w:spacing w:before="240"/>
              <w:jc w:val="both"/>
            </w:pPr>
            <w:r>
              <w:t>”Artikel 55/3. 1 §. I enlighet med artiklarna 6.4 och 23.1 e, g och i) i Europaparlamentets och rådets förordning (EU) 2016/679 av den 27 april 2016 om skydd för fysiska personer med avseende på behandling av personuppgifter och om det fria flödet av sådana uppgifter och om upphävande av direktiv 95/46/EG (allmän dataskyddsförordning) kan Log-EPIS-data därefter behandlas av kommissionen i följande syften:</w:t>
            </w:r>
          </w:p>
        </w:tc>
      </w:tr>
      <w:tr w:rsidR="0066043F" w14:paraId="707061C3" w14:textId="77777777" w:rsidTr="0066043F">
        <w:tc>
          <w:tcPr>
            <w:tcW w:w="5000" w:type="pct"/>
          </w:tcPr>
          <w:p w14:paraId="351136CF" w14:textId="77777777" w:rsidR="0066043F" w:rsidRDefault="0066043F" w:rsidP="005B3FB9">
            <w:pPr>
              <w:spacing w:before="240"/>
              <w:jc w:val="both"/>
            </w:pPr>
            <w:r>
              <w:t>1) Att göra det möjligt för kommissionen att kontrollera om en licensinnehavare på ett korrekt sätt uppfyller sina rättsliga förpliktelser enligt artikel 54.</w:t>
            </w:r>
          </w:p>
        </w:tc>
      </w:tr>
      <w:tr w:rsidR="0066043F" w14:paraId="5ACE8BAC" w14:textId="77777777" w:rsidTr="0066043F">
        <w:tc>
          <w:tcPr>
            <w:tcW w:w="5000" w:type="pct"/>
          </w:tcPr>
          <w:p w14:paraId="22636962" w14:textId="77777777" w:rsidR="0066043F" w:rsidRDefault="0066043F" w:rsidP="005B3FB9">
            <w:pPr>
              <w:spacing w:before="240"/>
              <w:jc w:val="both"/>
            </w:pPr>
            <w:r>
              <w:t>2) Att ge kommissionen möjlighet att utföra det uppdrag avseende spelarskydd som tilldelas den enligt artikel 54.3.4.</w:t>
            </w:r>
          </w:p>
        </w:tc>
      </w:tr>
      <w:tr w:rsidR="0066043F" w14:paraId="34940354" w14:textId="77777777" w:rsidTr="0066043F">
        <w:tc>
          <w:tcPr>
            <w:tcW w:w="5000" w:type="pct"/>
          </w:tcPr>
          <w:p w14:paraId="40D132BB" w14:textId="77777777" w:rsidR="0066043F" w:rsidRDefault="0066043F" w:rsidP="005B3FB9">
            <w:pPr>
              <w:spacing w:before="240"/>
              <w:jc w:val="both"/>
            </w:pPr>
            <w:r>
              <w:t>2 §. I enlighet med artiklarna 6.4 och 23.1 e och g i Europaparlamentets och rådets förordning (EU) 2016/679 av den 27 april 2016 om skydd för fysiska personer med avseende på behandling av personuppgifter och om det fria flödet av sådana uppgifter och om upphävande av direktiv 95/46/EG (allmän dataskyddsförordning) kan Log-EPIS-data därefter behandlas av kommissionen i följande syften:</w:t>
            </w:r>
          </w:p>
        </w:tc>
      </w:tr>
      <w:tr w:rsidR="0066043F" w14:paraId="0659D4BE" w14:textId="77777777" w:rsidTr="0066043F">
        <w:tc>
          <w:tcPr>
            <w:tcW w:w="5000" w:type="pct"/>
          </w:tcPr>
          <w:p w14:paraId="2D508DBA" w14:textId="77777777" w:rsidR="0066043F" w:rsidRDefault="0066043F" w:rsidP="005B3FB9">
            <w:pPr>
              <w:spacing w:before="240"/>
              <w:jc w:val="both"/>
            </w:pPr>
            <w:r>
              <w:t>1) Att göra det möjligt för poliser, som utses av polisens kårchef, direktör eller generaldirektör på grundval av behovsenlig behörighet, att utföra de uppgifter som avses i artikel 15 i lagen av den 5 augusti 1992 om polisens funktion när utredningar gäller brott eller överträdelser som avses i artikel 90b.</w:t>
            </w:r>
            <w:proofErr w:type="gramStart"/>
            <w:r>
              <w:t>2–90b</w:t>
            </w:r>
            <w:proofErr w:type="gramEnd"/>
            <w:r>
              <w:t>.4 i straffprocesslagen. I detta sammanhang får endast de uppgifter som avses i artikel 55/2.2.1–55/2.2.3 i denna lag lämnas ut.</w:t>
            </w:r>
          </w:p>
        </w:tc>
      </w:tr>
      <w:tr w:rsidR="0066043F" w14:paraId="0ED6999E" w14:textId="77777777" w:rsidTr="0066043F">
        <w:tc>
          <w:tcPr>
            <w:tcW w:w="5000" w:type="pct"/>
          </w:tcPr>
          <w:p w14:paraId="3F432B08" w14:textId="77777777" w:rsidR="0066043F" w:rsidRDefault="0066043F" w:rsidP="005B3FB9">
            <w:pPr>
              <w:spacing w:before="240"/>
              <w:jc w:val="both"/>
            </w:pPr>
            <w:r>
              <w:t>2) Att tillåta medlemmarna i den ständiga kommitténs utredningstjänst (P) att utföra de uppgifter som avses i artikel 16 i grundlagen av den 18 juli 1991 om tillsyn av polis- och underrättelsetjänster och samordningsorganet för hotanalys.</w:t>
            </w:r>
          </w:p>
        </w:tc>
      </w:tr>
      <w:tr w:rsidR="0066043F" w14:paraId="191E4F4D" w14:textId="77777777" w:rsidTr="0066043F">
        <w:tc>
          <w:tcPr>
            <w:tcW w:w="5000" w:type="pct"/>
          </w:tcPr>
          <w:p w14:paraId="59CFEF5B" w14:textId="77777777" w:rsidR="0066043F" w:rsidRDefault="0066043F" w:rsidP="005B3FB9">
            <w:pPr>
              <w:spacing w:before="240"/>
              <w:jc w:val="both"/>
            </w:pPr>
            <w:r>
              <w:t>3) Att göra det möjligt för medlemmar av den federala och lokala polisens generalinspektion att utföra de uppgifter som avses i artikel 4.3 och 4.4 i lagen av den 15 maj 2007 om generalinspektionen och om olika bestämmelser om statusen för vissa poliser att utföra sina lagstadgade uppgifter.</w:t>
            </w:r>
          </w:p>
        </w:tc>
      </w:tr>
      <w:tr w:rsidR="0066043F" w14:paraId="1804C756" w14:textId="77777777" w:rsidTr="0066043F">
        <w:tc>
          <w:tcPr>
            <w:tcW w:w="5000" w:type="pct"/>
          </w:tcPr>
          <w:p w14:paraId="3AD4FD43" w14:textId="77777777" w:rsidR="0066043F" w:rsidRDefault="0066043F" w:rsidP="005B3FB9">
            <w:pPr>
              <w:spacing w:before="240"/>
              <w:jc w:val="both"/>
            </w:pPr>
            <w:r>
              <w:rPr>
                <w:b/>
              </w:rPr>
              <w:t xml:space="preserve">Artikel 19. </w:t>
            </w:r>
            <w:r>
              <w:t>Artikel 55/4, som har följande lydelse, ska införas i samma lag:</w:t>
            </w:r>
          </w:p>
        </w:tc>
      </w:tr>
      <w:tr w:rsidR="0066043F" w14:paraId="1EF25886" w14:textId="77777777" w:rsidTr="0066043F">
        <w:tc>
          <w:tcPr>
            <w:tcW w:w="5000" w:type="pct"/>
          </w:tcPr>
          <w:p w14:paraId="0A5FF979" w14:textId="77777777" w:rsidR="0066043F" w:rsidRDefault="0066043F" w:rsidP="005B3FB9">
            <w:pPr>
              <w:spacing w:before="240"/>
              <w:jc w:val="both"/>
            </w:pPr>
            <w:r>
              <w:t xml:space="preserve">”Artikel 55/4. 1 §. Operatören av en spelhall i en spelinrättning av klass I eller II eller en fast spelinrättning av klass IV ska föra ett register för identifiering av personer som av yrkesmässiga skäl </w:t>
            </w:r>
            <w:r>
              <w:lastRenderedPageBreak/>
              <w:t>har tillträde till spelhallen i verksamhetsstället, kallat ”registret över yrkesutövare”, för vilket operatören är personuppgiftsansvarig i den mening som avses i artikel 4.7 i Europaparlamentets och rådets förordning (EU) 2016/679 av den 27 april 2016 om skydd för fysiska personer med avseende på behandling av personuppgifter och om det fria flödet av sådana uppgifter och om upphävande av direktiv 95/46/EG (allmän dataskyddsförordning).</w:t>
            </w:r>
          </w:p>
        </w:tc>
      </w:tr>
      <w:tr w:rsidR="0066043F" w14:paraId="328BB479" w14:textId="77777777" w:rsidTr="0066043F">
        <w:tc>
          <w:tcPr>
            <w:tcW w:w="5000" w:type="pct"/>
          </w:tcPr>
          <w:p w14:paraId="523ABDAF" w14:textId="77777777" w:rsidR="0066043F" w:rsidRDefault="0066043F" w:rsidP="005B3FB9">
            <w:pPr>
              <w:spacing w:before="240"/>
              <w:jc w:val="both"/>
            </w:pPr>
            <w:r>
              <w:lastRenderedPageBreak/>
              <w:t>Syftet med registret över yrkesutövare är att göra det möjligt för operatören att rättfärdiga varför denne gav personer tillträde till spelhallen i spelinrättningen utan att ålägga dem att genomgå en EPIS-kontroll.</w:t>
            </w:r>
          </w:p>
        </w:tc>
      </w:tr>
      <w:tr w:rsidR="0066043F" w14:paraId="2B93E5B1" w14:textId="77777777" w:rsidTr="0066043F">
        <w:tc>
          <w:tcPr>
            <w:tcW w:w="5000" w:type="pct"/>
          </w:tcPr>
          <w:p w14:paraId="34974DE4" w14:textId="77777777" w:rsidR="0066043F" w:rsidRDefault="0066043F" w:rsidP="005B3FB9">
            <w:pPr>
              <w:spacing w:before="240"/>
              <w:jc w:val="both"/>
            </w:pPr>
            <w:r>
              <w:t>2 §. För varje person som har tillträde till spelhallen i spelinrättningen av yrkesmässiga skäl ska följande uppgifter registreras i registret över yrkesutövare:</w:t>
            </w:r>
          </w:p>
        </w:tc>
      </w:tr>
      <w:tr w:rsidR="0066043F" w14:paraId="10DE9A20" w14:textId="77777777" w:rsidTr="0066043F">
        <w:tc>
          <w:tcPr>
            <w:tcW w:w="5000" w:type="pct"/>
          </w:tcPr>
          <w:p w14:paraId="63DF842D" w14:textId="77777777" w:rsidR="0066043F" w:rsidRDefault="0066043F" w:rsidP="005B3FB9">
            <w:pPr>
              <w:spacing w:before="240"/>
              <w:jc w:val="both"/>
            </w:pPr>
            <w:r>
              <w:t>1) efternamn och förnamn,</w:t>
            </w:r>
          </w:p>
        </w:tc>
      </w:tr>
      <w:tr w:rsidR="0066043F" w14:paraId="0908FE3A" w14:textId="77777777" w:rsidTr="0066043F">
        <w:tc>
          <w:tcPr>
            <w:tcW w:w="5000" w:type="pct"/>
          </w:tcPr>
          <w:p w14:paraId="46CB870E" w14:textId="77777777" w:rsidR="0066043F" w:rsidRDefault="0066043F" w:rsidP="005B3FB9">
            <w:pPr>
              <w:spacing w:before="240"/>
              <w:jc w:val="both"/>
            </w:pPr>
            <w:r>
              <w:t>2) anledning, datum och klockslag för besöket,</w:t>
            </w:r>
          </w:p>
        </w:tc>
      </w:tr>
      <w:tr w:rsidR="0066043F" w14:paraId="5F488C84" w14:textId="77777777" w:rsidTr="0066043F">
        <w:tc>
          <w:tcPr>
            <w:tcW w:w="5000" w:type="pct"/>
          </w:tcPr>
          <w:p w14:paraId="390DBE41" w14:textId="77777777" w:rsidR="0066043F" w:rsidRDefault="0066043F" w:rsidP="005B3FB9">
            <w:pPr>
              <w:spacing w:before="240"/>
              <w:jc w:val="both"/>
            </w:pPr>
            <w:r>
              <w:t>3) underskrift, som föregås av följande: ”Tillträde till denna spelinrättning beviljas endast inom ramen för min yrkesverksamhet och jag förbinder mig att inte delta i något hasardspel som bedrivs i detta sammanhang.”</w:t>
            </w:r>
          </w:p>
        </w:tc>
      </w:tr>
      <w:tr w:rsidR="0066043F" w14:paraId="257955AA" w14:textId="77777777" w:rsidTr="0066043F">
        <w:tc>
          <w:tcPr>
            <w:tcW w:w="5000" w:type="pct"/>
          </w:tcPr>
          <w:p w14:paraId="7D439A09" w14:textId="77777777" w:rsidR="0066043F" w:rsidRDefault="0066043F" w:rsidP="005B3FB9">
            <w:pPr>
              <w:spacing w:before="240"/>
              <w:jc w:val="both"/>
            </w:pPr>
            <w:r>
              <w:t>Den information som avses i stycke 1 ska bevaras i ett år.</w:t>
            </w:r>
          </w:p>
        </w:tc>
      </w:tr>
      <w:tr w:rsidR="0066043F" w14:paraId="107B44E2" w14:textId="77777777" w:rsidTr="0066043F">
        <w:tc>
          <w:tcPr>
            <w:tcW w:w="5000" w:type="pct"/>
          </w:tcPr>
          <w:p w14:paraId="3AD8211E" w14:textId="77777777" w:rsidR="0066043F" w:rsidRDefault="0066043F" w:rsidP="005B3FB9">
            <w:pPr>
              <w:spacing w:before="240"/>
              <w:jc w:val="both"/>
            </w:pPr>
            <w:r>
              <w:t>3 §. Tillgång till uppgifter i registret över yrkesutövare begränsas till de medlemmar av kommissionens sekretariat som ansvarar för att utreda och upptäcka överträdelser av denna lag och dess genomförandeförordningar samt till de poliser som avses i artikel 15.3.1.”</w:t>
            </w:r>
          </w:p>
        </w:tc>
      </w:tr>
      <w:tr w:rsidR="0066043F" w14:paraId="121755DF" w14:textId="77777777" w:rsidTr="0066043F">
        <w:tc>
          <w:tcPr>
            <w:tcW w:w="5000" w:type="pct"/>
          </w:tcPr>
          <w:p w14:paraId="640E426E" w14:textId="77777777" w:rsidR="0066043F" w:rsidRDefault="0066043F" w:rsidP="005B3FB9">
            <w:pPr>
              <w:spacing w:before="240"/>
              <w:jc w:val="both"/>
            </w:pPr>
            <w:r>
              <w:rPr>
                <w:b/>
              </w:rPr>
              <w:t xml:space="preserve">Artikel 20. </w:t>
            </w:r>
            <w:r>
              <w:t>Artikel 55/5, som har följande lydelse, ska införas i samma lag:</w:t>
            </w:r>
          </w:p>
        </w:tc>
      </w:tr>
      <w:tr w:rsidR="0066043F" w14:paraId="2F470EFA" w14:textId="77777777" w:rsidTr="0066043F">
        <w:tc>
          <w:tcPr>
            <w:tcW w:w="5000" w:type="pct"/>
          </w:tcPr>
          <w:p w14:paraId="244612AC" w14:textId="77777777" w:rsidR="0066043F" w:rsidRDefault="0066043F" w:rsidP="005B3FB9">
            <w:pPr>
              <w:spacing w:before="240"/>
              <w:jc w:val="both"/>
            </w:pPr>
            <w:r>
              <w:t>”Artikel 55/5. 1 §. Om det av någon anledning utanför operatörens kontroll är omöjligt att söka i EPIS måste spelarnas uppgifter registreras i ett separat reservregister som förs av den licensinnehavare som avses i artikel 54/1.1, kallat ”reservregistret”, för vilket operatören är personuppgiftsansvarig i den mening som avses i artikel 4.7 i Europaparlamentets och rådets förordning (EU) 2016/679 av den 27 april 2016 om skydd för fysiska personer med avseende på behandling av personuppgifter och om det fria flödet av sådana uppgifter och om upphävande av direktiv 95/46/EG (allmän dataskyddsförordning).</w:t>
            </w:r>
          </w:p>
        </w:tc>
      </w:tr>
      <w:tr w:rsidR="0066043F" w14:paraId="777C14F2" w14:textId="77777777" w:rsidTr="0066043F">
        <w:tc>
          <w:tcPr>
            <w:tcW w:w="5000" w:type="pct"/>
          </w:tcPr>
          <w:p w14:paraId="54165307" w14:textId="77777777" w:rsidR="0066043F" w:rsidRDefault="0066043F" w:rsidP="005B3FB9">
            <w:pPr>
              <w:spacing w:before="240"/>
              <w:jc w:val="both"/>
            </w:pPr>
            <w:r>
              <w:t>Om det av någon anledning utanför operatörens kontroll är omöjligt att konsultera EPIS med hjälp av det datorsystem som avses i artikel 54/1.3, får den licensinnehavare som avses i artikel 54/1.3 starta enheten med hjälp av ett aktiveringskort efter kontroll av den potentiella spelarens identitet och ålder.</w:t>
            </w:r>
          </w:p>
        </w:tc>
      </w:tr>
      <w:tr w:rsidR="0066043F" w14:paraId="24022FDA" w14:textId="77777777" w:rsidTr="0066043F">
        <w:tc>
          <w:tcPr>
            <w:tcW w:w="5000" w:type="pct"/>
          </w:tcPr>
          <w:p w14:paraId="6E3C8D36" w14:textId="77777777" w:rsidR="0066043F" w:rsidRDefault="0066043F" w:rsidP="005B3FB9">
            <w:pPr>
              <w:spacing w:before="240"/>
              <w:jc w:val="both"/>
            </w:pPr>
            <w:r>
              <w:t>Syftet med reservregistret är att göra det möjligt för operatörer av spelinrättningar att utföra EPIS-kontroller av spelare så snart EPIS inte längre är otillgängligt och att utesluta personer med förbud att delta i hasardspel från spelhallar i spelinrättningar eller spelanordningar.</w:t>
            </w:r>
          </w:p>
        </w:tc>
      </w:tr>
      <w:tr w:rsidR="0066043F" w14:paraId="2EFBEBBD" w14:textId="77777777" w:rsidTr="0066043F">
        <w:tc>
          <w:tcPr>
            <w:tcW w:w="5000" w:type="pct"/>
          </w:tcPr>
          <w:p w14:paraId="02F292F1" w14:textId="77777777" w:rsidR="0066043F" w:rsidRDefault="0066043F" w:rsidP="005B3FB9">
            <w:pPr>
              <w:spacing w:before="240"/>
              <w:jc w:val="both"/>
            </w:pPr>
            <w:r>
              <w:t>2 §. För varje spelare är uppgifterna som registreras i reservregistret följande:</w:t>
            </w:r>
          </w:p>
        </w:tc>
      </w:tr>
      <w:tr w:rsidR="0066043F" w14:paraId="46D704FE" w14:textId="77777777" w:rsidTr="0066043F">
        <w:tc>
          <w:tcPr>
            <w:tcW w:w="5000" w:type="pct"/>
          </w:tcPr>
          <w:p w14:paraId="118F7061" w14:textId="77777777" w:rsidR="0066043F" w:rsidRDefault="0066043F" w:rsidP="005B3FB9">
            <w:pPr>
              <w:spacing w:before="240"/>
              <w:jc w:val="both"/>
            </w:pPr>
            <w:r>
              <w:t>1) efternamn och förnamn,</w:t>
            </w:r>
          </w:p>
        </w:tc>
      </w:tr>
      <w:tr w:rsidR="0066043F" w14:paraId="61FE8821" w14:textId="77777777" w:rsidTr="0066043F">
        <w:tc>
          <w:tcPr>
            <w:tcW w:w="5000" w:type="pct"/>
          </w:tcPr>
          <w:p w14:paraId="41E75040" w14:textId="77777777" w:rsidR="0066043F" w:rsidRDefault="0066043F" w:rsidP="005B3FB9">
            <w:pPr>
              <w:spacing w:before="240"/>
              <w:jc w:val="both"/>
            </w:pPr>
            <w:r>
              <w:t>2) födelsedatum,</w:t>
            </w:r>
          </w:p>
        </w:tc>
      </w:tr>
      <w:tr w:rsidR="0066043F" w14:paraId="6CF9C4A7" w14:textId="77777777" w:rsidTr="0066043F">
        <w:tc>
          <w:tcPr>
            <w:tcW w:w="5000" w:type="pct"/>
          </w:tcPr>
          <w:p w14:paraId="7CB954DE" w14:textId="77777777" w:rsidR="0066043F" w:rsidRDefault="0066043F" w:rsidP="005B3FB9">
            <w:pPr>
              <w:spacing w:before="240"/>
              <w:jc w:val="both"/>
            </w:pPr>
            <w:r>
              <w:lastRenderedPageBreak/>
              <w:t xml:space="preserve">3) identifikationsnumret i det nationella registret över fysiska personer eller, om numret på det identitetskort som utfärdats av en annan medlemsstat i </w:t>
            </w:r>
            <w:proofErr w:type="gramStart"/>
            <w:r>
              <w:t>Europeiska</w:t>
            </w:r>
            <w:proofErr w:type="gramEnd"/>
            <w:r>
              <w:t xml:space="preserve"> ekonomiska samarbetsområdet inte är tillgängligt, passnumret eller alternativt det </w:t>
            </w:r>
            <w:r>
              <w:rPr>
                <w:i/>
                <w:iCs/>
              </w:rPr>
              <w:t>Banque Carrefour</w:t>
            </w:r>
            <w:r>
              <w:t xml:space="preserve">-identifieringsnummer som avses i artikel 8.1.2 i lagen av den 15 januari 1990 om inrättande och organisation av en </w:t>
            </w:r>
            <w:r>
              <w:rPr>
                <w:i/>
                <w:iCs/>
              </w:rPr>
              <w:t>Banque Carrefour</w:t>
            </w:r>
            <w:r>
              <w:t>-socialförsäkring.</w:t>
            </w:r>
          </w:p>
        </w:tc>
      </w:tr>
      <w:tr w:rsidR="0066043F" w14:paraId="4C7DE81B" w14:textId="77777777" w:rsidTr="0066043F">
        <w:tc>
          <w:tcPr>
            <w:tcW w:w="5000" w:type="pct"/>
          </w:tcPr>
          <w:p w14:paraId="44FA2C2F" w14:textId="77777777" w:rsidR="0066043F" w:rsidRDefault="0066043F" w:rsidP="005B3FB9">
            <w:pPr>
              <w:spacing w:before="240"/>
              <w:jc w:val="both"/>
            </w:pPr>
            <w:r>
              <w:t>3 §. Tillgång till uppgifter i reservregistret begränsas till de medlemmar av kommissionens sekretariat som ansvarar för att utreda och upptäcka överträdelser av denna lag och dess genomförandeförordningar samt till de poliser som avses i artikel 15.3.1.</w:t>
            </w:r>
          </w:p>
        </w:tc>
      </w:tr>
      <w:tr w:rsidR="0066043F" w14:paraId="0EB49C1B" w14:textId="77777777" w:rsidTr="0066043F">
        <w:tc>
          <w:tcPr>
            <w:tcW w:w="5000" w:type="pct"/>
          </w:tcPr>
          <w:p w14:paraId="153E3644" w14:textId="77777777" w:rsidR="0066043F" w:rsidRDefault="0066043F" w:rsidP="005B3FB9">
            <w:pPr>
              <w:spacing w:before="240"/>
              <w:jc w:val="both"/>
            </w:pPr>
            <w:r>
              <w:t>4 §. Licensinnehavaren ska omedelbart informera spelkommissionen och den underleverantör som valts av kommissionen för att vara värd för EPIS och hantera åtkomsten till EPIS-systemet, om omöjligheten att konsultera EPIS.</w:t>
            </w:r>
          </w:p>
        </w:tc>
      </w:tr>
      <w:tr w:rsidR="0066043F" w14:paraId="3727D729" w14:textId="77777777" w:rsidTr="0066043F">
        <w:tc>
          <w:tcPr>
            <w:tcW w:w="5000" w:type="pct"/>
          </w:tcPr>
          <w:p w14:paraId="41D583A3" w14:textId="77777777" w:rsidR="0066043F" w:rsidRDefault="0066043F" w:rsidP="005B3FB9">
            <w:pPr>
              <w:spacing w:before="240"/>
              <w:jc w:val="both"/>
            </w:pPr>
            <w:r>
              <w:t>När EPIS återigen är sökbart måste alla spelare i reservregistret kontrolleras av licensinnehavaren med utgångspunkt från datum och tid för besöket. Om dessa spelare har uteslutits ska de omedelbart förbjudas tillgång till eller deltagande i hasardspel, och kommissionen ska omedelbart informeras om detta.</w:t>
            </w:r>
          </w:p>
        </w:tc>
      </w:tr>
      <w:tr w:rsidR="0066043F" w14:paraId="64362DEC" w14:textId="77777777" w:rsidTr="0066043F">
        <w:tc>
          <w:tcPr>
            <w:tcW w:w="5000" w:type="pct"/>
          </w:tcPr>
          <w:p w14:paraId="0E761CA9" w14:textId="77777777" w:rsidR="0066043F" w:rsidRDefault="0066043F" w:rsidP="005B3FB9">
            <w:pPr>
              <w:spacing w:before="240"/>
              <w:jc w:val="both"/>
            </w:pPr>
            <w:r>
              <w:t>Efter denna kontroll ska listan omedelbart förstöras av licensinnehavaren.”.</w:t>
            </w:r>
          </w:p>
        </w:tc>
      </w:tr>
      <w:tr w:rsidR="0066043F" w14:paraId="692AD42D" w14:textId="77777777" w:rsidTr="0066043F">
        <w:tc>
          <w:tcPr>
            <w:tcW w:w="5000" w:type="pct"/>
          </w:tcPr>
          <w:p w14:paraId="0D8CAF39" w14:textId="77777777" w:rsidR="0066043F" w:rsidRDefault="0066043F" w:rsidP="005B3FB9">
            <w:pPr>
              <w:spacing w:before="240"/>
              <w:jc w:val="both"/>
            </w:pPr>
            <w:r>
              <w:rPr>
                <w:b/>
              </w:rPr>
              <w:t>Artikel 21.</w:t>
            </w:r>
            <w:r>
              <w:t xml:space="preserve"> I artikel 61.3 i samma lag, som infördes genom lagen av den 10 januari 2010, ska orden ”och de licensinnehavare som avses i artikel 43/5.5.1” införas mellan orden ”av klasserna I, II, III och IV” och orden ”broschyrer”.</w:t>
            </w:r>
          </w:p>
        </w:tc>
      </w:tr>
      <w:tr w:rsidR="0066043F" w14:paraId="3CF40967" w14:textId="77777777" w:rsidTr="0066043F">
        <w:tc>
          <w:tcPr>
            <w:tcW w:w="5000" w:type="pct"/>
          </w:tcPr>
          <w:p w14:paraId="2B1AC493" w14:textId="77777777" w:rsidR="0066043F" w:rsidRDefault="0066043F" w:rsidP="005B3FB9">
            <w:pPr>
              <w:spacing w:before="240"/>
              <w:jc w:val="both"/>
            </w:pPr>
            <w:r>
              <w:rPr>
                <w:b/>
              </w:rPr>
              <w:t>Artikel 22.</w:t>
            </w:r>
            <w:r>
              <w:t xml:space="preserve"> I artikel 63 i samma lag, senast ändrad genom lagen av den 10 januari 2010, ska orden ”fängelse i mellan en månad och tre år och böter på mellan 26 francs och 25 000 francs eller en av dessa påföljder.” ersättas med orden ”ett bötesbelopp på mellan 26 euro och 120 000 euro.”</w:t>
            </w:r>
          </w:p>
        </w:tc>
      </w:tr>
      <w:tr w:rsidR="0066043F" w14:paraId="64F4A5D4" w14:textId="77777777" w:rsidTr="0066043F">
        <w:tc>
          <w:tcPr>
            <w:tcW w:w="5000" w:type="pct"/>
          </w:tcPr>
          <w:p w14:paraId="791991A0" w14:textId="77777777" w:rsidR="0066043F" w:rsidRDefault="0066043F" w:rsidP="005B3FB9">
            <w:pPr>
              <w:spacing w:before="240"/>
              <w:jc w:val="both"/>
            </w:pPr>
            <w:r>
              <w:rPr>
                <w:b/>
              </w:rPr>
              <w:t xml:space="preserve">Artikel 23. </w:t>
            </w:r>
            <w:r>
              <w:t>Artikel 64 i samma lag, senast ändrad genom lagen av den 18 januari 2024, ska ersättas med följande:</w:t>
            </w:r>
          </w:p>
        </w:tc>
      </w:tr>
      <w:tr w:rsidR="0066043F" w14:paraId="17A38BE3" w14:textId="77777777" w:rsidTr="0066043F">
        <w:tc>
          <w:tcPr>
            <w:tcW w:w="5000" w:type="pct"/>
          </w:tcPr>
          <w:p w14:paraId="188A95DA" w14:textId="41F27EDD" w:rsidR="0066043F" w:rsidRDefault="0066043F" w:rsidP="005B3FB9">
            <w:pPr>
              <w:spacing w:before="240"/>
              <w:jc w:val="both"/>
            </w:pPr>
            <w:r>
              <w:t>”Artikel 64. Den som överträder bestämmelserna i artiklarna 4.2.4, 4.2.5, 43/1, 43/2, 43/2/1, 43/3, 43/4, 60, 61.2 och 61.3 samt förordningarna om genomförande av dessa artiklar ska bestraffas med böter på mellan 26 euro och 72 000 euro.”</w:t>
            </w:r>
          </w:p>
        </w:tc>
      </w:tr>
      <w:tr w:rsidR="0066043F" w14:paraId="6E9F3319" w14:textId="77777777" w:rsidTr="0066043F">
        <w:tc>
          <w:tcPr>
            <w:tcW w:w="5000" w:type="pct"/>
          </w:tcPr>
          <w:p w14:paraId="783A4613" w14:textId="77777777" w:rsidR="0066043F" w:rsidRDefault="0066043F" w:rsidP="005B3FB9">
            <w:pPr>
              <w:spacing w:before="240"/>
              <w:jc w:val="both"/>
            </w:pPr>
            <w:r>
              <w:rPr>
                <w:b/>
              </w:rPr>
              <w:t>”Artikel 24.</w:t>
            </w:r>
            <w:r>
              <w:t xml:space="preserve"> I artikel 65.2 i samma lag ska orden ”en person under 18 år” ersättas med orden ”en person under 21 år”.</w:t>
            </w:r>
          </w:p>
        </w:tc>
      </w:tr>
      <w:tr w:rsidR="0066043F" w:rsidRPr="00CD7F70" w14:paraId="5916DF57" w14:textId="77777777" w:rsidTr="0066043F">
        <w:tc>
          <w:tcPr>
            <w:tcW w:w="5000" w:type="pct"/>
          </w:tcPr>
          <w:p w14:paraId="6C782B02" w14:textId="77777777" w:rsidR="0066043F" w:rsidRPr="00CD7F70" w:rsidRDefault="0066043F" w:rsidP="005B3FB9">
            <w:pPr>
              <w:spacing w:before="240"/>
              <w:jc w:val="both"/>
            </w:pPr>
            <w:r>
              <w:t xml:space="preserve">KAPITEL 3.  – </w:t>
            </w:r>
            <w:r>
              <w:rPr>
                <w:i/>
              </w:rPr>
              <w:t>Bekräftelse av den kungliga förordningen av den 31 januari 2024 om bidrag till spelkommissionens drifts-, personal- och installationskostnader som ska betalas av innehavare av licenser av klass A, A+, B, B+, C, E, F1, F1+ och F2 för kalenderåret 2024</w:t>
            </w:r>
          </w:p>
        </w:tc>
      </w:tr>
      <w:tr w:rsidR="0066043F" w14:paraId="0361E2FC" w14:textId="77777777" w:rsidTr="0066043F">
        <w:tc>
          <w:tcPr>
            <w:tcW w:w="5000" w:type="pct"/>
          </w:tcPr>
          <w:p w14:paraId="5D82F0EF" w14:textId="77777777" w:rsidR="0066043F" w:rsidRDefault="0066043F" w:rsidP="005B3FB9">
            <w:pPr>
              <w:spacing w:before="240"/>
              <w:jc w:val="both"/>
            </w:pPr>
            <w:r>
              <w:rPr>
                <w:b/>
              </w:rPr>
              <w:t>Artikel 25.</w:t>
            </w:r>
            <w:r>
              <w:t xml:space="preserve"> Den kungliga förordningen av den 31 januari 2024 om bidrag till spelkommissionens drifts-, personal- och installationskostnader som ska betalas av innehavare av licenser av klass A, A+, B, B+, C, E, F1, F1+ och F2 för kalenderåret 2024 bekräftas härmed med verkan från och med den dag då förordningen träder i kraft.</w:t>
            </w:r>
          </w:p>
        </w:tc>
      </w:tr>
      <w:tr w:rsidR="0066043F" w:rsidRPr="00CD7F70" w14:paraId="0376A838" w14:textId="77777777" w:rsidTr="0066043F">
        <w:tc>
          <w:tcPr>
            <w:tcW w:w="5000" w:type="pct"/>
          </w:tcPr>
          <w:p w14:paraId="5D4D8F13" w14:textId="77777777" w:rsidR="0066043F" w:rsidRPr="00CD7F70" w:rsidRDefault="0066043F" w:rsidP="005B3FB9">
            <w:pPr>
              <w:spacing w:before="240"/>
              <w:jc w:val="both"/>
            </w:pPr>
            <w:r>
              <w:t xml:space="preserve">KAPITEL 4. – </w:t>
            </w:r>
            <w:r>
              <w:rPr>
                <w:i/>
              </w:rPr>
              <w:t>Bestämmelser om upphävande</w:t>
            </w:r>
          </w:p>
        </w:tc>
      </w:tr>
      <w:tr w:rsidR="0066043F" w14:paraId="3C2F9B72" w14:textId="77777777" w:rsidTr="0066043F">
        <w:tc>
          <w:tcPr>
            <w:tcW w:w="5000" w:type="pct"/>
          </w:tcPr>
          <w:p w14:paraId="7A20176D" w14:textId="77777777" w:rsidR="0066043F" w:rsidRDefault="0066043F" w:rsidP="005B3FB9">
            <w:pPr>
              <w:spacing w:before="240"/>
              <w:jc w:val="both"/>
            </w:pPr>
            <w:r>
              <w:rPr>
                <w:b/>
              </w:rPr>
              <w:t>Artikel 26.</w:t>
            </w:r>
            <w:r>
              <w:t xml:space="preserve"> Artikel 62 i samma lag, i dess ändrade lydelse genom lagarna av den 10 januari 2010, den 7 maj 2019 och den 30 juli 2022, ska upphöra att gälla.</w:t>
            </w:r>
          </w:p>
        </w:tc>
      </w:tr>
      <w:tr w:rsidR="0066043F" w14:paraId="726293BB" w14:textId="77777777" w:rsidTr="0066043F">
        <w:tc>
          <w:tcPr>
            <w:tcW w:w="5000" w:type="pct"/>
          </w:tcPr>
          <w:p w14:paraId="096B3F28" w14:textId="77777777" w:rsidR="0066043F" w:rsidRDefault="0066043F" w:rsidP="005B3FB9">
            <w:pPr>
              <w:spacing w:before="240"/>
              <w:jc w:val="both"/>
            </w:pPr>
            <w:r>
              <w:rPr>
                <w:b/>
              </w:rPr>
              <w:lastRenderedPageBreak/>
              <w:t>Artikel 27.</w:t>
            </w:r>
            <w:r>
              <w:t xml:space="preserve"> Den kungliga förordningen av den 26 juni 2002 om förfaranden för mottagande av klagomål och fordringar av spelkommissionen ska upphöra att gälla.</w:t>
            </w:r>
          </w:p>
        </w:tc>
      </w:tr>
      <w:tr w:rsidR="0066043F" w14:paraId="510EFD61" w14:textId="77777777" w:rsidTr="0066043F">
        <w:tc>
          <w:tcPr>
            <w:tcW w:w="5000" w:type="pct"/>
          </w:tcPr>
          <w:p w14:paraId="4ACA6199" w14:textId="77777777" w:rsidR="0066043F" w:rsidRDefault="0066043F" w:rsidP="005B3FB9">
            <w:pPr>
              <w:spacing w:before="240"/>
              <w:jc w:val="both"/>
            </w:pPr>
            <w:r>
              <w:rPr>
                <w:b/>
              </w:rPr>
              <w:t>Artikel 28.</w:t>
            </w:r>
            <w:r>
              <w:t xml:space="preserve"> Den kungliga förordningen av den 15 december 2004 om registret över tillträde till spelhallar i spelinrättningar av klass I och II och fasta spelinrättningar av klass IV, i dess ändrade lydelse enligt de kungliga förordningarna av den 20 mars 2022 och den 6 september 2022, ska härmed upphävas.</w:t>
            </w:r>
          </w:p>
        </w:tc>
      </w:tr>
      <w:tr w:rsidR="0066043F" w14:paraId="7B9BDFF2" w14:textId="77777777" w:rsidTr="0066043F">
        <w:tc>
          <w:tcPr>
            <w:tcW w:w="5000" w:type="pct"/>
          </w:tcPr>
          <w:p w14:paraId="471B4110" w14:textId="77777777" w:rsidR="0066043F" w:rsidRDefault="0066043F" w:rsidP="005B3FB9">
            <w:pPr>
              <w:spacing w:before="240"/>
              <w:jc w:val="both"/>
            </w:pPr>
            <w:r>
              <w:rPr>
                <w:b/>
              </w:rPr>
              <w:t>Artikel 29.</w:t>
            </w:r>
            <w:r>
              <w:t xml:space="preserve"> Artiklarna 1–5, 6.1, 6.5, 7 och 8 i den kungliga förordningen av den 15 december 2004 om inrättande av ett system för behandling av information om spelare som är uteslutna från spelinrättningar av klass I, II och IV, i dess ändrade lydelse enligt de kungliga förordningarna av den 20 mars 2022 och den 6 september 2022, ska upphävas.</w:t>
            </w:r>
          </w:p>
        </w:tc>
      </w:tr>
      <w:tr w:rsidR="0066043F" w:rsidRPr="00CD7F70" w14:paraId="4CCF4A55" w14:textId="77777777" w:rsidTr="0066043F">
        <w:tc>
          <w:tcPr>
            <w:tcW w:w="5000" w:type="pct"/>
          </w:tcPr>
          <w:p w14:paraId="25EB3EA7" w14:textId="77777777" w:rsidR="0066043F" w:rsidRPr="00CD7F70" w:rsidRDefault="0066043F" w:rsidP="005B3FB9">
            <w:pPr>
              <w:spacing w:before="240"/>
              <w:jc w:val="both"/>
            </w:pPr>
            <w:r>
              <w:t xml:space="preserve">KAPITEL 5. – </w:t>
            </w:r>
            <w:r>
              <w:rPr>
                <w:i/>
              </w:rPr>
              <w:t>Övergångsbestämmelse</w:t>
            </w:r>
          </w:p>
        </w:tc>
      </w:tr>
      <w:tr w:rsidR="0066043F" w14:paraId="50EC7C0E" w14:textId="77777777" w:rsidTr="0066043F">
        <w:tc>
          <w:tcPr>
            <w:tcW w:w="5000" w:type="pct"/>
          </w:tcPr>
          <w:p w14:paraId="47638B86" w14:textId="77777777" w:rsidR="0066043F" w:rsidRDefault="0066043F" w:rsidP="005B3FB9">
            <w:pPr>
              <w:spacing w:before="240"/>
              <w:jc w:val="both"/>
            </w:pPr>
            <w:r>
              <w:rPr>
                <w:b/>
              </w:rPr>
              <w:t>Artikel 30.</w:t>
            </w:r>
            <w:r>
              <w:t xml:space="preserve"> Artikel 9 ska tillämpas på alla ansökningar om förnyelse av licens C som görs efter det att denna lag har trätt i kraft.</w:t>
            </w:r>
          </w:p>
        </w:tc>
      </w:tr>
      <w:tr w:rsidR="0066043F" w:rsidRPr="00CD7F70" w14:paraId="4CE8FA16" w14:textId="77777777" w:rsidTr="0066043F">
        <w:tc>
          <w:tcPr>
            <w:tcW w:w="5000" w:type="pct"/>
          </w:tcPr>
          <w:p w14:paraId="1B5FFFE7" w14:textId="77777777" w:rsidR="0066043F" w:rsidRPr="00CD7F70" w:rsidRDefault="0066043F" w:rsidP="005B3FB9">
            <w:pPr>
              <w:spacing w:before="240"/>
              <w:jc w:val="both"/>
            </w:pPr>
            <w:r>
              <w:t xml:space="preserve">KAPITEL 6. – </w:t>
            </w:r>
            <w:r>
              <w:rPr>
                <w:i/>
              </w:rPr>
              <w:t>Ikraftträdande</w:t>
            </w:r>
          </w:p>
        </w:tc>
      </w:tr>
      <w:tr w:rsidR="0066043F" w:rsidRPr="00B37C9A" w14:paraId="426D70DD" w14:textId="77777777" w:rsidTr="0066043F">
        <w:tc>
          <w:tcPr>
            <w:tcW w:w="5000" w:type="pct"/>
          </w:tcPr>
          <w:p w14:paraId="20CF0E89" w14:textId="77777777" w:rsidR="0066043F" w:rsidRPr="00B37C9A" w:rsidRDefault="0066043F" w:rsidP="005B3FB9">
            <w:pPr>
              <w:spacing w:before="240"/>
              <w:jc w:val="both"/>
            </w:pPr>
            <w:r>
              <w:rPr>
                <w:b/>
              </w:rPr>
              <w:t>Artikel 31.</w:t>
            </w:r>
            <w:r>
              <w:t xml:space="preserve"> För innehavare av licenserna A, A+, B, B+, F1± och innehavare av en F2-licens som gör det möjligt att placera vad på uppdrag av licensinnehavare av klass F1 i en fast spelanläggning av klass IV, träder artiklarna 2, 14, 15, 16, 17, 18 och 20 i kraft den första dagen i den tolfte månaden efter dagen för offentliggörandet av denna lag i Belgiens officiella tidning (</w:t>
            </w:r>
            <w:proofErr w:type="spellStart"/>
            <w:r>
              <w:rPr>
                <w:i/>
                <w:iCs/>
              </w:rPr>
              <w:t>Moniteur</w:t>
            </w:r>
            <w:proofErr w:type="spellEnd"/>
            <w:r>
              <w:rPr>
                <w:i/>
                <w:iCs/>
              </w:rPr>
              <w:t xml:space="preserve"> </w:t>
            </w:r>
            <w:proofErr w:type="spellStart"/>
            <w:r>
              <w:rPr>
                <w:i/>
                <w:iCs/>
              </w:rPr>
              <w:t>belge</w:t>
            </w:r>
            <w:proofErr w:type="spellEnd"/>
            <w:r>
              <w:t>).</w:t>
            </w:r>
          </w:p>
        </w:tc>
      </w:tr>
      <w:tr w:rsidR="0066043F" w:rsidRPr="00B37C9A" w14:paraId="53B86833" w14:textId="77777777" w:rsidTr="0066043F">
        <w:tc>
          <w:tcPr>
            <w:tcW w:w="5000" w:type="pct"/>
          </w:tcPr>
          <w:p w14:paraId="7B8FB8FB" w14:textId="77777777" w:rsidR="0066043F" w:rsidRPr="00B37C9A" w:rsidRDefault="0066043F" w:rsidP="005B3FB9">
            <w:pPr>
              <w:spacing w:before="240"/>
              <w:jc w:val="both"/>
            </w:pPr>
            <w:r>
              <w:t>För innehavare av en F2-licens som gör det möjligt att placera vad på uppdrag av klass F1-licensinnehavare i en mobil spelinrättning av klass IV och innehavare av en F2-licens som gör det möjligt att placera vad utanför spelinrättningar av klass IV, träder artiklarna 2, 14, 15, 16, 17, 18 och 20 i kraft den första dagen i den tjugofjärde månaden efter dagen för offentliggörandet av denna lag i Belgiens officiella tidning.</w:t>
            </w:r>
          </w:p>
        </w:tc>
      </w:tr>
      <w:tr w:rsidR="0066043F" w14:paraId="73C9E1B7" w14:textId="77777777" w:rsidTr="0066043F">
        <w:tc>
          <w:tcPr>
            <w:tcW w:w="5000" w:type="pct"/>
          </w:tcPr>
          <w:p w14:paraId="64823F79" w14:textId="77777777" w:rsidR="0066043F" w:rsidRDefault="0066043F" w:rsidP="005B3FB9">
            <w:pPr>
              <w:spacing w:before="240"/>
              <w:jc w:val="both"/>
            </w:pPr>
            <w:r>
              <w:rPr>
                <w:b/>
              </w:rPr>
              <w:t>Artikel 32.</w:t>
            </w:r>
            <w:r>
              <w:t xml:space="preserve"> Artiklarna 5, 10 och 24 träder i kraft den 1 september 2024.</w:t>
            </w:r>
          </w:p>
        </w:tc>
      </w:tr>
      <w:tr w:rsidR="0066043F" w14:paraId="4BBF38DB" w14:textId="77777777" w:rsidTr="0066043F">
        <w:tc>
          <w:tcPr>
            <w:tcW w:w="5000" w:type="pct"/>
          </w:tcPr>
          <w:p w14:paraId="22E524BD" w14:textId="77777777" w:rsidR="0066043F" w:rsidRDefault="0066043F" w:rsidP="005B3FB9">
            <w:pPr>
              <w:spacing w:before="240"/>
              <w:jc w:val="both"/>
            </w:pPr>
            <w:r>
              <w:rPr>
                <w:b/>
              </w:rPr>
              <w:t>Artikel 33.</w:t>
            </w:r>
            <w:r>
              <w:t xml:space="preserve"> Artiklarna 26, 28 och 29 träder i kraft den första dagen i den tolfte månaden efter den dag då denna lag offentliggörs i Belgiens officiella tidning.</w:t>
            </w:r>
          </w:p>
        </w:tc>
      </w:tr>
      <w:tr w:rsidR="0066043F" w14:paraId="310E8087" w14:textId="77777777" w:rsidTr="0066043F">
        <w:tc>
          <w:tcPr>
            <w:tcW w:w="5000" w:type="pct"/>
          </w:tcPr>
          <w:p w14:paraId="01F50D5E" w14:textId="77777777" w:rsidR="0066043F" w:rsidRDefault="0066043F" w:rsidP="005B3FB9">
            <w:pPr>
              <w:spacing w:before="240"/>
              <w:jc w:val="both"/>
            </w:pPr>
            <w:r>
              <w:t>Härmed förklaras denna lag utfärdad, och det fastställs att den ska bära statens sigill och offentliggöras i Belgiens officiella tidning.</w:t>
            </w:r>
          </w:p>
        </w:tc>
      </w:tr>
      <w:tr w:rsidR="0066043F" w:rsidRPr="00CF6D43" w14:paraId="1655BE91" w14:textId="77777777" w:rsidTr="0066043F">
        <w:tc>
          <w:tcPr>
            <w:tcW w:w="5000" w:type="pct"/>
          </w:tcPr>
          <w:p w14:paraId="1465896C" w14:textId="76401A1E" w:rsidR="0066043F" w:rsidRPr="00CF6D43" w:rsidRDefault="0066043F" w:rsidP="005B3FB9">
            <w:pPr>
              <w:spacing w:before="240"/>
              <w:jc w:val="both"/>
            </w:pPr>
            <w:r>
              <w:t>Utfärdad i Bryssel den 7 maj 2024</w:t>
            </w:r>
          </w:p>
        </w:tc>
      </w:tr>
      <w:tr w:rsidR="0066043F" w:rsidRPr="00CF6D43" w14:paraId="2C94C16D" w14:textId="77777777" w:rsidTr="0066043F">
        <w:tc>
          <w:tcPr>
            <w:tcW w:w="5000" w:type="pct"/>
          </w:tcPr>
          <w:p w14:paraId="727C7B58" w14:textId="77777777" w:rsidR="0066043F" w:rsidRPr="00CF6D43" w:rsidRDefault="0066043F" w:rsidP="005B3FB9">
            <w:pPr>
              <w:spacing w:before="240"/>
              <w:jc w:val="both"/>
              <w:rPr>
                <w:lang w:val="fr-FR"/>
              </w:rPr>
            </w:pPr>
          </w:p>
        </w:tc>
      </w:tr>
      <w:tr w:rsidR="0066043F" w:rsidRPr="00F11721" w14:paraId="43E86ABE" w14:textId="77777777" w:rsidTr="0066043F">
        <w:tc>
          <w:tcPr>
            <w:tcW w:w="5000" w:type="pct"/>
            <w:shd w:val="clear" w:color="auto" w:fill="auto"/>
          </w:tcPr>
          <w:p w14:paraId="61CD4026" w14:textId="77777777" w:rsidR="0066043F" w:rsidRDefault="0066043F" w:rsidP="005B3FB9">
            <w:pPr>
              <w:spacing w:before="240" w:after="160" w:line="259" w:lineRule="auto"/>
              <w:jc w:val="center"/>
              <w:rPr>
                <w:rFonts w:cstheme="minorHAnsi"/>
              </w:rPr>
            </w:pPr>
            <w:r>
              <w:t>PHILIPPE</w:t>
            </w:r>
          </w:p>
          <w:p w14:paraId="1A22CB92" w14:textId="77777777" w:rsidR="0066043F" w:rsidRPr="00F11721" w:rsidRDefault="0066043F" w:rsidP="005B3FB9">
            <w:pPr>
              <w:spacing w:before="240"/>
              <w:jc w:val="center"/>
            </w:pPr>
            <w:r>
              <w:t>Å konungens vägnar.</w:t>
            </w:r>
          </w:p>
        </w:tc>
      </w:tr>
      <w:tr w:rsidR="0066043F" w:rsidRPr="00F11721" w14:paraId="7B29FED6" w14:textId="77777777" w:rsidTr="0066043F">
        <w:tc>
          <w:tcPr>
            <w:tcW w:w="5000" w:type="pct"/>
            <w:shd w:val="clear" w:color="auto" w:fill="auto"/>
          </w:tcPr>
          <w:p w14:paraId="28C19FE2" w14:textId="77777777" w:rsidR="0066043F" w:rsidRDefault="0066043F" w:rsidP="005B3FB9">
            <w:pPr>
              <w:spacing w:before="240" w:after="160" w:line="259" w:lineRule="auto"/>
              <w:jc w:val="center"/>
              <w:rPr>
                <w:rFonts w:cstheme="minorHAnsi"/>
              </w:rPr>
            </w:pPr>
            <w:r>
              <w:t>Justitieministern,</w:t>
            </w:r>
          </w:p>
          <w:p w14:paraId="271F69C9" w14:textId="77777777" w:rsidR="0066043F" w:rsidRPr="00F11721" w:rsidRDefault="0066043F" w:rsidP="005B3FB9">
            <w:pPr>
              <w:spacing w:before="240"/>
              <w:jc w:val="center"/>
            </w:pPr>
            <w:r>
              <w:t>P. VAN TIGCHELT</w:t>
            </w:r>
          </w:p>
        </w:tc>
      </w:tr>
      <w:tr w:rsidR="0066043F" w:rsidRPr="00F11721" w14:paraId="3A41DE4A" w14:textId="77777777" w:rsidTr="0066043F">
        <w:tc>
          <w:tcPr>
            <w:tcW w:w="5000" w:type="pct"/>
          </w:tcPr>
          <w:p w14:paraId="311DE88B" w14:textId="77777777" w:rsidR="0066043F" w:rsidRPr="00A35F0D" w:rsidRDefault="0066043F" w:rsidP="005B3FB9">
            <w:pPr>
              <w:spacing w:before="240"/>
              <w:jc w:val="center"/>
            </w:pPr>
            <w:r>
              <w:t>Statens sigill:</w:t>
            </w:r>
          </w:p>
          <w:p w14:paraId="636EF669" w14:textId="77777777" w:rsidR="0066043F" w:rsidRDefault="0066043F" w:rsidP="005B3FB9">
            <w:pPr>
              <w:spacing w:before="240"/>
              <w:jc w:val="center"/>
            </w:pPr>
            <w:r>
              <w:lastRenderedPageBreak/>
              <w:t>Justitieministern,</w:t>
            </w:r>
          </w:p>
          <w:p w14:paraId="32EFF2C9" w14:textId="77777777" w:rsidR="0066043F" w:rsidRPr="00F11721" w:rsidRDefault="0066043F" w:rsidP="005B3FB9">
            <w:pPr>
              <w:spacing w:before="240"/>
              <w:jc w:val="center"/>
            </w:pPr>
            <w:r>
              <w:t>P. VAN TIGCHELT</w:t>
            </w:r>
          </w:p>
        </w:tc>
      </w:tr>
      <w:tr w:rsidR="0066043F" w:rsidRPr="00A35F0D" w14:paraId="7F68DC46" w14:textId="77777777" w:rsidTr="0066043F">
        <w:tc>
          <w:tcPr>
            <w:tcW w:w="5000" w:type="pct"/>
          </w:tcPr>
          <w:p w14:paraId="0BF98B7C" w14:textId="77777777" w:rsidR="0066043F" w:rsidRPr="00A35F0D" w:rsidRDefault="0066043F" w:rsidP="005B3FB9">
            <w:pPr>
              <w:spacing w:before="240"/>
              <w:jc w:val="both"/>
              <w:rPr>
                <w:lang w:val="fr-FR"/>
              </w:rPr>
            </w:pPr>
          </w:p>
        </w:tc>
      </w:tr>
      <w:tr w:rsidR="0066043F" w:rsidRPr="00A35F0D" w14:paraId="0791B6E1" w14:textId="77777777" w:rsidTr="0066043F">
        <w:tc>
          <w:tcPr>
            <w:tcW w:w="5000" w:type="pct"/>
          </w:tcPr>
          <w:p w14:paraId="74D76D86" w14:textId="77777777" w:rsidR="0066043F" w:rsidRPr="00A35F0D" w:rsidRDefault="0066043F" w:rsidP="005B3FB9">
            <w:pPr>
              <w:spacing w:before="240"/>
              <w:jc w:val="center"/>
            </w:pPr>
            <w:r>
              <w:t>ANMÄRKNING</w:t>
            </w:r>
          </w:p>
        </w:tc>
      </w:tr>
      <w:tr w:rsidR="0066043F" w:rsidRPr="00FE07E8" w14:paraId="6730366D" w14:textId="77777777" w:rsidTr="0066043F">
        <w:tc>
          <w:tcPr>
            <w:tcW w:w="5000" w:type="pct"/>
          </w:tcPr>
          <w:p w14:paraId="7C217953" w14:textId="77777777" w:rsidR="0066043F" w:rsidRPr="00DD5BDD" w:rsidRDefault="0066043F" w:rsidP="005B3FB9">
            <w:pPr>
              <w:jc w:val="both"/>
              <w:rPr>
                <w:lang w:val="en-US" w:eastAsia="en-GB"/>
              </w:rPr>
            </w:pPr>
          </w:p>
          <w:p w14:paraId="2B387012" w14:textId="77777777" w:rsidR="0066043F" w:rsidRPr="00502D71" w:rsidRDefault="0066043F" w:rsidP="005B3FB9">
            <w:pPr>
              <w:jc w:val="both"/>
            </w:pPr>
            <w:r>
              <w:t>(1) Representanthuset</w:t>
            </w:r>
          </w:p>
          <w:p w14:paraId="2F303363" w14:textId="77777777" w:rsidR="0066043F" w:rsidRPr="00FE07E8" w:rsidRDefault="0066043F" w:rsidP="005B3FB9">
            <w:pPr>
              <w:spacing w:before="240"/>
              <w:jc w:val="both"/>
            </w:pPr>
            <w:r>
              <w:t>(</w:t>
            </w:r>
            <w:hyperlink r:id="rId4" w:history="1">
              <w:r>
                <w:rPr>
                  <w:rStyle w:val="Hyperlink"/>
                </w:rPr>
                <w:t>www.lachambre.be</w:t>
              </w:r>
            </w:hyperlink>
            <w:r>
              <w:t>):</w:t>
            </w:r>
          </w:p>
        </w:tc>
      </w:tr>
      <w:tr w:rsidR="0066043F" w:rsidRPr="004454BC" w14:paraId="483BAC9C" w14:textId="77777777" w:rsidTr="0066043F">
        <w:tc>
          <w:tcPr>
            <w:tcW w:w="5000" w:type="pct"/>
          </w:tcPr>
          <w:p w14:paraId="3FA4EF28" w14:textId="77777777" w:rsidR="0066043F" w:rsidRPr="004454BC" w:rsidRDefault="0066043F" w:rsidP="005B3FB9">
            <w:pPr>
              <w:jc w:val="both"/>
            </w:pPr>
            <w:r>
              <w:t xml:space="preserve">Dokument: </w:t>
            </w:r>
            <w:proofErr w:type="gramStart"/>
            <w:r>
              <w:t>55-3956</w:t>
            </w:r>
            <w:proofErr w:type="gramEnd"/>
          </w:p>
          <w:p w14:paraId="3577992A" w14:textId="77777777" w:rsidR="0066043F" w:rsidRPr="004454BC" w:rsidRDefault="0066043F" w:rsidP="005B3FB9">
            <w:pPr>
              <w:spacing w:before="240"/>
              <w:jc w:val="both"/>
            </w:pPr>
            <w:r>
              <w:t>Fullständig rapport: den 2 maj 2024</w:t>
            </w:r>
          </w:p>
        </w:tc>
      </w:tr>
      <w:tr w:rsidR="0066043F" w:rsidRPr="00A35F0D" w14:paraId="7142AB2E" w14:textId="77777777" w:rsidTr="0066043F">
        <w:tc>
          <w:tcPr>
            <w:tcW w:w="5000" w:type="pct"/>
          </w:tcPr>
          <w:p w14:paraId="3459BA09" w14:textId="77777777" w:rsidR="0066043F" w:rsidRPr="00A35F0D" w:rsidRDefault="0066043F" w:rsidP="005B3FB9">
            <w:pPr>
              <w:spacing w:before="240"/>
              <w:jc w:val="both"/>
              <w:rPr>
                <w:lang w:val="fr-FR"/>
              </w:rPr>
            </w:pPr>
          </w:p>
        </w:tc>
      </w:tr>
    </w:tbl>
    <w:p w14:paraId="26C9C8ED" w14:textId="77777777" w:rsidR="00A36095" w:rsidRPr="0066043F" w:rsidRDefault="00A36095">
      <w:pPr>
        <w:rPr>
          <w:lang w:val="fr-FR"/>
        </w:rPr>
      </w:pPr>
    </w:p>
    <w:sectPr w:rsidR="00A36095" w:rsidRPr="0066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3F"/>
    <w:rsid w:val="000F018E"/>
    <w:rsid w:val="0066043F"/>
    <w:rsid w:val="006B0BBF"/>
    <w:rsid w:val="00925EA1"/>
    <w:rsid w:val="00A36095"/>
    <w:rsid w:val="00CF682C"/>
    <w:rsid w:val="00DD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09B6"/>
  <w15:chartTrackingRefBased/>
  <w15:docId w15:val="{16EE4D2E-2227-422F-88B6-A4BC4DE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4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_Sup"/>
    <w:uiPriority w:val="99"/>
    <w:rsid w:val="0066043F"/>
    <w:rPr>
      <w:vertAlign w:val="superscript"/>
    </w:rPr>
  </w:style>
  <w:style w:type="character" w:styleId="Hyperlink">
    <w:name w:val="Hyperlink"/>
    <w:rsid w:val="0066043F"/>
    <w:rPr>
      <w:color w:val="0000FF"/>
      <w:u w:val="single"/>
    </w:rPr>
  </w:style>
  <w:style w:type="character" w:customStyle="1" w:styleId="Italic">
    <w:name w:val="_Italic"/>
    <w:uiPriority w:val="99"/>
    <w:rsid w:val="00660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hamb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4089</Words>
  <Characters>22619</Characters>
  <Application>Microsoft Office Word</Application>
  <DocSecurity>0</DocSecurity>
  <Lines>368</Lines>
  <Paragraphs>169</Paragraphs>
  <ScaleCrop>false</ScaleCrop>
  <Company>Federal Justice Belgium</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Failla Jessica</dc:creator>
  <cp:keywords>class='Internal'</cp:keywords>
  <dc:description/>
  <cp:lastModifiedBy>Ragnhild Efraimsson</cp:lastModifiedBy>
  <cp:revision>2</cp:revision>
  <dcterms:created xsi:type="dcterms:W3CDTF">2024-06-20T13:30:00Z</dcterms:created>
  <dcterms:modified xsi:type="dcterms:W3CDTF">2024-06-20T13:30:00Z</dcterms:modified>
</cp:coreProperties>
</file>