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I K U M S</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LIKUMPROJEKTS, AR KO GROZA LIKUMU PAR TABAKAS UN SAISTĪTO IZSTRĀDĀJUMU LIETOŠANAS IEROBEŽOŠANU</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 pants</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t>Likuma par tabakas un saistīto izstrādājumu lietošanas ierobežošanu (Slovēnijas Republikas Oficiālais Vēstnesis, Nr. 9/17 un 29/17) 1. pantā vārdus “</w:t>
      </w:r>
      <w:hyperlink r:id="rId4" w:tgtFrame="_blank" w:tooltip="to EUR-Lex" w:history="1">
        <w:r>
          <w:rPr>
            <w:rFonts w:ascii="Arial" w:hAnsi="Arial"/>
            <w:color w:val="0000EE"/>
            <w:sz w:val="21"/>
            <w:u w:val="single" w:color="0000EE"/>
          </w:rPr>
          <w:t>Komisijas 2014. gada 10. oktobra Deleģētā direktīva 2014/109/ES</w:t>
        </w:r>
      </w:hyperlink>
      <w:r>
        <w:t xml:space="preserve">, ar ko groza Eiropas Parlamenta un Padomes </w:t>
      </w:r>
      <w:hyperlink r:id="rId5" w:tgtFrame="_blank" w:tooltip="to EUR-Lex" w:history="1">
        <w:r>
          <w:rPr>
            <w:rFonts w:ascii="Arial" w:hAnsi="Arial"/>
            <w:color w:val="0000EE"/>
            <w:sz w:val="21"/>
            <w:u w:val="single" w:color="0000EE"/>
          </w:rPr>
          <w:t>Direktīvas 2014/40/ES II pielikumu</w:t>
        </w:r>
      </w:hyperlink>
      <w:r>
        <w:t>, izveidojot uz tabakas izstrādājumiem izmantojamo attēlu brīdinājumu bibliotēku (OV L 360, 17.</w:t>
      </w:r>
      <w:r>
        <w:rPr>
          <w:rFonts w:ascii="Arial" w:hAnsi="Arial"/>
          <w:sz w:val="21"/>
        </w:rPr>
        <w:t xml:space="preserve"> 12. </w:t>
      </w:r>
      <w:r>
        <w:t>2014., 22. lpp.)” aizstāj ar vārdiem “</w:t>
      </w:r>
      <w:hyperlink r:id="rId6" w:tgtFrame="_blank" w:tooltip="to EUR-Lex" w:history="1">
        <w:r>
          <w:rPr>
            <w:rFonts w:ascii="Arial" w:hAnsi="Arial"/>
            <w:color w:val="0000EE"/>
            <w:sz w:val="21"/>
            <w:u w:val="single" w:color="0000EE"/>
          </w:rPr>
          <w:t>Komisijas 2022. gada 29. jūnija Deleģētā direktīva (ES) 2022/2100</w:t>
        </w:r>
      </w:hyperlink>
      <w:r>
        <w:t xml:space="preserve">, ar ko groza Eiropas Parlamenta un Padomes </w:t>
      </w:r>
      <w:hyperlink r:id="rId7" w:tgtFrame="_blank" w:tooltip="to EUR-Lex" w:history="1">
        <w:r>
          <w:rPr>
            <w:rFonts w:ascii="Arial" w:hAnsi="Arial"/>
            <w:color w:val="0000EE"/>
            <w:sz w:val="21"/>
            <w:u w:val="single" w:color="0000EE"/>
          </w:rPr>
          <w:t>Direktīvu 2014/40/ES</w:t>
        </w:r>
      </w:hyperlink>
      <w:r>
        <w:t xml:space="preserve"> attiecībā uz dažu atbrīvojumu atcelšanu attiecībā uz karsējamiem tabakas izstrādājumiem (OV L 283, 3.</w:t>
      </w:r>
      <w:r>
        <w:rPr>
          <w:rFonts w:ascii="Arial" w:hAnsi="Arial"/>
          <w:sz w:val="21"/>
        </w:rPr>
        <w:t xml:space="preserve"> 11. 2022., 4. lpp.).”</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 pants</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panta 12. punktu groza šādi:</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Elektroniskā cigarete ir izstrādājums, ko var izmantot, lai caur iemuti vai jebkuru tā sastāvdaļu, tostarp patronu, tvertni un ierīci bez kasetnes vai tvertnes, ieelpotu nikotīnu saturošus tvaikus. Elektroniskās cigaretes pēc lietošanas var būt vienreizējas lietošanas vai uzpildāmas, izmantojot uzpildes flakonu un tvertni, vai arī tās var atkārtoti uzpildīt ar vienreizlietojamu kārtridžu.” Elektronisko cigareti uzskata par elektronisko cigareti arī tad, ja tā ir atkārtoti uzpildīta, izmantojot nikotīnu nesaturošu uzpildes flakonu un cisternu, vai atkārtoti uzpildīta ar nikotīnu nesaturošu nikotīnu nesaturošu tvaiku ieelpošanai.”;</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12. punkta pievieno šādu jaunu 12.a punktu:</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“12.a Elektroniskā cigarete bez nikotīna ir vienreizējas lietošanas izstrādājums, kas satur tvertni ar nenikotīna šķidrumu un ko izmanto, lai ieelpotu tvaikus, kas nesatur nikotīnu caur iemuti vai kādu tā sastāvdaļu.”</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Svītro 17. punktu.</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19. punkta pievieno šādu jaunu 19.a punktu:</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Jauns nikotīna produkts ir produkts, kas nepieder nevienai no šīm produktu kategorijām, kas satur nikotīnu, bet nesatur tabaku: elektroniskās cigaretes, uzpildes flakoni un reģistrēti nikotīna aizstājterapijas produkti.”</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22. punkta pievieno šādu jaunu 22.a punktu:</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Karsējams tabakas izstrādājums ir jaunieviests tabakas izstrādājums, kas tiek karsēts, lai radītu emisijas, kas satur nikotīnu un citas ķīmiskas vielas, ko pēc tam ieelpo lietotājs(-i) un kas atkarībā no tā īpašībām ir bezdūmu tabakas izstrādājums vai tabakas izstrādājums smēķēšanai.”</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23. punkta pievieno šādu jaunu 23.a punktu:</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Uzpildes flakons ir tvertne, kurā ir beznikotīna šķidrums, ko var izmantot, lai uzpildītu elektronisko cigareti.”</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25. punktu groza šādi:</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Saistītie produkti saskaņā ar </w:t>
      </w:r>
      <w:hyperlink r:id="rId8" w:tgtFrame="_blank" w:tooltip="to EUR-Lex" w:history="1">
        <w:r>
          <w:rPr>
            <w:rFonts w:ascii="Arial" w:hAnsi="Arial"/>
            <w:color w:val="0000EE"/>
            <w:sz w:val="21"/>
            <w:u w:val="single" w:color="0000EE"/>
          </w:rPr>
          <w:t>Direktīvu 2014/40/ES</w:t>
        </w:r>
      </w:hyperlink>
      <w:r>
        <w:rPr>
          <w:rFonts w:ascii="Arial" w:hAnsi="Arial"/>
          <w:sz w:val="21"/>
        </w:rPr>
        <w:t xml:space="preserve"> ir elektroniskās cigaretes un uzpildes flakoni un smēķēšanai paredzēti augu izcelsmes izstrādājumi. Saskaņā ar šo likumu saistītie produkti ietver arī nikotīnu nesaturošas elektroniskās cigaretes un nikotīnu nesaturošus uzpildes konteinerus, karsējamus augu izcelsmes izstrādājumus, jaunus tabakas izstrādājumus, jaunus nikotīna izstrādājumus. Saskaņā ar šo likumu saistītās preces ir arī šīs sadaļas pirmajā teikumā un iepriekšējā teikumā minēto saistīto izstrādājumu izmantošanas piederumi vai ierīces, bez kurām saistītos produktus nevar izmantot.”.</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40. punktu groza šādi:</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Tinamā tabaka ir tabaka, ko patērētāji vai mazumtirdzniecības punkti var izmantot cigarešu izgatavošanai.”</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50. punkta pievieno šādu jaunu 50.a punktu:</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Karsēts augu izcelsmes izstrādājums ir izstrādājums, kura pamatā ir augi, garšaugi vai augļi, kas nesatur tabaku un kura izmantošanas laikā notiek karsēšana.”</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 pants</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panta 1. punktu groza šādi:</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Aizliegts laist tirgū cigaretes, tinamo tabaku un karsējamus tabakas izstrādājumus ar raksturīgu aromātu.”</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 pants</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panta 2. punktu groza šādi:</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Aizliegts laist tirgū cigaretes, tinamo tabaku un karsējamus tabakas izstrādājumus, kuru sastāvā ir aromatizējošas vielas jebkurā no sastāvdaļām, piemēram, filtros, papīrā, iesaiņojumā un kapsulās, vai kuru tehniskās īpašības ļauj mainīt tabakas izstrādājuma smaržu vai garšu vai dūmu intensitāti. Filtri, papīri un kapsulas nesatur tabaku vai nikotīnu.”</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5. pants</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pantā pēc 6. punkta pievieno šādu jaunu 7. punktu:</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Iepakojuma vienību attēliem un jebkuram tabakas izstrādājumu ārējam iepakojumam, kas paredzēts patērētājiem, jāatbilst šā likuma II nodaļas 2. pa (Marķēšana un iepakojums) noteikumiem.”.</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6. pants</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14. panta 1. punkta ievadteikumu groza šādi: Uz katras smēķēšanai paredzētu tabakas izstrādājumu iepakojuma vienības un ārējā iepakojuma, tostarp karsējamiem tabakas izstrādājumiem smēķēšanai paredzētu tabakas izstrādājumu gadījumā, ir šāds vispārīgs brīdinājums:”.</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punkta ievadteikumu groza šādi: Uz katra smēķēšanai paredzētu tabakas izstrādājumu, tostarp karsētu tabakas izstrādājumu, iepakojuma vienība un ārējais iepakojums smēķēšanai paredzētu tabakas izstrādājumu gadījumā ir šāds informatīvs uzraksts:”.</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punkta pirmo teikumu groza šādi: “Ja iepakojuma vienības satur cigaretes, iepakojuma vienības ar karsētiem tabakas izstrādājumiem smēķēšanai paredzētu tabakas izstrādājumu gadījumā un kvadrātveida iepakojuma vienības ar tinamo tabaku, vispārīgo brīdinājumu norāda iepakojuma vienības vienas sānu virsmas apakšā, bet informācijas uzrakstu norāda otras sānu virsmas apakšā.”</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7. pants</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panta 1. punkta pirmo teikumu groza šādi: “Katrai smēķēšanai paredzētu tabakas izstrādājumu iepakojuma vienībai un ārējam iepakojumam, tostarp karsējamiem tabakas izstrādājumiem smēķēšanai paredzētu tabakas izstrādājumu gadījumā, jābūt kombinētiem brīdinājumiem par ietekmi uz veselību.”</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8. pants</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22. panta 9. punktu groza un izsaka šādā redakcijā:</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Tabakas izstrādājumu tirdzniecībā iesaistītā saimnieciskā vienība reģistrētos datus nemaina un nedzēš.”</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9. pants</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25. panta 2. punkta pirmajā teikumā aiz vārda “punkts” dzēš komatu un vārdus “ja NLZOH uzskata, ka tas ir nepieciešams mainīto apstākļu dēļ”.</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2. punkta iekļauj šādu jaunu 3. punktu:</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iekasē no ražotājiem un importētājiem maksu par saskaņā ar šo pantu iesniegto datu saņemšanu, glabāšanu, apstrādi un analīzi.”</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Esošo 3. punktu, kas kļūst par 4. punktu, groza šādi:</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Ministrs nosaka paziņošanas veidu un metodi, kā arī šajā pantā minēto nodevu apmēru.”</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10. pants</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26. panta 3. punkta trešā teikuma ievadteikumu groza šādi: “Elektroniskās cigaretes, elektroniskās cigaretes bez nikotīna, uzpildes flakoni un bez nikotīna uzpildes flakoni atbilst šādiem nosacījumiem:”.</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punkts ir izteikts šādā redakcijā:</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nikotīna vai beznikotīna šķidrumu laiž tirgū īpašās uzpildes tvertnēs, kuru tilpums nepārsniedz 10 ml. Vienreizējās lietošanas elektroniskajās cigaretēs, elektroniskajās cigaretēs bez nikotīna vai vienreizējās lietošanas kārtridžos ar vai bez nikotīna kārtridža vai tvertnes tilpums nepārsniedz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punkts ir izteikts šādā redakcijā:</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nikotīna vai beznikotīna šķidrums nesatur šā likuma 12. panta 1. punktā minētās piedevas.”</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punkts ir izteikts šādā redakcijā:</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nikotīna vai beznikotīna šķidruma ražošanā izmanto tikai tīras sastāvdaļas. Šķidrumā vielas, izņemot šā panta 2. punkta 2. apakšpunktā minētās sastāvdaļas, ir tikai nelielā daudzumā, ja ražošanas laikā no tehniskā viedokļa ir nenovēršami šādi mikrodaudzumi;”;</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punkts ir izteikts šādā redakcijā:</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tos neizmanto bērni, tie ir aizsargāti pret bojājumiem, plīsumiem un noplūdēm, un tiem ir mehānisms, kas nodrošina atkārtotu uzpildīšanu bez noplūdes;”.</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7. punkta pievieno šādu jaunu 8. punktu:</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nikotīna vai beznikotīna šķidrumā nedrīkst būt nekādu citu aromatizētāju kā vien tabakas garša vai smarža.”</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panta ievadteikumu groza šādi: “Elektronisko cigarešu, nikotīna nesaturošu elektronisko cigarešu, uzpildes flakonu un beznikotīna uzpildes flakonu iepakojumi un ārējais iepakojums:”.</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punktu groza šādi:</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neatkarīgi no iepriekšējā punkta tie nesatur šā likuma 17. pantā minētos elementus vai pazīmes, izņemot 1. punkta pirmo ievilkumu attiecībā uz informāciju par nikotīna saturu un informāciju par tabakas garšu vai smaržu, un, izņemot bez nikotīna elektroniskajām cigaretēm un uzpildes tvertnēm bez nikotīna, tajos ir šāds brīdinājums par ietekmi uz veselību, kas atbilst šā likuma 16. panta 2. un 3. punkta prasībām: “Šis izstrādājums satur nikotīnu, kas ir spēcīgu atkarību izraisoša viela.” To nav ieteicams lietot nesmēķētājiem.”</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Panta 8. punkta beigās pievieno šādus vārdus: “NLZOH un Slovēnijas Republikas Veselības inspekcija pēc pieprasījuma visu saskaņā ar šo pantu saņemto informāciju dara pieejamu Eiropas Komisijai un citām ES dalībvalstīm, nodrošinot komercnoslēpumu un citas konfidenciālas informācijas konfidencialitāti.”</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14. punkta tiek pievienots jauns 15. punkts:</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Noteikumus par 1. punktā minētā oficiālā paziņojuma iesniegšanu, 2. punktā minēto saturu, lietošanas pamācību iekļaušanu 4. punktā minētajos datos, 6. punktā minēto datu iesniegšanu, 7. punktā minēto tirgus attīstības uzraudzību, publicēšanu internetā, datu publiskošanu un 8. punktā minētās informācijas sniegšanu, datu vākšanas sistēmas izveidi un uzturēšanu un 9. punktā minēto savākto datu nosūtīšanu, šā panta 10. punktā minēto pasākumu pieņemšana un iestāžu informēšana, 11. punktā minētā papildu datu nosūtīšana, 12. punktā minētais paziņojums, 13. punktā minētās tiesības iekasēt maksu un šā panta 14. punktā minēto detalizētāku nosacījumu noteikšana attiecas arī uz elektroniskajām cigaretēm bez nikotīna un nikotīna nesaturošiem uzpildes flakoniem.”;</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11. pants</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Regulas 28. panta virsrakstu maina uz šādu: “(ziņošana par smēķēšanai paredzētu augu izcelsmes izstrādājumu un karsētu augu izcelsmes produktu sastāvdaļām)”.</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punkts ir izteikts šādā redakcijā:</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Smēķēšanai paredzētu augu izcelsmes izstrādājumu un karsējamo augu izcelsmes produktu ražotāji un importētāji iesniedz NLZOH sarakstu ar visām sastāvdaļām un to daudzumiem, kas izmantoti šo produktu ražošanā, atsevišķi par katru zīmolu un katru veidu. Oficiālo paziņojumu iesniedz elektroniski sešus mēnešus pirms jauna vai pārveidota augu izcelsmes izstrādājuma vai karsējama augu izcelsmes izstrādājuma plānotās laišanas tirgū. Smēķēšanai paredzētu augu izcelsmes izstrādājumu un karsējamu augu izcelsmes izstrādājumu ražotāji vai importētāji paziņo NLZOH, ja produkta sastāvs ir mainīts tā, ka tas ietekmē datus, kas iesniegti saskaņā ar šo pantu.”;</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2. punkta tiek ievietots jauns 3. punkts:</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iekasē no ražotājiem un importētājiem maksu par saskaņā ar šo pantu iesniegto datu saņemšanu, glabāšanu, apstrādi, analīzi un publicēšanu.”</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Esošo 3. punktu, kas kļūst par 4. punktu, groza šādi:</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Detalizētākus nosacījumus ziņošanai par karsējamo augu izcelsmes produktu un karsējamo augu produktu sastāvdaļām un šajā pantā minēto nodevu apmēru nosaka ministrs.”.</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12. pants</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 nodaļas virsrakstu groza šādi: “V. REKLĀMA, KAMPAŅAS, SPONSORĒŠANA, PĀRDOŠANA UN IMPORTS”.</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13. pants</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30. pantā panta virsrakstu groza šādi: “(pārdošanas un iegādes aizliegums)”;</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6. punkta pievieno jaunu 7. un 8. punktu šādā redakcijā:</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Indivīds nedrīkst pārdot vai laist tirgū tabaku, tabakas izstrādājumus vai saistītus izstrādājumus.</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Indivīds nedrīkst iegādāties tabaku, tabakas izstrādājumus vai saistītus izstrādājumus, pārkāpjot šo pantu.”</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14. pants</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30. panta pievieno šādu jaunu 30.a pantu:</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“30.a pants</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(Importa aizliegums)</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Šā likuma 11. panta 1. punktā, 12. panta 1., 2. un 3. punktā un 24. pantā minēto produktu imports ir aizliegts.</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Privātpersona nedrīkst importēt tabaku, tabakas izstrādājumus vai saistītus izstrādājumus, izņemot izstrādājumus, kas ir atbrīvoti no ievedmuitas nodokļa par pasažieru sūtījumiem vai personīgo bagāžu saskaņā ar regulu, kas reglamentē muitas atbrīvojumu sistēmu ES.”</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15. pants</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VII nodaļas virsrakstu groza šādi: “VII. SMĒĶĒŠANAS AIZLIEGUMS”.</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16. pants</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39. panta 3. punkta trešā ievilkuma beigās semikolu aizstāj ar punktu, un ceturto ievilkumu svītro.</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Svītro 4. punktu.</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punkts kļūst par 4. punktu.</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17. pants</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40. pantu svītro.</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18. pants</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41. panta formulējums ir izteikts šādā redakcijā:</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Šā likuma īstenošanas uzraudzību veic Slovēnijas Republikas Veselības inspekcija, Slovēnijas Republikas Darba inspekcija, Slovēnijas Republikas Tirgus inspekcija, Slovēnijas Republikas Finanšu pārvalde un policijas un pilsētu uzraudzības dienesti.</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Slovēnijas Republikas Veselības inspekcija uzrauga:</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darvas, nikotīna un oglekļa monoksīda emisijas no cigaretēm, kas minētas šā likuma 7. pantā;</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šā likuma 11. pantā minēto aizliegumu laist tirgū tabakas izstrādājumus ar raksturīgu aromātu;</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aizliegumu laist tirgū tabakas izstrādājumus, kas satur šā likuma 12. pantā minētās piedevas;</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ražotāju un importētāju ziņošanu un informēšanu par tabakas izstrādājumu un saistīto izstrādājumu sastāvdaļām un emisijām saskaņā ar šā likuma 9. pantu, 10. pantu, 25. pantu, 26. panta 1., 2. un 6. punktu un 28. pantu;</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pienākumus, kas jāpilda elektronisko cigarešu, elektronisko cigarešu bez nikotīna, uzpildes tvertņu un uzpildes tvertņu bez nikotīna ražotājiem, importētājiem un izplatītājiem, kas minēti šā likuma 26. panta 9., 10. un 11. punktā, un nosacījumus, kas jāpilda kas atbilst šā likuma 26. panta 3. punktā minētajām elektroniskajām cigaretēm, elektroniskajām cigaretēm bez nikotīna, uzpildes konteineriem un uzpildes traukiem bez nikotīna;</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aizliegumu smēķēt vai lietot tabaku, tabakas izstrādājumus un saistītos izstrādājumus, izņemot košļājamo tabaku un deguna tabaku, šā likuma 39. pantā minētajās sabiedriskās vietās;</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personas, kuras neievēro šā likuma 39. pantā minēto aizliegumu smēķēt vai lietot tabaku, tabakas izstrādājumus un saistītos izstrādājumus, izņemot košļājamo tabaku un deguna tabaku.</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Slovēnijas Republikas Veselības inspekcija, pamatojoties uz saviem konstatējumiem vai NLZOH konstatējumiem, ka tabaka, tabakas izstrādājumi un saistītie izstrādājumi tiek ražoti, pārdoti vai laisti tirgū, pārkāpjot šā likuma 7., 8., 11., 12. un 26. pantu, ar lēmumu aizliedz šo izstrādājumu ražošanu un pārdošanu un uzdod tos izņemt no ražošanas un pārdošanas.</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Slovēnijas Republikas Veselības inspekcija, pamatojoties uz NLZOH konstatējumiem, ka konkrētam tabakas, tabakas izstrādājumu un saistīto izstrādājumu zīmolam un veidam to ražotāji un importētāji nepilda pienākumu ziņot vai informēt par šā likuma 9., 10., 25., 26. un 28. pantā minētajiem izstrādājumiem, pieņemot lēmumu, ar kuru aizliedz pārdot šos izstrādājumus un uzdod tos izņemt no pārdošanas.</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Pēc Slovēnijas Republikas Veselības inspekcijas vai Slovēnijas Republikas Finanšu administrācijas pieprasījuma NLZOH var veikt tabakas, tabakas izstrādājumu un saistīto izstrādājumu laboratorisko testēšanu. Juridiskām un fiziskām personām, kas laiž tirgū tabaku, tabakas izstrādājumus un saistītos izstrādājumus, bez maksas jādara pieejams šāda izstrādājuma paraugs kompetentajam inspektoram (turpmāk “inspektors”). Ja laboratorisko pārbaužu rezultātā tiek konstatēts, ka kontroles procedūras laikā ņemtais paraugs neatbilst šā likuma noteikumiem, laboratoriskās pārbaudes izmaksas sedz juridiskā vai fiziskā persona, no kuras paraugs ņemts.</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Slovēnijas Republikas Darba inspekcija uzrauga:</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aizliegumu smēķēt vai lietot tabaku, tabakas izstrādājumus un saistītos izstrādājumus, izņemot košļājamo tabaku un deguna tabaku, šā likuma 39. pantā minētajās darba vietās;</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personas, kuras neievēro smēķēšanas vai tabakas, tabakas izstrādājumu un saistīto izstrādājumu, izņemot košļājamo tabaku un deguna tabaku, lietošanas aizliegumu šā likuma 39. pantā minētajās darba vietās.</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Slovēnijas Republikas Tirgus inspekcija uzrauga uzņēmējdarbības vienības, proti:</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nosacījumus, kas jāievēro attiecībā uz šā likuma 13.–20. pantā minēto tabaku un tabakas izstrādājumiem;</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šā likuma 24. pantā minēto aizliegumu laist tirgū orālai lietošanai paredzētu tabaku;</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nosacījumus, kas jāievēro elektroniskajām cigaretēm, elektroniskajām cigaretēm bez nikotīna, uzpildes tvertnēm un uzpildes tvertnēm bez nikotīna, kas minētas šā likuma 26. panta 4. un 5. punktā;</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nosacījumus, kas jāievēro attiecībā uz smēķēšanai paredzētiem augu izcelsmes produktiem, kas minēti šā likuma 27. pantā;</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tabakas, tabakas izstrādājumu un saistīto izstrādājumu sponsorēšanas un reklāmas aizliegumu, kas minēts šā likuma 29. pantā;</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šā likuma 30. un 31. pantā minēto pārdošanas aizliegumu;</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tabakas, tabakas izstrādājumu un saistīto izstrādājumu pārdošanu bez šā likuma 32. pantā minētās atļaujas un atļaujas redzamību šā likuma 34. panta 3. punktā minētajās uzņēmuma telpās.</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Slovēnijas Republikas Finanšu administrācija uzrauga:</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nosacījumus, kas izklāstīti šā likuma 22. un 23. pantā un kas jāievēro attiecībā uz tabaku un tabakas izstrādājumiem;</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nosacījumus, kas jāievēro attiecībā uz šā likuma 26. panta 3. punktā minētajām elektroniskajām cigaretēm, elektroniskajām cigaretēm bez nikotīna, uzpildes flakoniem uzpildes flakoniem bez nikotīna kad tos importē no trešajām valstīm, ar Slovēnijas Republikas Veselības inspekcijas atbalstu;</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privātpersonas, kas pārdod, laiž tirgū vai iegādājas tabaku, tabakas vai ar to saistītus izstrādājumus, pārkāpjot šā likuma 30. panta 7. un 8. punktu;</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importa aizliegumu, kas minēts šā likuma 30.a pantā;</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tabakas, tabakas izstrādājumu un saistīto izstrādājumu pārdošanu bez šā likuma 32. pantā minētās atļaujas.</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Ja Slovēnijas Republikas Tirgus inspekcija konstatē, ka tabaka un tabakas izstrādājumi tiek ražoti, pārdoti vai laisti tirgū, pārkāpjot šā likuma 13.–20. pantu, vai tiek pārdoti bez šā likuma 32. pantā minētās atļaujas, tā pieņem lēmumu, ar ko aizliedz to ražošanu, pārdošanu vai laišanu tirgū, un uzdod tos izņemt no ražošanas vai pārdošanas.</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Ja Slovēnijas Republikas Finanšu administrācija konstatē, ka tabaka, tabakas izstrādājumi un ar to saistītie izstrādājumi tiek pārdoti bez šā likuma 32. pantā minētās atļaujas, tā pieņem lēmumu, ar ko aizliedz to pārdošanu, un liek tos izņemt no ražošanas vai pārdošanas.</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Slovēnijas Republikas Veselības inspekcija, pamatojoties uz šā likuma 26. panta 12. punktā minēto paziņojumu, pieņem atbilstošus pagaidu pasākumus cilvēku veselības aizsardzībai, tostarp aizliegumu pārdot konkrētu produktu vai izņemt konkrētu produktu no tirgus.</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Ja kompetentā kontroles iestāde konstatē, ka tabaka vai saistītie izstrādājumi tiek ražoti, pārdoti vai laisti tirgū, pārkāpjot šā likuma 26. un 27. pantu vai bez šā likuma 32. pantā minētās atļaujas, tā pieņem lēmumu, ar ko aizliedz šo izstrādājumu pārdošanu, laišanu tirgū vai ražošanu, un uzdod tos izņemt no ražošanas vai pārdošanas.</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Ja Slovēnijas Republikas Tirgus inspekcija konstatē, ka tabaka, tabakas izstrādājumi vai ar to saistītie izstrādājumi tiek sponsorēti vai reklamēti, pārkāpjot šā likuma 29. pantu, šāda sponsorēšana vai reklāma ir aizliegta ar lēmumu. Lai izpildītu lēmumu, tā uzdod nekavējoties izņemt reklāmas materiālus uz uzņēmuma rēķina.</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Kompetentais inspektors var sadarboties ar personu, kas jaunāka par 18 gadiem, veicot uzraudzību attiecībā uz aizliegumu pārdot tabaku, tabakas izstrādājumus un ar tabaku saistītus izstrādājumus personām, kas jaunākas par 18 gadiem, kā minēts šā likuma 30. panta 1. punktā. Nepilngadīgo dalībai jāsaņem vecāku vai aizbildņu iepriekšēja rakstiska piekrišana.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Policijas un pilsētas uzraugu dienesti kontrolē smēķēšanas aizliegumu visos transportlīdzekļos tādu personu klātbūtnē, kas jaunākas par 18 gadiem, kā minēts šā likuma 39. panta 1. punktā.”</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19. pants</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42. panta 1. punktu groza šādi:</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Juridiskai personai piemēro naudas sodu no EUR 4000 līdz EUR 33 000 par nodarījumu:</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ja tā ražo, pārdod vai laiž tirgū cigaretes, kurās ir augstāks darvas, nikotīna un oglekļa monoksīda saturs, kā noteikts šā likuma 7. pantā;</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ja tā pārdod vai laiž tirgū tabakas izstrādājumus, attiecībā uz kuriem nav izpildīts pienākums ziņot par šo izstrādājumu sastāvdaļām un emisijām (9. un 10. pants);</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ja tā ražo, laiž tirgū vai pārdod tabakas izstrādājumus ar raksturīgu aromātu (11. pants) vai ar piedevām, kas minētas šā likuma 12. panta 1. un 3. punktā, vai ja tā ražo, pārdod vai laiž tirgū tabakas izstrādājumus, kas satur aromātiskas vielas kādā no to sastāvdaļām (12. panta 2. punkts);</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ja tā laiž tirgū vai pārdod tabakas izstrādājumus un bezdūmu tabakas izstrādājumus, kas neatbilst marķēšanas, iepakojuma, vispārīgo brīdinājumu, informatīvo paziņojumu un kombinēto brīdinājumu par ietekmi uz veselību nosacījumiem (13., 14., 15. un 16. pants);</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ja tā laiž tirgū vai pārdod tabakas izstrādājumus, kuru marķējums vai ārējais iepakojums ir pretrunā šā likuma 17. panta noteikumiem;</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ja tā laiž tirgū vai pārdod cigarešu paciņas un cigarešu ārējo iepakojumu, kuru izskats un saturs ir pretrunā ar šā likuma 18. panta noteikumiem;</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ja tā laiž tirgū vai pārdod tinamās tabakas iepakojuma vienības un tinamās tabakas ārējo iepakojumu, kura izskats un saturs ir pretrunā ar šā likuma 19. panta noteikumiem;</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ja tā laiž tirgū vai pārdod cigaretes, kuru izskats ir pretrunā ar šā likuma 20. panta noteikumiem;</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ja tā nepadara unikālo identifikatoru viegli pieejamu (22. panta 4. punkts);</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ja tā nereģistrē visu iepakojuma vienību un starppārvietojumu ierakstus un iepakojuma vienību galīgo daudzumu no tā, lai būtu iespējams skaidri un nepārprotami identificēt un izsekot visas iepakojuma vienības (22. panta 5. punkts);</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ja tā neveic visu veikto darījumu uzskaiti (22. panta 6. punkts);</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ja tā nenodrošina tabakas izstrādājumu tirdzniecībā iesaistītās saimnieciskās vienības, sākot no ražotāja līdz pēdējai saimnieciskajai vienībai, pirms pirmās realizācijas tirdzniecības vietā, tai skaitā importētājiem, noliktavām un transporta uzņēmumiem, tabakas izstrādājumu uzskaites iekārtām, vai ja nodrošinātais aprīkojums neļauj elektroniski nolasīt un nepārprotami identificēt un izsekot visas iepakojuma vienības (22. panta 7. punkts);</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ja tā maina vai dzēš reģistrētos datus (22. panta 9. punkts);</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ja tā laiž tirgū vai pārdod tabakas izstrādājumus bez identifikācijas zīmes vai drošības elementa, ja identifikācijas zīme ir nepilnīga vai ja pretviltošanas elements neatbilst prasītajiem tehniskajiem standartiem (22. panta 1., 2. un 3. punkts un 23. pants);</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ja tā laiž tirgū vai pārdod tabaku orālai lietošanai (24. pants);</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ja tā pārdod vai laiž tirgū jaunieviestus tabakas izstrādājumus, pārkāpjot šā likuma 25. pantu;</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17. ja tā ražo, pārdod vai laiž tirgū elektroniskās cigaretes, elektroniskās cigaretes bez nikotīna, uzpildes tvertnes vai uzpildes tvertnes bez nikotīna pārkāpjot šā likuma 26. panta 3., 4., 5. un 10. punktu;</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ja tā ražo, pārdod vai laiž tirgū v, pārkāpjot šā likuma 26. panta 1., 2., 6. un 11. punktu;</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ja tā laiž tirgū vai pārdod smēķēšanai paredzētu augu izcelsmes produktu, pārkāpjot šā likuma 27. pantu;</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ja tā neziņo par smēķēšanai paredzētu augu izcelsmes produktu un karsējamu augu izcelsmes produktu sastāvdaļām saskaņā ar šā likuma 28. pantu;</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ja tā ziedo vai sponsorē notikumu, darbību vai indivīdu un tieši vai netieši reklamē un veicina tabakas izstrādājumus un saistītos izstrādājumus (29. pants);</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ja tā izstāda vai izmanto tabaku, tabakas izstrādājumus un ar to saistītos izstrādājumus televīzijā un publiskas uzstāšanās kontekstā (29. panta 7. punkts);</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ja tā pārdod tabaku, tabakas izstrādājumus vai ar tabaku saistītus izstrādājumus personām, kas jaunākas par 18 gadiem, vai ja tā neizvieto pārdošanas aizliegumu redzamā vietā, vai pārdod tabaku, tabakas izstrādājumus vai ar to saistītus izstrādājumus personai, kas jaunāka par 18 gadiem (30. panta 1. un 2. punkts);</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ja tā pārdod vai laiž tirgū tabaku, tabakas izstrādājumus vai ar tabaku saistītus izstrādājumus, pārkāpjot šā likuma 30. panta 3. punktu;</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25. ja tā pārdod vai laiž tirgū tabaku, tabakas izstrādājumus vai ar tabaku saistītus izstrādājumus ārpus ražotāja oriģinālā iepakojuma (30. panta 4. punkts);</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ja tā laiž tirgū vai veic tabakas, tabakas izstrādājumu vai ar tabaku saistītu izstrādājumu pārrobežu tālpārdošanu, izmantojot internetu, telekomunikācijas vai citas tehnoloģijas, kas attīstās (30. panta 5. punkts);</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ja tā ražo, laiž tirgū vai veic pārrobežu tālpārdošanu saldumiem, uzkodām, rotaļlietām vai citiem priekšmetiem tabakas izstrādājumu vai ar tabaku saistītu izstrādājumu veidā, kas paredzēti personām, kas jaunākas par 18 gadiem (30. panta 6. punkts);</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ja tā importē šā likuma 11. panta 1. punktā, 12. panta 1., 2. un 3. punktā un 24. pantā minētos produktus;</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ja tai nav redzama atļauja pārdot tabaku, tabakas izstrādājumus un ar to saistītos izstrādājumus uzņēmuma telpās (34. panta 3. punkts);</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ja tā nenodrošina smēķēšanas vai tabakas, tabakas izstrādājumu un ar tabaku saistīto izstrādājumu, izņemot košļājamo tabaku un deguna tabaku, lietošanas aizlieguma ievērošanu slēgtās sabiedriskās telpās un darba telpās, kā arī telpās, kas nav uzskatāmas par slēgtām telpām saskaņā ar šo likumu, ja tās ir daļa no funkcionālās zemes, kas pieder objektiem, kuros tiek veiktas audzināšanas vai izglītošanas darbības (39. pants).”.</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5. un 6. punkts ir izteikts šādā redakcijā:</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w:t>
      </w:r>
      <w:r>
        <w:t xml:space="preserve">Par nodarījumiem, kas minēti šā panta 1. punkta 1., 3., </w:t>
      </w:r>
      <w:hyperlink r:id="rId9" w:tgtFrame="_blank" w:tooltip="to EUR-Lex" w:history="1">
        <w:r>
          <w:rPr>
            <w:rFonts w:ascii="Arial" w:hAnsi="Arial"/>
            <w:color w:val="0000EE"/>
            <w:sz w:val="21"/>
            <w:u w:val="single" w:color="0000EE"/>
          </w:rPr>
          <w:t>15., 17., 19.,</w:t>
        </w:r>
      </w:hyperlink>
      <w:r>
        <w:t xml:space="preserve"> 25. un 28. punktā, papildus galvenajai sankcijai piemēro arī to tabakas, tabakas izstrādājumu vai ar tabaku saistīto izstrādājumu konfiskāciju, kas ir nodarījuma priekšmets, un konfiscē priekšmetus, ar kuriem </w:t>
      </w:r>
      <w:r>
        <w:lastRenderedPageBreak/>
        <w:t>izdarīts pārkāpums.</w:t>
      </w:r>
      <w:r>
        <w:rPr>
          <w:rFonts w:ascii="Arial" w:hAnsi="Arial"/>
          <w:sz w:val="21"/>
        </w:rPr>
        <w:t xml:space="preserve"> Papildu sankcijas piemēro arī tad, ja tabaka, tabakas izstrādājumi vai ar tabaku saistītie izstrādājumi nav likumpārkāpēja īpašumā vai nav juridiskās personas valdījumā. Mantas konfiskāciju var atcelt, ja likumpārkāpējs pierāda tabakas, tabakas izstrādājumu vai ar tabaku saistīto izstrādājumu likumīgo izcelsmi vai ja papildu sankcijas piemērošana par nodarījuma priekšmetu konfiskāciju būtu acīmredzami nesamērīga ar nodarījuma smagumu un nodarījuma sekām.</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Juridiskai personai, individuālajam komersantam vai personai, kas patstāvīgi veic darbību, kura bez atļaujas pārdod tabaku, tabakas izstrādājumus vai ar tabaku saistītus izstrādājumus (32. pants), piemēro naudas sodu EUR 50 000 apmērā.</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Naudas sodu EUR 5000 apmērā piemēro juridiskas personas atbildīgajai personai, individuālā komersanta atbildīgajai personai vai personai, kas patstāvīgi veic darbību, kura bez atļaujas pārdod tabaku, tabakas izstrādājumus vai ar tabaku saistītus izstrādājumus (32. pants).</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20. pants</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43. panta 1. punktu groza šādi:</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Fiziskai personai uzliek naudas sodu no EUR 125 līdz EUR 5000 par noziedzīgu nodarījumu:</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ja tā iegādājas tabaku, tabakas izstrādājumus vai ar tabaku saistītus izstrādājumus, pārkāpjot šā likuma 30. pantu;</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ja tā importē produktus, pārkāpjot šā likuma 30.a panta 1. vai 2. punktu;</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ja tā smēķē vai izmanto tabaku, tabakas izstrādājumus vai ar tabaku saistītus izstrādājumus sabiedriskās vietās vai darba vietās, kur tas ir aizliegts (39. pants).</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Pēc 2. punkta pievieno jaunu 3. un 4. punktu šādā redakcijā:</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Fiziskai personai uzliek naudas sodu no EUR 3000 līdz EUR 5000 par noziedzīgu nodarījumu:</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ja tā reklāmas nolūkā piedāvā tabaku, tabakas izstrādājumus un ar tabaku saistītus izstrādājumus bez maksas publiskā vietā vai sabiedriskās telpās, pārkāpjot šā likuma 29. panta 3. punktu;</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ja tā pārdod vai laiž tirgū tabaku, tabakas izstrādājumus vai ar tabaku saistītus izstrādājumus, pārkāpjot šā likuma 30. panta 7. punktu.</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Par nodarījumiem, kas minēti šā panta pirmās daļas pirmajā un otrajā ievilkumā, un par nodarījumiem, kas minēti iepriekšējā punkta pirmajā un otrajā ievilkumā, papildus galvenajai sankcijai piemēro arī to tabakas, tabakas izstrādājumu vai ar tabaku saistīto izstrādājumu konfiskāciju, kas ir nodarījuma priekšmets, un konfiscē priekšmetus, ar kuriem izdarīts pārkāpums. Papildu sankcijas piemēro arī tad, ja tabaka, tabakas izstrādājumi vai ar tabaku saistītie izstrādājumi nav likumpārkāpēja īpašums vai nav viņa valdījumā. Mantas konfiskāciju var atcelt, ja likumpārkāpējs pierāda tabakas, tabakas izstrādājumu vai ar tabaku saistīto izstrādājumu likumīgo izcelsmi vai ja papildu sankcijas piemērošana par nodarījuma priekšmetu konfiskāciju būtu acīmredzami nesamērīga ar nodarījuma smagumu un nodarījuma sekām.”</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21. pants</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Aiz 43. panta iekļauj šādu jaunu 43.a pantu:</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“43.a pants</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(Naudas soda noteikšana paātrinātā pārkāpuma procedūrā)</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 šajā likumā minētajiem nodarījumiem naudas sodu var piemērot paātrinātā procedūrā apmērā, kas ir lielāks par šajā likumā noteikto minimālo naudas sodu.</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PĀREJAS UN NOBEIGUMA NOTEIKUMI</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22. pants</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(Darbību saskaņošana)</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Elektroniskās cigaretes, elektroniskās cigaretes bez nikotīna, uzpildes flakonus un uzpildes flakonus bez nikotīna ar aromatizētājiem drīkst laist tirgū ne ilgāk kā 12 mēnešus pēc šā likuma stāšanās spēkā.</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23. pants</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(Procedūru pabeigšana)</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Pārbaudes un pārkāpumu procedūras, kas uzsāktas pirms šā likuma stāšanās spēkā, pabeidz saskaņā ar līdz šim spēkā esošajiem noteikumiem.</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24. pants</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(Nolikums)</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Ministrs izdod noteikumus, kas minēti likuma grozītajā 25. panta 4. punktā un grozītajā likuma 28. panta 4. punktā, trīs mēnešu laikā pēc šā likuma stāšanās spēkā.</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Ministrs saskaņo likuma 26. panta 14. punktā minētos noteikumus ar likuma 3. punkta jauno 8. punktu un 26. panta 15. punktu trīs mēnešu laikā pēc šā likuma stāšanās spēkā.</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25. pants</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(Spēkā esošo regulu spēkā esamības izbeigšana un piemērošanas paplašināšana)</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Piemēro likuma par tabakas un saistīto izstrādājumu lietošanas ierobežošanu 3. panta 17. punkta, 3. panta ceturtā ievilkuma un 39. panta 4. panta, 40. panta, 2. panta 8. un 9. punkta, 6. panta 3. un 4. punkta, 41. panta 14. punkta, 42. panta 1. punkta 30. apakšpunkta un 43. panta 1. punkta trešo ievilkuma noteikumus smēķēšanas telpām (Slovēnijas Republikas Oficiālais Vēstnesis, Nr. 9/17 un 29/17) līdz 2025. gada 31. decembrim.</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No šā akta spēkā stāšanās dienas beidz piemērot Noteikumus par nosacījumiem, kas jāievēro smēķēšanas telpai (Slovēnijas Republikas Oficiālais Vēstnesis, Nr. 52/17), kurus var izmantot līdz 2025. gada 31. decembrim.</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26. pants</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(Stāšanās spēkā un piemērošana)</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Šis likums stājas spēkā piecpadsmitajā dienā pēc tā publicēšanas Slovēnijas Republikas Oficiālajā Vēstnesī, un to piemēro no trīsdesmitās dienas pēc tā stāšanās spēkā. </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Likumu par tabakas un saistīto izstrādājumu lietošanas ierobežošanu (Slovēnijas Republikas Oficiālais Vēstnesis, Nr. 9/17 un 29/17) piemēro līdz šā likuma spēkā stāšanās dienai.</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Nr.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Ļubļanā, 2024. gada 28. martā</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 xml:space="preserve">Slovēnijas Republikas </w:t>
      </w:r>
      <w:r>
        <w:rPr>
          <w:rFonts w:ascii="Arial" w:hAnsi="Arial"/>
          <w:sz w:val="21"/>
        </w:rPr>
        <w:br/>
        <w:t xml:space="preserve">Nacionālā asambleja </w:t>
      </w:r>
      <w:r>
        <w:rPr>
          <w:rFonts w:ascii="Arial" w:hAnsi="Arial"/>
          <w:sz w:val="21"/>
        </w:rPr>
        <w:br/>
        <w:t xml:space="preserve">Danijel Krivec </w:t>
      </w:r>
      <w:r>
        <w:rPr>
          <w:rFonts w:ascii="Arial" w:hAnsi="Arial"/>
          <w:sz w:val="21"/>
        </w:rPr>
        <w:br/>
        <w:t>priekšsēdētāja vietnieks</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4E6E58"/>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4319</Words>
  <Characters>26612</Characters>
  <Application>Microsoft Office Word</Application>
  <DocSecurity>0</DocSecurity>
  <Lines>451</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2024-08-14T11:54:00Z</dcterms:created>
  <dcterms:modified xsi:type="dcterms:W3CDTF">2024-08-14T11:54:00Z</dcterms:modified>
</cp:coreProperties>
</file>