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EB13C0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Spolková agentúra pre životné prostredie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EB13C0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Štvrtá zmena</w:t>
      </w:r>
      <w:r>
        <w:rPr>
          <w:b/>
          <w:sz w:val="20"/>
        </w:rPr>
        <w:br/>
        <w:t>novelizovaného znenia oznámenia</w:t>
      </w:r>
      <w:r>
        <w:rPr>
          <w:b/>
          <w:sz w:val="20"/>
        </w:rPr>
        <w:br/>
        <w:t>o základe pre posudzovanie</w:t>
      </w:r>
      <w:r>
        <w:rPr>
          <w:b/>
          <w:sz w:val="20"/>
        </w:rPr>
        <w:br/>
        <w:t>pre kovové materiály prichádzajúce do styku</w:t>
      </w:r>
      <w:r>
        <w:rPr>
          <w:b/>
          <w:sz w:val="20"/>
        </w:rPr>
        <w:br/>
        <w:t>s pitnou vodou</w:t>
      </w:r>
    </w:p>
    <w:p w14:paraId="0FE7CF9E" w14:textId="3A56FB14" w:rsidR="00D21EA2" w:rsidRPr="003A3CEF" w:rsidRDefault="00EB13C0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(Základ pre posudzovanie kovov)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,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EB13C0">
      <w:pPr>
        <w:pStyle w:val="BodyText"/>
        <w:spacing w:before="221"/>
        <w:ind w:left="1691" w:right="1686"/>
        <w:jc w:val="center"/>
      </w:pPr>
      <w:r>
        <w:t>10. júna 2024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EB13C0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EB13C0">
      <w:pPr>
        <w:pStyle w:val="BodyText"/>
        <w:ind w:left="4433"/>
      </w:pPr>
      <w:r>
        <w:t>Zmeny</w:t>
      </w:r>
    </w:p>
    <w:p w14:paraId="4AA685E8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V bode 1 sa prvý odsek nahrádza týmto odsekom:</w:t>
      </w:r>
    </w:p>
    <w:p w14:paraId="55EF1C5A" w14:textId="7C931817" w:rsidR="00D21EA2" w:rsidRPr="003A3CEF" w:rsidRDefault="00EB13C0" w:rsidP="003A3CEF">
      <w:pPr>
        <w:pStyle w:val="BodyText"/>
        <w:spacing w:line="252" w:lineRule="auto"/>
      </w:pPr>
      <w:r>
        <w:t>Látky a materiály používané na renováciu alebo údržbu zariadení na výrobu, úpravu alebo distribúciu pitnej vody, ktoré prichádzajú do styku s pitnou vodou, nesmú podľa § 14 nariadenia o pitnej vode (Trin</w:t>
      </w:r>
      <w:r>
        <w:t>kwV)</w:t>
      </w:r>
    </w:p>
    <w:p w14:paraId="511F9DCF" w14:textId="77777777" w:rsidR="00D21EA2" w:rsidRPr="003A3CEF" w:rsidRDefault="00EB13C0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priamo alebo nepriamo znižovať zamýšľanú ochranu ľudského zdravia;</w:t>
      </w:r>
    </w:p>
    <w:p w14:paraId="44F5E45E" w14:textId="77777777" w:rsidR="00D21EA2" w:rsidRPr="003A3CEF" w:rsidRDefault="00EB13C0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zhoršovať farbu, vôňu alebo chuť vody;</w:t>
      </w:r>
    </w:p>
    <w:p w14:paraId="2846BFA5" w14:textId="77777777" w:rsidR="00D21EA2" w:rsidRPr="003A3CEF" w:rsidRDefault="00EB13C0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 xml:space="preserve">podporovať množenie mikroorganizmov alebo </w:t>
      </w:r>
    </w:p>
    <w:p w14:paraId="3D32DA15" w14:textId="77777777" w:rsidR="00D21EA2" w:rsidRPr="003A3CEF" w:rsidRDefault="00EB13C0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 xml:space="preserve">uvoľňovať látky do vody vo väčších množstvách, ako je nevyhnutné pri dodržiavaní všeobecne uznávaných </w:t>
      </w:r>
      <w:r>
        <w:rPr>
          <w:sz w:val="18"/>
        </w:rPr>
        <w:t>technologických pravidiel.</w:t>
      </w:r>
    </w:p>
    <w:p w14:paraId="62E539DC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V bode 1 sa druhý odsek nahrádza týmto odsekom:</w:t>
      </w:r>
    </w:p>
    <w:p w14:paraId="0EE98BC9" w14:textId="77777777" w:rsidR="00D21EA2" w:rsidRPr="003A3CEF" w:rsidRDefault="00EB13C0">
      <w:pPr>
        <w:pStyle w:val="BodyText"/>
        <w:spacing w:before="76" w:line="249" w:lineRule="auto"/>
      </w:pPr>
      <w:r>
        <w:t>V tomto základe pre posudzovanie podľa § 15 ods. 1 nariadenia o pitnej vode sa špecifikujú vyššie uvedené všeobecné hygienické požiadavky na kovové materiály uvedené v rozsahu pôsobnosti.</w:t>
      </w:r>
    </w:p>
    <w:p w14:paraId="30A44FD9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V bode 1 sa prvá veta tretieho odseku nahrádza touto vetou:</w:t>
      </w:r>
    </w:p>
    <w:p w14:paraId="2A9809A8" w14:textId="77777777" w:rsidR="00D21EA2" w:rsidRPr="003A3CEF" w:rsidRDefault="00EB13C0">
      <w:pPr>
        <w:pStyle w:val="BodyText"/>
        <w:spacing w:line="249" w:lineRule="auto"/>
      </w:pPr>
      <w:r>
        <w:t>Základ p</w:t>
      </w:r>
      <w:r>
        <w:t>re posudzovanie obsahuje ako prílohu konečný pozitívny zoznam (§ 15 ods. 3 bod 3 nariadenia o pitnej vode) kovových materiálov.</w:t>
      </w:r>
    </w:p>
    <w:p w14:paraId="25B732FF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V bode 1 sa prvá veta štvrtého odseku nahrádza touto vetou:</w:t>
      </w:r>
    </w:p>
    <w:p w14:paraId="002C26A0" w14:textId="5F4C4828" w:rsidR="00D21EA2" w:rsidRPr="003A3CEF" w:rsidRDefault="00EB13C0">
      <w:pPr>
        <w:pStyle w:val="BodyText"/>
        <w:spacing w:before="76" w:line="252" w:lineRule="auto"/>
      </w:pPr>
      <w:r>
        <w:t>Výrobcovia výrobkov, ktoré prichádzajú do styku s pitnou vodou, musi</w:t>
      </w:r>
      <w:r>
        <w:t>a predložiť vyhlásenie o tom, či ich výrobky spĺňajú požiadavky zásad posudzovania podľa § 15 nariadenia o pitnej vode.</w:t>
      </w:r>
    </w:p>
    <w:p w14:paraId="38D26E44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V bode 1 sa prvá veta šiesteho odseku nahrádza touto vetou:</w:t>
      </w:r>
    </w:p>
    <w:p w14:paraId="7BDCEBA3" w14:textId="77777777" w:rsidR="00D21EA2" w:rsidRPr="003A3CEF" w:rsidRDefault="00EB13C0">
      <w:pPr>
        <w:pStyle w:val="BodyText"/>
        <w:spacing w:line="252" w:lineRule="auto"/>
        <w:ind w:right="124"/>
      </w:pPr>
      <w:r>
        <w:t>Podľa § 15 ods. 2 bodu 2 nariadenia o pitnej vode sa základ pre posudzovanie</w:t>
      </w:r>
      <w:r>
        <w:t xml:space="preserve"> uplatňuje dva roky po jeho uverejnení (t. j. od 10. apríla 2017).</w:t>
      </w:r>
    </w:p>
    <w:p w14:paraId="6548B8A2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V bode 1 sa štvrtá veta šiesteho odseku nahrádza touto vetou:</w:t>
      </w:r>
    </w:p>
    <w:p w14:paraId="31E018C3" w14:textId="1CCA6340" w:rsidR="00D21EA2" w:rsidRPr="003A3CEF" w:rsidRDefault="00EB13C0">
      <w:pPr>
        <w:pStyle w:val="BodyText"/>
        <w:spacing w:before="74" w:line="249" w:lineRule="auto"/>
        <w:ind w:right="106"/>
        <w:jc w:val="both"/>
      </w:pPr>
      <w:r>
        <w:t xml:space="preserve">Od uvedeného dátumu musia prevádzkovatelia zariadení na zásobovanie vodou zabezpečiť, aby sa v súlade s § 13 ods. 2 nariadenia </w:t>
      </w:r>
      <w:r>
        <w:t>o pitnej vode používali na výstavbu alebo údržbu zariadení na pitnú vodu len kovové materiály, ktoré sú uvedené v pozitívnom zozname kovových materiálov vhodných pre hygienu pitnej vody, s prihliadnutím na obmedzenia (skupiny výrobkov alebo použitie s urči</w:t>
      </w:r>
      <w:r>
        <w:t>tou pitnou vodou) uvedené v tomto základe pre posudzovanie.</w:t>
      </w:r>
    </w:p>
    <w:p w14:paraId="7D22B89E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V bode 1 sa ôsmy odsek nahrádza týmto odsekom:</w:t>
      </w:r>
    </w:p>
    <w:p w14:paraId="3811860D" w14:textId="77777777" w:rsidR="00D21EA2" w:rsidRPr="003A3CEF" w:rsidRDefault="00EB13C0">
      <w:pPr>
        <w:pStyle w:val="BodyText"/>
        <w:spacing w:line="249" w:lineRule="auto"/>
        <w:ind w:right="106"/>
        <w:jc w:val="both"/>
      </w:pPr>
      <w:r>
        <w:t>Podľa revidovanej smernice o pitnej vode [smernica (EÚ) 2020/2184] sa v budúcnosti uložia požiadavky na materiály prichádzajúce do styku s pitnou vod</w:t>
      </w:r>
      <w:r>
        <w:t>ou, ktoré budú jednotné v celej Európe. Tieto predpisy nahradia tento základ pre posudzovanie.</w:t>
      </w:r>
    </w:p>
    <w:p w14:paraId="135075EB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V bode 3.2.1 sa predposledná veta nahrádza touto vetou:</w:t>
      </w:r>
    </w:p>
    <w:p w14:paraId="10C88001" w14:textId="77777777" w:rsidR="00D21EA2" w:rsidRPr="003A3CEF" w:rsidRDefault="00EB13C0">
      <w:pPr>
        <w:pStyle w:val="BodyText"/>
        <w:spacing w:line="252" w:lineRule="auto"/>
        <w:ind w:right="106"/>
        <w:jc w:val="both"/>
      </w:pPr>
      <w:r>
        <w:t>Príslušne posúdené povlaky sú uvedené v pozitívnom zozname kovových materiálov vhodných pre hygienu pitnej vody (pozri prílohu 3 Povlaky).</w:t>
      </w:r>
    </w:p>
    <w:p w14:paraId="76E372B6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V bode 5.1 sa prvá veta prvého odseku nahrádza touto vetou:</w:t>
      </w:r>
    </w:p>
    <w:p w14:paraId="0EB4B3D8" w14:textId="77777777" w:rsidR="00D21EA2" w:rsidRPr="003A3CEF" w:rsidRDefault="00EB13C0">
      <w:pPr>
        <w:pStyle w:val="BodyText"/>
        <w:spacing w:line="252" w:lineRule="auto"/>
        <w:ind w:right="106"/>
        <w:jc w:val="both"/>
      </w:pPr>
      <w:r>
        <w:t>UBA posudzuje kovové materiály na požiadanie (§ 15 ods. 5 nariadenia o pitnej vode) výrobcu alebo združenia (ďalej len „žiadateľ“).</w:t>
      </w:r>
    </w:p>
    <w:p w14:paraId="45642588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 xml:space="preserve">Pojem „zariadenie pre pitnú vodu“ sa v celom dokumente nahrádza </w:t>
      </w:r>
      <w:r>
        <w:rPr>
          <w:sz w:val="18"/>
        </w:rPr>
        <w:t>výrazom „zariadenie na pitnú vodu“.</w:t>
      </w:r>
    </w:p>
    <w:p w14:paraId="016FC2DD" w14:textId="52B8DD9F" w:rsidR="00D21EA2" w:rsidRPr="003A3CEF" w:rsidRDefault="00EB13C0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lastRenderedPageBreak/>
        <w:t>Pojem „podnikateľ a iný vlastník“ sa v celom dokumente nahrádza pojmom „prevádzkovateľ“.</w:t>
      </w:r>
    </w:p>
    <w:p w14:paraId="37933A14" w14:textId="1B4E4E2B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>V prílohe „Pozitívny zoznam kovových materiálov vhodných na použitie v systémoch pitnej vody“ sa v existujúcich položkách zoznamu v</w:t>
      </w:r>
      <w:r>
        <w:rPr>
          <w:sz w:val="18"/>
        </w:rPr>
        <w:t>ykonávajú tieto zmeny:</w:t>
      </w:r>
    </w:p>
    <w:p w14:paraId="2627E809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2.1.3.4 CW506L-DW (CuZn33): Vypustenie doplnenia „-DW“</w:t>
      </w:r>
    </w:p>
    <w:p w14:paraId="63FD6D3F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>2.1.3.5 CW507L-DW (CuZn36): nevyhnutný sprievodný prvok Pb: Dodatok k znamienku *</w:t>
      </w:r>
    </w:p>
    <w:p w14:paraId="0C54EAC6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2.1.3.7 CW509L-DW (CuZn40): Najlepší podiel Cu v zliatine: Zmena dolného limitu z 59,5 % (m/m) n</w:t>
      </w:r>
      <w:r>
        <w:rPr>
          <w:sz w:val="18"/>
        </w:rPr>
        <w:t>a 59,0 % (m/m)</w:t>
      </w:r>
    </w:p>
    <w:p w14:paraId="30BF5C16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Dodatok k štandardnému označeniu „CC773S“</w:t>
      </w:r>
    </w:p>
    <w:p w14:paraId="383C8DA3" w14:textId="3A3B23C3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CW511L (CuZn38As): Dodatok k vysvetlivke k znamienku *: </w:t>
      </w:r>
      <w:r>
        <w:rPr>
          <w:sz w:val="18"/>
        </w:rPr>
        <w:t>„* ďalšie obmedzenia zloženia (pozri ďalej) v porovnaní s európskym štandardizovaným zložením CW511L“, dodatok k znamienku * na označení CW511L a dodatok „-DW“ k štandardnému označeniu</w:t>
      </w:r>
    </w:p>
    <w:p w14:paraId="0612714C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Dodatok „-C“ v chemickom názve „CuZn36AlAsSb-C“</w:t>
      </w:r>
    </w:p>
    <w:p w14:paraId="0C91243D" w14:textId="09D7D5E5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</w:t>
      </w:r>
      <w:r>
        <w:rPr>
          <w:sz w:val="18"/>
        </w:rPr>
        <w:t xml:space="preserve"> (nové číslovanie!) CW617N (CuZn40Pb2)/CW612N (CuZn39Pb2) a 2.9.3.2 CW614N (CuZn39Pb3)/CW603N (CuZn36Pb3): Doplnenie dodatku „-DW“ k štandardným názvom a nevyhnutným sprievodným prvkom Si: Dodatok k znamienku *</w:t>
      </w:r>
    </w:p>
    <w:p w14:paraId="3727F168" w14:textId="383574CE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>2.11.3.2 (nové číslovanie!) CW626N a 2.11.3.3</w:t>
      </w:r>
      <w:r>
        <w:rPr>
          <w:sz w:val="18"/>
        </w:rPr>
        <w:t xml:space="preserve"> CW625N: Doplnenie dodatku „-DW“ k štandardným označeniam</w:t>
      </w:r>
    </w:p>
    <w:p w14:paraId="1264F3EF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2.12.3.1 (nové číslovanie!) CC772S: Dodatok „-C“ v chemickom názve: „CuZn36Pb1.5AsSbAl-C“.</w:t>
      </w:r>
    </w:p>
    <w:p w14:paraId="73594D65" w14:textId="67193422" w:rsidR="00D21EA2" w:rsidRPr="003A3CEF" w:rsidRDefault="00EB13C0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>2.13.3.1 (nové číslovanie!) CW725R (CuZn33Pb1AlSiAs): Zložka zliatiny As: Doplnenie znamienka * a doplnenie</w:t>
      </w:r>
      <w:r>
        <w:rPr>
          <w:sz w:val="18"/>
        </w:rPr>
        <w:t xml:space="preserve"> dodatku „-DW“ k štandardnému označeniu</w:t>
      </w:r>
    </w:p>
    <w:p w14:paraId="10E8EEB5" w14:textId="64942B27" w:rsidR="00D21EA2" w:rsidRPr="00693F62" w:rsidRDefault="00EB13C0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>2.14.3.1 (nové číslovanie!) CC499K* (CuSn5Zn5Pb2-C) Zložky zliatiny Pb a Ni:  Vypustenie znamienka *</w:t>
      </w:r>
    </w:p>
    <w:p w14:paraId="531A470E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(nové číslovanie!) CW724R: Doplnenie dodatku „-DW“ k štandardnému označeniu</w:t>
      </w:r>
    </w:p>
    <w:p w14:paraId="3224D1DB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(nové číslovanie!) CC</w:t>
      </w:r>
      <w:r>
        <w:rPr>
          <w:sz w:val="18"/>
        </w:rPr>
        <w:t>768S: Dodatok „-C“ v chemickom názve „CuZn21Si3P-C“.</w:t>
      </w:r>
    </w:p>
    <w:p w14:paraId="3EE2ABDF" w14:textId="3FAF457D" w:rsidR="00D21EA2" w:rsidRPr="003A3CEF" w:rsidRDefault="00EB13C0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2.19.3.1 (nové číslovanie!): CW453K (CuSn8): Dodatok k vysvetlivke k znamienku *: „* ďalšie obmedzenia zloženia (pozri ďalej) v porovnaní s európskym štandardizovaným zložením CW453K.“, doplnenie k znami</w:t>
      </w:r>
      <w:r>
        <w:rPr>
          <w:sz w:val="18"/>
        </w:rPr>
        <w:t>enku * označenia CW453K a zložka zliatiny P: Dodatok k znamienku *</w:t>
      </w:r>
    </w:p>
    <w:p w14:paraId="18E86F2B" w14:textId="77777777" w:rsidR="00D21EA2" w:rsidRPr="003A3CEF" w:rsidRDefault="00EB13C0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2.20.3.1 (nové číslovanie!) CuSn10-C: Zložky zliatiny Pb a P: Dodatok k znamienku *</w:t>
      </w:r>
    </w:p>
    <w:p w14:paraId="27FD8057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V prílohe Pozitívny zoznam kovových materiálov vhodných pre hygienu pitnej vody sa v bode 2 dopĺňa kategória 2.8 „Zliatiny medi, zinku, cínu a fosforu“ vrátane materiálu „CW727R-DW (CuZn35Sn1P)“:</w:t>
      </w:r>
    </w:p>
    <w:p w14:paraId="43315A87" w14:textId="77777777" w:rsidR="00D21EA2" w:rsidRPr="003A3CEF" w:rsidRDefault="00EB13C0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Zliatiny medi, zinku, cínu a fosforu</w:t>
      </w:r>
    </w:p>
    <w:p w14:paraId="5E4220D1" w14:textId="77777777" w:rsidR="001D7495" w:rsidRPr="001D7495" w:rsidRDefault="00EB13C0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Zložky zliatiny</w:t>
      </w:r>
    </w:p>
    <w:p w14:paraId="576ACD79" w14:textId="04983551" w:rsidR="00D21EA2" w:rsidRPr="003A3CEF" w:rsidRDefault="00EB13C0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 xml:space="preserve">Zložky </w:t>
      </w:r>
      <w:r>
        <w:rPr>
          <w:sz w:val="18"/>
        </w:rPr>
        <w:t>zliatiny [% (m/m)]: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EB13C0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EB13C0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1D253FDC" w14:textId="77777777" w:rsidR="00D21EA2" w:rsidRPr="003A3CEF" w:rsidRDefault="00EB13C0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EB13C0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EB13C0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63,0 %</w:t>
            </w:r>
          </w:p>
        </w:tc>
        <w:tc>
          <w:tcPr>
            <w:tcW w:w="1621" w:type="dxa"/>
          </w:tcPr>
          <w:p w14:paraId="27E6A99D" w14:textId="77777777" w:rsidR="00D21EA2" w:rsidRPr="003A3CEF" w:rsidRDefault="00EB13C0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Zvyšok</w:t>
            </w:r>
          </w:p>
        </w:tc>
        <w:tc>
          <w:tcPr>
            <w:tcW w:w="1621" w:type="dxa"/>
          </w:tcPr>
          <w:p w14:paraId="5705B504" w14:textId="77777777" w:rsidR="00D21EA2" w:rsidRPr="003A3CEF" w:rsidRDefault="00EB13C0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0,5 % – 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EB13C0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0,05 % – 0,2 %</w:t>
            </w:r>
          </w:p>
        </w:tc>
      </w:tr>
    </w:tbl>
    <w:p w14:paraId="3D6E9B5A" w14:textId="77777777" w:rsidR="00D21EA2" w:rsidRPr="003A3CEF" w:rsidRDefault="00EB13C0">
      <w:pPr>
        <w:pStyle w:val="BodyText"/>
        <w:spacing w:before="115"/>
      </w:pPr>
      <w:r>
        <w:t>Nevyhnutné sprievodné prvky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EB13C0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EB13C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EB13C0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EB13C0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5E3C4DC7" w14:textId="77777777" w:rsidR="00D21EA2" w:rsidRPr="003A3CEF" w:rsidRDefault="00EB13C0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A80A4AF" w14:textId="77777777" w:rsidR="00D21EA2" w:rsidRPr="003A3CEF" w:rsidRDefault="00EB13C0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43A9BCD" w14:textId="77777777" w:rsidR="00D21EA2" w:rsidRPr="003A3CEF" w:rsidRDefault="00EB13C0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EB13C0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46CEFC27" w14:textId="77777777" w:rsidR="001D7495" w:rsidRPr="001D7495" w:rsidRDefault="00EB13C0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Referenčný materiál</w:t>
      </w:r>
    </w:p>
    <w:p w14:paraId="7346C13D" w14:textId="7456F3AC" w:rsidR="00D21EA2" w:rsidRPr="003A3CEF" w:rsidRDefault="00EB13C0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Zložky zliatiny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EB13C0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EB13C0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585E737E" w14:textId="77777777" w:rsidR="00D21EA2" w:rsidRPr="003A3CEF" w:rsidRDefault="00EB13C0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EB13C0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EB13C0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63,5 % – 65,0 %</w:t>
            </w:r>
          </w:p>
        </w:tc>
        <w:tc>
          <w:tcPr>
            <w:tcW w:w="1621" w:type="dxa"/>
          </w:tcPr>
          <w:p w14:paraId="43DCD9FE" w14:textId="77777777" w:rsidR="00D21EA2" w:rsidRPr="003A3CEF" w:rsidRDefault="00EB13C0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Zvyšok</w:t>
            </w:r>
          </w:p>
        </w:tc>
        <w:tc>
          <w:tcPr>
            <w:tcW w:w="1621" w:type="dxa"/>
          </w:tcPr>
          <w:p w14:paraId="0AA3CEDA" w14:textId="77777777" w:rsidR="00D21EA2" w:rsidRPr="003A3CEF" w:rsidRDefault="00EB13C0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0,5 % – 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EB13C0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0,05 % – 0,10 %</w:t>
            </w:r>
          </w:p>
        </w:tc>
      </w:tr>
    </w:tbl>
    <w:p w14:paraId="0E2F69C0" w14:textId="77777777" w:rsidR="00D21EA2" w:rsidRPr="003A3CEF" w:rsidRDefault="00EB13C0">
      <w:pPr>
        <w:pStyle w:val="BodyText"/>
        <w:spacing w:before="115"/>
      </w:pPr>
      <w:r>
        <w:t>Nevyhnutné sprievodné prvky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EB13C0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EB13C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EB13C0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EB13C0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EB13C0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EB13C0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0,06 % – 0,10 %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EB13C0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0,06 % – 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EB13C0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00997B73" w14:textId="77777777" w:rsidR="00D21EA2" w:rsidRPr="003A3CEF" w:rsidRDefault="00EB13C0">
      <w:pPr>
        <w:pStyle w:val="BodyText"/>
        <w:spacing w:before="127" w:line="249" w:lineRule="auto"/>
      </w:pPr>
      <w:r>
        <w:t xml:space="preserve">Prvky, ktoré treba určiť pri porovnávacej skúške podľa normy DIN EN 15664-1 vo vode prichádzajúcej do styku: olovo, meď, nikel, zinok </w:t>
      </w:r>
    </w:p>
    <w:p w14:paraId="2256FA56" w14:textId="77777777" w:rsidR="001D7495" w:rsidRDefault="00EB13C0">
      <w:pPr>
        <w:pStyle w:val="BodyText"/>
        <w:spacing w:before="74" w:line="336" w:lineRule="auto"/>
        <w:ind w:right="6536"/>
      </w:pPr>
      <w:r>
        <w:t xml:space="preserve">Najkritickejšia skúšobná voda: </w:t>
      </w:r>
    </w:p>
    <w:p w14:paraId="1B21A659" w14:textId="5A9507BE" w:rsidR="00D21EA2" w:rsidRPr="003A3CEF" w:rsidRDefault="00EB13C0" w:rsidP="001D7495">
      <w:pPr>
        <w:pStyle w:val="BodyText"/>
        <w:spacing w:before="0" w:line="336" w:lineRule="auto"/>
        <w:ind w:left="437" w:right="6538"/>
      </w:pPr>
      <w:r>
        <w:t>Skúšobná voda 1 v súlade s normou DIN EN 15664-2</w:t>
      </w:r>
    </w:p>
    <w:p w14:paraId="5243829A" w14:textId="77777777" w:rsidR="00D21EA2" w:rsidRPr="003A3CEF" w:rsidRDefault="00EB13C0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t>Materiály vhodné na použitie v systémoch</w:t>
      </w:r>
      <w:r>
        <w:rPr>
          <w:sz w:val="18"/>
        </w:rPr>
        <w:t xml:space="preserve"> pitnej vody</w:t>
      </w:r>
    </w:p>
    <w:p w14:paraId="02F62D09" w14:textId="77777777" w:rsidR="00D21EA2" w:rsidRPr="003A3CEF" w:rsidRDefault="00EB13C0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EB13C0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lastRenderedPageBreak/>
              <w:t>Označenie: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EB13C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výrobku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EB13C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EB13C0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245B33B4" w14:textId="77777777" w:rsidR="00D21EA2" w:rsidRPr="003A3CEF" w:rsidRDefault="00EB13C0">
      <w:pPr>
        <w:pStyle w:val="BodyText"/>
        <w:spacing w:before="117"/>
      </w:pPr>
      <w:r>
        <w:t>Zložky zliatiny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EB13C0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49" w:type="dxa"/>
          </w:tcPr>
          <w:p w14:paraId="2B49C0D1" w14:textId="77777777" w:rsidR="00D21EA2" w:rsidRPr="003A3CEF" w:rsidRDefault="00EB13C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EB13C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EB13C0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63,5 % – 65,0 %</w:t>
            </w:r>
          </w:p>
        </w:tc>
        <w:tc>
          <w:tcPr>
            <w:tcW w:w="1649" w:type="dxa"/>
          </w:tcPr>
          <w:p w14:paraId="7BFD1BB2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Zvyšok</w:t>
            </w:r>
          </w:p>
        </w:tc>
        <w:tc>
          <w:tcPr>
            <w:tcW w:w="1649" w:type="dxa"/>
          </w:tcPr>
          <w:p w14:paraId="381C854F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0,5 % – 1,0 %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0,05 % – 0,15 %</w:t>
            </w:r>
          </w:p>
        </w:tc>
      </w:tr>
    </w:tbl>
    <w:p w14:paraId="3D50FA60" w14:textId="77777777" w:rsidR="00D21EA2" w:rsidRPr="003A3CEF" w:rsidRDefault="00EB13C0">
      <w:pPr>
        <w:pStyle w:val="BodyText"/>
        <w:spacing w:before="117"/>
      </w:pPr>
      <w:r>
        <w:t>Nevyhnutné sprievodné prvky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EB13C0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EB13C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EB13C0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EB13C0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EB13C0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EB13C0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EB13C0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15D99F97" w14:textId="18F52D0D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V prílohe Pozitívny zoznam kovových materiálov vhodných pre hygienu pitnej vody sa vkladá nová kategória 2.8, čo má za následok posun ďalších čísel v bode 2.</w:t>
      </w:r>
    </w:p>
    <w:p w14:paraId="2CF4D805" w14:textId="08C1DD69" w:rsidR="00D21EA2" w:rsidRPr="00693F62" w:rsidRDefault="00EB13C0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>V prílohe „Pozitívny zoznam kovových materiálov vhodných pre hygienu pitnej vody“ sa v bode 3 „Gal</w:t>
      </w:r>
      <w:r>
        <w:rPr>
          <w:sz w:val="18"/>
        </w:rPr>
        <w:t>vanické povlaky Cu/Sn vonkajšieho povrchu“ nasledovne dopĺňa:</w:t>
      </w:r>
    </w:p>
    <w:p w14:paraId="48100BBC" w14:textId="77777777" w:rsidR="00D21EA2" w:rsidRPr="003A3CEF" w:rsidRDefault="00EB13C0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Galvanické povlaky Cu/Sn vonkajšieho povrchu</w:t>
      </w:r>
    </w:p>
    <w:p w14:paraId="2A9F15EC" w14:textId="77777777" w:rsidR="00D21EA2" w:rsidRPr="003A3CEF" w:rsidRDefault="00EB13C0">
      <w:pPr>
        <w:pStyle w:val="BodyText"/>
        <w:spacing w:before="78" w:line="249" w:lineRule="auto"/>
        <w:ind w:right="106"/>
        <w:jc w:val="both"/>
      </w:pPr>
      <w:r>
        <w:t>Zložky vyrobené zo všetkých kovových materiálov podľa bodu 2 Materiály pre armatúry, potrubné spojky, prístroje a čerpadlá (B), ako aj pre konštrukčn</w:t>
      </w:r>
      <w:r>
        <w:t>é diely v armatúrach, potrubných spojkách, prístrojoch a čerpadlách (C) v tomto pozitívnom zozname môžu byť galvanicky pokovované Cu/Sn.</w:t>
      </w:r>
    </w:p>
    <w:p w14:paraId="3418C46B" w14:textId="77777777" w:rsidR="00D21EA2" w:rsidRPr="003A3CEF" w:rsidRDefault="00EB13C0">
      <w:pPr>
        <w:pStyle w:val="BodyText"/>
        <w:spacing w:before="71"/>
      </w:pPr>
      <w:r>
        <w:t>Obmedzenia:</w:t>
      </w:r>
    </w:p>
    <w:p w14:paraId="353413DD" w14:textId="77777777" w:rsidR="00D21EA2" w:rsidRPr="003A3CEF" w:rsidRDefault="00EB13C0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 xml:space="preserve">Zložky povlaku Cu/Sn: </w:t>
      </w:r>
      <w:r>
        <w:rPr>
          <w:sz w:val="18"/>
        </w:rPr>
        <w:t xml:space="preserve">Cu 62 (± 1) % a Sn 38 (± 1) % (molárny pomer 1:1) </w:t>
      </w:r>
    </w:p>
    <w:p w14:paraId="29EADAB5" w14:textId="77777777" w:rsidR="00D21EA2" w:rsidRPr="003A3CEF" w:rsidRDefault="00EB13C0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Čistota použitých anód: ≥ 99,90 %</w:t>
      </w:r>
    </w:p>
    <w:p w14:paraId="06C76EB2" w14:textId="77777777" w:rsidR="001D7495" w:rsidRPr="001D7495" w:rsidRDefault="00EB13C0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Metóda nanášania povlaku; galvanické pokovovanie</w:t>
      </w:r>
    </w:p>
    <w:p w14:paraId="31D507EE" w14:textId="400479F4" w:rsidR="00D21EA2" w:rsidRPr="003A3CEF" w:rsidRDefault="00EB13C0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Dodatočné požiadavky</w:t>
      </w:r>
    </w:p>
    <w:p w14:paraId="549DF573" w14:textId="77777777" w:rsidR="00D21EA2" w:rsidRPr="003A3CEF" w:rsidRDefault="00EB13C0">
      <w:pPr>
        <w:pStyle w:val="BodyText"/>
        <w:spacing w:before="3" w:line="249" w:lineRule="auto"/>
        <w:ind w:right="106"/>
        <w:jc w:val="both"/>
      </w:pPr>
      <w:r>
        <w:t>V prípade predmetného výrobného postupu sa musí preukázať, že konečné výrobky nie sú kontaminované or</w:t>
      </w:r>
      <w:r>
        <w:t>ganickými ani anorganickými látkami, ktoré sa pridávajú do galvanizačných kúpeľov. Preukázať sa to dá skúškou migrácie podľa normy DIN EN 12873-1.</w:t>
      </w:r>
    </w:p>
    <w:p w14:paraId="4ADE1B43" w14:textId="4DA0ECB6" w:rsidR="00D21EA2" w:rsidRPr="003A3CEF" w:rsidRDefault="00EB13C0">
      <w:pPr>
        <w:pStyle w:val="BodyText"/>
        <w:spacing w:before="70" w:line="249" w:lineRule="auto"/>
        <w:ind w:right="106"/>
        <w:jc w:val="both"/>
      </w:pPr>
      <w:r>
        <w:t xml:space="preserve">Dôkaz sa môže poskytnúť v rámci povoľovacieho alebo certifikačného postupu. V rámci takéhoto postupu netreba </w:t>
      </w:r>
      <w:r>
        <w:t>vykonať skúšku uvoľňovania kovov. Okrem toho sa pre výrobný proces vyžaduje systém zabezpečenia kvality.</w:t>
      </w:r>
    </w:p>
    <w:p w14:paraId="45C8B50D" w14:textId="77777777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V prílohe „Pozitívny zoznam kovových materiálov vhodných pre hygienu pitnej vody“ sa v bode 4 nasledovne dopĺňajú materiály „NiCr8020“ a „TaCr“:</w:t>
      </w:r>
    </w:p>
    <w:p w14:paraId="3FD69A26" w14:textId="1D18AA04" w:rsidR="00D21EA2" w:rsidRPr="003A3CEF" w:rsidRDefault="00EB13C0">
      <w:pPr>
        <w:pStyle w:val="BodyText"/>
        <w:spacing w:before="70"/>
        <w:jc w:val="both"/>
      </w:pPr>
      <w:r>
        <w:t xml:space="preserve">4.3.2 </w:t>
      </w:r>
      <w:r>
        <w:t>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EB13C0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Označenie: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EB13C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výrobku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EB13C0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3F721A06" w14:textId="77777777" w:rsidR="00D21EA2" w:rsidRPr="003A3CEF" w:rsidRDefault="00EB13C0">
      <w:pPr>
        <w:pStyle w:val="BodyText"/>
        <w:spacing w:before="117"/>
        <w:jc w:val="both"/>
      </w:pPr>
      <w:r>
        <w:t>Zložky zliatiny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EB13C0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EB13C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EB13C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EB13C0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75,0 %</w:t>
            </w:r>
          </w:p>
        </w:tc>
        <w:tc>
          <w:tcPr>
            <w:tcW w:w="1594" w:type="dxa"/>
          </w:tcPr>
          <w:p w14:paraId="351E876F" w14:textId="77777777" w:rsidR="00D21EA2" w:rsidRPr="003A3CEF" w:rsidRDefault="00EB13C0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19,0 % – 21,0 %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EB13C0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0,50 % – 2,0 %</w:t>
            </w:r>
          </w:p>
        </w:tc>
      </w:tr>
    </w:tbl>
    <w:p w14:paraId="026A0640" w14:textId="77777777" w:rsidR="00D21EA2" w:rsidRPr="003A3CEF" w:rsidRDefault="00EB13C0">
      <w:pPr>
        <w:pStyle w:val="BodyText"/>
        <w:spacing w:before="118"/>
        <w:jc w:val="both"/>
      </w:pPr>
      <w:r>
        <w:t>Nevyhnutné sprievodné prvky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EB13C0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EB13C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EB13C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EB13C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EB13C0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EB13C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1035" w:type="dxa"/>
          </w:tcPr>
          <w:p w14:paraId="2D67EEF1" w14:textId="77777777" w:rsidR="00D21EA2" w:rsidRPr="003A3CEF" w:rsidRDefault="00EB13C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EB13C0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EB13C0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EB13C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0,30 %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EB13C0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EB13C0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1,5 %</w:t>
            </w:r>
          </w:p>
        </w:tc>
        <w:tc>
          <w:tcPr>
            <w:tcW w:w="1035" w:type="dxa"/>
          </w:tcPr>
          <w:p w14:paraId="05811A4B" w14:textId="77777777" w:rsidR="00D21EA2" w:rsidRPr="003A3CEF" w:rsidRDefault="00EB13C0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EB13C0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1,0 %</w:t>
            </w:r>
          </w:p>
        </w:tc>
        <w:tc>
          <w:tcPr>
            <w:tcW w:w="1035" w:type="dxa"/>
          </w:tcPr>
          <w:p w14:paraId="0B7CC8B0" w14:textId="77777777" w:rsidR="00D21EA2" w:rsidRPr="003A3CEF" w:rsidRDefault="00EB13C0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EB13C0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EB13C0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EB13C0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</w:tr>
    </w:tbl>
    <w:p w14:paraId="5B259DFB" w14:textId="70FF6A52" w:rsidR="00D21EA2" w:rsidRPr="003A3CEF" w:rsidRDefault="00EB13C0">
      <w:pPr>
        <w:pStyle w:val="BodyText"/>
        <w:spacing w:before="118"/>
        <w:jc w:val="both"/>
      </w:pPr>
      <w:r>
        <w:t>4.3.9 TaCr</w:t>
      </w:r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EB13C0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Označenie: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EB13C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výrobku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EB13C0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TaCr</w:t>
            </w:r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EB13C0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a D</w:t>
            </w:r>
          </w:p>
        </w:tc>
      </w:tr>
    </w:tbl>
    <w:p w14:paraId="4A6B373D" w14:textId="77777777" w:rsidR="00D21EA2" w:rsidRPr="003A3CEF" w:rsidRDefault="00EB13C0">
      <w:pPr>
        <w:pStyle w:val="BodyText"/>
        <w:spacing w:before="118"/>
        <w:jc w:val="both"/>
      </w:pPr>
      <w:r>
        <w:t>Zložky zliatiny [% (m/m)]: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EB13C0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EB13C0">
            <w:pPr>
              <w:pStyle w:val="TableParagraph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EB13C0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74,7 % – 80,7 %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EB13C0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19,3 % – 25,3 %</w:t>
            </w:r>
          </w:p>
        </w:tc>
      </w:tr>
    </w:tbl>
    <w:p w14:paraId="5EE4EB9C" w14:textId="13FC0156" w:rsidR="00D21EA2" w:rsidRPr="003A3CEF" w:rsidRDefault="00EB13C0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t>V prílohe „Pozitívny zoznam kovových materiálov vhodných pre hygienu pitnej vody“ sa vkladajú nové materiály v bodoch 4.3.2 a 4.3.9, čo má za následok posun ďalších čísel v bode 4.</w:t>
      </w:r>
    </w:p>
    <w:p w14:paraId="33544368" w14:textId="77777777" w:rsidR="00D21EA2" w:rsidRPr="003A3CEF" w:rsidRDefault="00EB13C0" w:rsidP="007B018D">
      <w:pPr>
        <w:pStyle w:val="BodyText"/>
        <w:keepNext/>
        <w:keepLines/>
        <w:spacing w:before="101"/>
        <w:ind w:left="1690" w:right="1684"/>
        <w:jc w:val="center"/>
      </w:pPr>
      <w:r>
        <w:lastRenderedPageBreak/>
        <w:t>II.</w:t>
      </w:r>
    </w:p>
    <w:p w14:paraId="42AAAE92" w14:textId="77777777" w:rsidR="00D21EA2" w:rsidRPr="003A3CEF" w:rsidRDefault="00EB13C0" w:rsidP="007B018D">
      <w:pPr>
        <w:pStyle w:val="BodyText"/>
        <w:keepNext/>
        <w:keepLines/>
        <w:spacing w:before="73"/>
        <w:ind w:left="1690" w:right="1684"/>
        <w:jc w:val="center"/>
      </w:pPr>
      <w:r>
        <w:t>Nadobudnutie účinnosti</w:t>
      </w:r>
    </w:p>
    <w:p w14:paraId="28F7DCF3" w14:textId="77777777" w:rsidR="00D21EA2" w:rsidRPr="003A3CEF" w:rsidRDefault="00EB13C0">
      <w:pPr>
        <w:pStyle w:val="BodyText"/>
        <w:spacing w:before="73"/>
        <w:ind w:left="113"/>
      </w:pPr>
      <w:r>
        <w:t>Tieto zmeny nadobúdajú účinnosť dňom nasledujúcim po uverejnení v Spolkovom vestníku.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EB13C0">
      <w:pPr>
        <w:pStyle w:val="BodyText"/>
        <w:spacing w:before="1"/>
        <w:ind w:left="113"/>
      </w:pPr>
      <w:r>
        <w:t>V Dessau-Roßlau 10. júna 2024</w:t>
      </w:r>
    </w:p>
    <w:p w14:paraId="698C0C34" w14:textId="77777777" w:rsidR="00634AF4" w:rsidRDefault="00EB13C0">
      <w:pPr>
        <w:pStyle w:val="BodyText"/>
        <w:spacing w:before="2" w:line="320" w:lineRule="atLeast"/>
        <w:ind w:left="4078" w:right="4071"/>
        <w:jc w:val="center"/>
      </w:pPr>
      <w:r>
        <w:t>Spolková agentúra pre životné prostredie</w:t>
      </w:r>
    </w:p>
    <w:p w14:paraId="7F5C620E" w14:textId="09C1C415" w:rsidR="00D21EA2" w:rsidRPr="003A3CEF" w:rsidRDefault="00EB13C0">
      <w:pPr>
        <w:pStyle w:val="BodyText"/>
        <w:spacing w:before="2" w:line="320" w:lineRule="atLeast"/>
        <w:ind w:left="4078" w:right="4071"/>
        <w:jc w:val="center"/>
      </w:pPr>
      <w:r>
        <w:t>Predseda</w:t>
      </w:r>
    </w:p>
    <w:p w14:paraId="162AB53D" w14:textId="77777777" w:rsidR="00D21EA2" w:rsidRPr="003A3CEF" w:rsidRDefault="00EB13C0">
      <w:pPr>
        <w:pStyle w:val="BodyText"/>
        <w:spacing w:before="11"/>
        <w:ind w:left="1691" w:right="1687"/>
        <w:jc w:val="center"/>
      </w:pPr>
      <w:r>
        <w:t>Prof. Dr. Dirk Messner</w:t>
      </w:r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A09F" w14:textId="77777777" w:rsidR="00EB13C0" w:rsidRDefault="00EB13C0">
      <w:r>
        <w:separator/>
      </w:r>
    </w:p>
  </w:endnote>
  <w:endnote w:type="continuationSeparator" w:id="0">
    <w:p w14:paraId="3E714080" w14:textId="77777777" w:rsidR="00EB13C0" w:rsidRDefault="00EB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5A76" w14:textId="77777777" w:rsidR="00EB13C0" w:rsidRDefault="00EB13C0">
      <w:r>
        <w:separator/>
      </w:r>
    </w:p>
  </w:footnote>
  <w:footnote w:type="continuationSeparator" w:id="0">
    <w:p w14:paraId="497348DB" w14:textId="77777777" w:rsidR="00EB13C0" w:rsidRDefault="00EB13C0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Oznámené v súlade so smernicou Európskeho parlamentu a Rady (EÚ) 2015/1535 z 9. septembra 2015, ktorou sa stanovuje postup pri poskytovaní informácií v oblasti technických predpisov a pravidiel vzťahujúcich sa na služby informačnej spoločnosti (Ú. v. EÚ L 241, 17.9.2015, s. 1).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 xml:space="preserve">Oznámené </w:t>
      </w:r>
      <w:r>
        <w:rPr>
          <w:sz w:val="14"/>
        </w:rPr>
        <w:t>pod číslom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sz w:val="48"/>
            </w:rPr>
            <w:t>Spolkový vestník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Vydaný</w:t>
          </w:r>
          <w:r>
            <w:rPr>
              <w:sz w:val="20"/>
            </w:rPr>
            <w:br/>
            <w:t>Spolkovým ministerstvom spravodlivosti</w:t>
          </w:r>
        </w:p>
        <w:p w14:paraId="4FF48002" w14:textId="17CB5157" w:rsidR="003A3CEF" w:rsidRDefault="00EB13C0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Vyhlásenie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Uverejnené v piatok, 21. júna 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Spolkový vestník AT 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Strana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634AF4"/>
    <w:rsid w:val="00693F62"/>
    <w:rsid w:val="007B018D"/>
    <w:rsid w:val="00BB11D9"/>
    <w:rsid w:val="00C532D2"/>
    <w:rsid w:val="00C752E8"/>
    <w:rsid w:val="00D21EA2"/>
    <w:rsid w:val="00D735B9"/>
    <w:rsid w:val="00E32B92"/>
    <w:rsid w:val="00E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sk-SK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7113</Characters>
  <Application>Microsoft Office Word</Application>
  <DocSecurity>0</DocSecurity>
  <Lines>237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2024-07-24T13:21:00Z</dcterms:created>
  <dcterms:modified xsi:type="dcterms:W3CDTF">2024-07-24T13:21:00Z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