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A431" w14:textId="77777777" w:rsidR="003F7A27" w:rsidRPr="00E067DD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  <w:lang w:val="en-US"/>
        </w:rPr>
      </w:pPr>
      <w:bookmarkStart w:id="0" w:name="_Hlk172809711"/>
    </w:p>
    <w:p w14:paraId="5290D081" w14:textId="4C09F249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</w:rPr>
      </w:pPr>
      <w:r>
        <w:rPr>
          <w:b/>
        </w:rPr>
        <w:t>ABBOZZ DATAT 12 ta’ Awwissu 2024</w:t>
      </w:r>
    </w:p>
    <w:p w14:paraId="189BC380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  <w:lang w:eastAsia="nl-NL"/>
        </w:rPr>
      </w:pPr>
    </w:p>
    <w:p w14:paraId="2AA7C8CA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</w:rPr>
      </w:pPr>
      <w:r>
        <w:rPr>
          <w:b/>
        </w:rPr>
        <w:t>Regolament tas-Segretarju tal-Istat għall-Infrastruttura u l-Ġestjoni tal-Ilma ta’      ,</w:t>
      </w:r>
      <w:r>
        <w:rPr>
          <w:b/>
        </w:rPr>
        <w:br/>
        <w:t xml:space="preserve">Nru IENW/BSK-2024/215440, li jemenda r-Regolament dwar l-Ambjent (emenda ta’ Safeti-NL u Rekwiżit ta’ Kalkolu għas-Sikurezza Ambjentali) </w:t>
      </w:r>
    </w:p>
    <w:p w14:paraId="01CEA535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6FA4A217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Is-Segretarju tal-Istat għall-Infrastruttura u l-Ġestjoni tal-Ilma,</w:t>
      </w:r>
    </w:p>
    <w:p w14:paraId="19EB4346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18082A8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bookmarkStart w:id="1" w:name="_Hlk172195137"/>
      <w:r>
        <w:t>Wara li kkunsidra l-Artikolu 2.24(2)(b) u l-Artikolu 4.3(4) tal-Att dwar l-Ambjent u l-Ippjanar [Omgevingswet];</w:t>
      </w:r>
    </w:p>
    <w:p w14:paraId="6A216A01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bookmarkEnd w:id="1"/>
    <w:p w14:paraId="1EEC95B0" w14:textId="77777777" w:rsidR="003F7A27" w:rsidRPr="000633B3" w:rsidRDefault="003F7A27" w:rsidP="003F7A27">
      <w:pPr>
        <w:rPr>
          <w:b/>
          <w:bCs/>
          <w:szCs w:val="18"/>
        </w:rPr>
      </w:pPr>
      <w:r>
        <w:t>B’DAN JIDDIGRIETA KIF ĠEJ:</w:t>
      </w:r>
      <w:r>
        <w:br/>
      </w:r>
    </w:p>
    <w:p w14:paraId="753734EF" w14:textId="77777777" w:rsidR="003F7A27" w:rsidRPr="000633B3" w:rsidRDefault="003F7A27" w:rsidP="003F7A27">
      <w:pPr>
        <w:rPr>
          <w:b/>
          <w:bCs/>
          <w:szCs w:val="18"/>
        </w:rPr>
      </w:pPr>
      <w:r>
        <w:rPr>
          <w:b/>
        </w:rPr>
        <w:t>Artikolu I (emenda għall-Anness II tar-Regolament dwar l-Ambjent)</w:t>
      </w:r>
    </w:p>
    <w:p w14:paraId="61F6B746" w14:textId="77777777" w:rsidR="003F7A27" w:rsidRPr="000633B3" w:rsidRDefault="003F7A27" w:rsidP="003F7A27">
      <w:pPr>
        <w:ind w:firstLine="360"/>
        <w:rPr>
          <w:szCs w:val="18"/>
        </w:rPr>
      </w:pPr>
      <w:r>
        <w:t>L-Anness II tar-Regolament dwar l-Ambjent [Omgevingsregeling] huwa emendat kif ġej:</w:t>
      </w:r>
    </w:p>
    <w:p w14:paraId="50E1DB69" w14:textId="77777777" w:rsidR="003F7A27" w:rsidRPr="000633B3" w:rsidRDefault="003F7A27" w:rsidP="003F7A27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>Fir-ringiela “Rekwiżit ta’ Kalkolu għas-Sikurezza Ambjentali”, fil-kolonna intitolata “Data jew verżjoni”, il-frażi “Ottubru 2020” hija sostitwita bil-frażi “Jannar 2025” u fil-kolonna intitolata “Kapitolu f’Digriet jew Regolament li fih referenza</w:t>
      </w:r>
      <w:r>
        <w:rPr>
          <w:color w:val="auto"/>
          <w:sz w:val="18"/>
          <w:vertAlign w:val="superscript"/>
        </w:rPr>
        <w:t>1</w:t>
      </w:r>
      <w:r>
        <w:rPr>
          <w:color w:val="auto"/>
          <w:sz w:val="18"/>
        </w:rPr>
        <w:t xml:space="preserve">”, il-frażi “il-Kapitoli 4, 8 u 12 ta’ dan ir-Regolament” hija sostitwita bil-frażi “il-Kapitoli 4, 7, 8, 9 u 12 ta’ dan ir-Regolament”. </w:t>
      </w:r>
    </w:p>
    <w:p w14:paraId="03AB22F7" w14:textId="77777777" w:rsidR="003F7A27" w:rsidRPr="000633B3" w:rsidRDefault="003F7A27" w:rsidP="003F7A27">
      <w:pPr>
        <w:ind w:left="720" w:hanging="360"/>
        <w:rPr>
          <w:b/>
          <w:bCs/>
          <w:szCs w:val="18"/>
        </w:rPr>
      </w:pPr>
      <w:r>
        <w:t xml:space="preserve">2. </w:t>
      </w:r>
      <w:r>
        <w:tab/>
        <w:t>Fir-ringiela “Safeti-NL”, fil-kolonna intitolata “Data jew verżjoni”, il-frażi “Verżjoni 8, 2021” hija sostitwita bil-frażi “Verżjoni 9.2, 2025”.</w:t>
      </w:r>
    </w:p>
    <w:p w14:paraId="57690CB6" w14:textId="77777777" w:rsidR="003F7A27" w:rsidRPr="000633B3" w:rsidRDefault="003F7A27" w:rsidP="003F7A27">
      <w:pPr>
        <w:rPr>
          <w:b/>
          <w:bCs/>
          <w:szCs w:val="18"/>
        </w:rPr>
      </w:pPr>
      <w:r>
        <w:rPr>
          <w:b/>
        </w:rPr>
        <w:t>Artikolu II (liġi tranżitorja)</w:t>
      </w:r>
    </w:p>
    <w:p w14:paraId="741977AF" w14:textId="77777777" w:rsidR="003F7A27" w:rsidRPr="000633B3" w:rsidRDefault="003F7A27" w:rsidP="003F7A27">
      <w:pPr>
        <w:pStyle w:val="ListParagraph"/>
        <w:numPr>
          <w:ilvl w:val="0"/>
          <w:numId w:val="2"/>
        </w:numPr>
        <w:ind w:left="644"/>
        <w:rPr>
          <w:szCs w:val="18"/>
        </w:rPr>
      </w:pPr>
      <w:r>
        <w:t>Jekk, qabel id-data tad-dħul fis-seħħ ta’ dan ir-Regolament, ikun ġie ppreżentat abbozz ta’ emenda għal pjan ambjentali għal spezzjoni jew applikazzjoni għal permess ambjentali għal attività ta’ pjan ambjentali barra mill-pjan jew attività li tagħmel ħsara lill-ambjent li għaliha jkun ġie kkalkolat ir-riskju speċifiku għas-sit, l-Anness II tar-Regolament dwar l-Ambjent, kif kien qabel id-data tad-dħul fis-seħħ ta’ dan ir-Regolament, għandu jkompli japplika sakemm id-deċiżjoni li temenda l-pjan ambjentali jew id-deċiżjoni dwar l-applikazzjoni għall-permess ambjentali għall-attività tal-pjan ambjentali barra mill-pjan jew għall-attività li tagħmel ħsara lill-ambjent tkun irrevokabbli.</w:t>
      </w:r>
    </w:p>
    <w:p w14:paraId="10115F0D" w14:textId="77777777" w:rsidR="003F7A27" w:rsidRPr="000633B3" w:rsidRDefault="003F7A27" w:rsidP="003F7A27">
      <w:pPr>
        <w:pStyle w:val="ListParagraph"/>
        <w:numPr>
          <w:ilvl w:val="0"/>
          <w:numId w:val="2"/>
        </w:numPr>
        <w:ind w:left="644"/>
        <w:rPr>
          <w:szCs w:val="18"/>
        </w:rPr>
      </w:pPr>
      <w:r>
        <w:t>L-Anness II tar-Regolament dwar l-Ambjent, kif kien qabel id-data tad-dħul fis-seħħ ta’ dan ir-Regolament, għandu jkompli japplika għall-kalkoli msemmija fl-Artikolu 4.1115 tad-Digriet dwar l-Attivitajiet Ambjentali [Besluit activiteiten leefomgeving], li l-operatur ta’ pipeline kif imsemmi fl-Artikolu 3.101(1), il-frażi introduttorja u l-punti (b), (c) jew (d) ta’ dak id-Digriet wettaq għal dak il-pipeline.</w:t>
      </w:r>
    </w:p>
    <w:p w14:paraId="05782D8C" w14:textId="77777777" w:rsidR="003F7A27" w:rsidRPr="000633B3" w:rsidRDefault="003F7A27" w:rsidP="003F7A27">
      <w:pPr>
        <w:rPr>
          <w:b/>
          <w:bCs/>
          <w:szCs w:val="18"/>
        </w:rPr>
      </w:pPr>
    </w:p>
    <w:p w14:paraId="6E7813B2" w14:textId="77777777" w:rsidR="003F7A27" w:rsidRPr="000633B3" w:rsidRDefault="003F7A27" w:rsidP="003F7A27">
      <w:pPr>
        <w:rPr>
          <w:szCs w:val="18"/>
        </w:rPr>
      </w:pPr>
      <w:r>
        <w:rPr>
          <w:b/>
        </w:rPr>
        <w:t xml:space="preserve">Artikolu III (id-dħul fis-seħħ) </w:t>
      </w:r>
    </w:p>
    <w:p w14:paraId="0F988A94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Dan ir-Regolament għandu jidħol fis-seħħ fl-1 ta’ Jannar 2025.</w:t>
      </w:r>
    </w:p>
    <w:p w14:paraId="6A090D6E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855219B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4F71FAE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Dan ir-Regolament u n-noti ta’ spjegazzjoni għandhom jiġu ppubblikati fil-Gazzetta tal-Gvern.</w:t>
      </w:r>
    </w:p>
    <w:p w14:paraId="47875776" w14:textId="77777777" w:rsidR="003F7A27" w:rsidRPr="000633B3" w:rsidRDefault="003F7A27" w:rsidP="003F7A27">
      <w:pPr>
        <w:pStyle w:val="Default"/>
        <w:rPr>
          <w:bCs/>
          <w:color w:val="auto"/>
          <w:sz w:val="18"/>
          <w:szCs w:val="18"/>
        </w:rPr>
      </w:pPr>
    </w:p>
    <w:p w14:paraId="2E333072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</w:p>
    <w:p w14:paraId="7CD65270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</w:p>
    <w:p w14:paraId="45258866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  <w:r>
        <w:t>SEGRETARJU TAL-ISTAT GĦALL-INFRASTRUTTURA U L-ĠESTJONI TAL-ILMA – IT-TRASPORT PUBBLIKU U L-AMBJENT,</w:t>
      </w:r>
    </w:p>
    <w:p w14:paraId="4BEE98AE" w14:textId="77777777" w:rsidR="003F7A27" w:rsidRPr="000633B3" w:rsidRDefault="003F7A27" w:rsidP="003F7A27">
      <w:pPr>
        <w:rPr>
          <w:szCs w:val="18"/>
        </w:rPr>
      </w:pPr>
    </w:p>
    <w:p w14:paraId="1B642D12" w14:textId="77777777" w:rsidR="003F7A27" w:rsidRPr="000633B3" w:rsidRDefault="003F7A27" w:rsidP="003F7A27">
      <w:pPr>
        <w:rPr>
          <w:b/>
          <w:bCs/>
          <w:szCs w:val="18"/>
        </w:rPr>
      </w:pPr>
      <w:r>
        <w:br w:type="page"/>
      </w:r>
      <w:r>
        <w:rPr>
          <w:b/>
        </w:rPr>
        <w:lastRenderedPageBreak/>
        <w:t>NOTI TA’ SPJEGAZZJONI</w:t>
      </w:r>
    </w:p>
    <w:p w14:paraId="6D21C78E" w14:textId="77777777" w:rsidR="003F7A27" w:rsidRPr="000633B3" w:rsidRDefault="003F7A27" w:rsidP="003F7A27">
      <w:pPr>
        <w:rPr>
          <w:szCs w:val="18"/>
        </w:rPr>
      </w:pPr>
      <w:r>
        <w:t>1. Introduzzjoni</w:t>
      </w:r>
    </w:p>
    <w:p w14:paraId="43F17F62" w14:textId="77777777" w:rsidR="003F7A27" w:rsidRPr="000633B3" w:rsidRDefault="003F7A27" w:rsidP="003F7A27">
      <w:pPr>
        <w:rPr>
          <w:szCs w:val="18"/>
        </w:rPr>
      </w:pPr>
      <w:r>
        <w:t>Dan ir-Regolament Emendatorju jiddeżinja verżjoni ġdida tal-programm ta’ kalkolu Safeti-NL u l-verżjoni l-ġdida relatata tar-Rekwiżit ta’ Kalkolu għas-Sikurezza Ambjentali [Rekenvoorschrift omgevingsveiligheid] għall-kalkolu tar-riskji għas-sikurezza esterna ta’ attivitajiet li jagħmlu ħsara lill-ambjent indikati fl-Anness VII tad-Digriet dwar il-Kwalità Ambjentali [Besluit kwaliteit leefomgeving] (minn hawn ’il quddiem: “Bkl”). Ir-riżultati tal-kalkoli tar-riskju jintużaw f’deċiżjonijiet li jagħtu permess ambjentali għal attività li tagħmel ħsara lill-ambjent jew għal attività ta’ pjan ambjentali barra mill-pjan u f’deċiżjonijiet li jemendaw pjan ambjentali.</w:t>
      </w:r>
    </w:p>
    <w:p w14:paraId="22B0A28D" w14:textId="77777777" w:rsidR="003F7A27" w:rsidRPr="000633B3" w:rsidRDefault="003F7A27" w:rsidP="003F7A27">
      <w:pPr>
        <w:rPr>
          <w:szCs w:val="18"/>
        </w:rPr>
      </w:pPr>
      <w:r>
        <w:t xml:space="preserve">2. Raġuni u sfond għall-emenda </w:t>
      </w:r>
    </w:p>
    <w:p w14:paraId="6D58CDCB" w14:textId="77777777" w:rsidR="003F7A27" w:rsidRPr="000633B3" w:rsidRDefault="003F7A27" w:rsidP="003F7A27">
      <w:pPr>
        <w:rPr>
          <w:szCs w:val="18"/>
        </w:rPr>
      </w:pPr>
      <w:r>
        <w:t>2.1 Kalkoli tar-riskju bil-programm ta’ kalkolu Safeti-NL u r-Rekwiżit ta’ Kalkolu għas-Sikurezza Ambjentali</w:t>
      </w:r>
    </w:p>
    <w:p w14:paraId="02DBC508" w14:textId="77777777" w:rsidR="003F7A27" w:rsidRPr="000633B3" w:rsidRDefault="003F7A27" w:rsidP="003F7A27">
      <w:pPr>
        <w:spacing w:after="0"/>
        <w:rPr>
          <w:szCs w:val="18"/>
        </w:rPr>
      </w:pPr>
      <w:r>
        <w:t>Ir-Regolament dwar l-Ambjent [Omgevingsregeling] jippreskrivi l-programm ta’ kalkolu Safeti-NL u r-Rekwiżit ta’ Kalkolu għas-Sikurezza Ambjentali li għandhom jiġu applikati biex jitwettqu kalkoli tar-riskju għal attivitajiet b’riskji għas-sikurezza esterna. Safeti-NL huwa pakkett tas-software li jippermetti li jiġu identifikati r-riskji għall-ambjent abbażi tal-parametri introdotti (is-sustanzi kimiċi użati, is-sistemi ta’ konteniment stabbiliti, it-temperaturi, il-pressjonijiet) u x-xenarji possibbli ta’ aċċidenti u l-probabbiltà ta’ ħsara. Dan is-software dejjem jintuża flimkien mar-Rekwiżit ta’ Kalkolu għas-Sikurezza Ambjentali, li jippreskrivi kif għandu jintuża l-pakkett. Is-sett ta’ pakkett tas-software u r-rekwiżit ta’ kalkolu huwa msemmi f’dawn in-noti ta’ spjegazzjoni bħala “l-għodda ta’ kalkolu”.</w:t>
      </w:r>
      <w:r>
        <w:br/>
      </w:r>
    </w:p>
    <w:p w14:paraId="4422871E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2.2 Kalkoli obbligatorji tar-riskju </w:t>
      </w:r>
    </w:p>
    <w:p w14:paraId="7BA6611D" w14:textId="77777777" w:rsidR="003F7A27" w:rsidRPr="000633B3" w:rsidRDefault="003F7A27" w:rsidP="003F7A27">
      <w:pPr>
        <w:spacing w:after="0"/>
        <w:rPr>
          <w:szCs w:val="18"/>
        </w:rPr>
      </w:pPr>
      <w:r>
        <w:br/>
        <w:t>Il-kalkoli tar-riskju jitwettqu speċifikament biex jiġi kkalkulat ir-riskju speċifiku għas-sit u ż-żona ta’ fokus</w:t>
      </w:r>
      <w:r w:rsidRPr="000633B3">
        <w:rPr>
          <w:rStyle w:val="FootnoteReference"/>
          <w:szCs w:val="18"/>
        </w:rPr>
        <w:footnoteReference w:id="1"/>
      </w:r>
      <w:r>
        <w:t xml:space="preserve"> għall-valutazzjoni tar-riskju tal-grupp sal-punt meħtieġ mill-Bkl, id-Digriet dwar l-Attivitajiet Ambjentali [Besluit activiteiten leefomgeving] (minn hawn ’il quddiem: “Bal”) u r-Regolament dwar l-Ambjent. Il-Bkl jistabbilixxi regoli ta’ struzzjoni u valutazzjoni għall-awtorità kompetenti, fost l-oħrajn, fl-Artikolu 5.8(1), il-frażi introduttorja u l-punt (c), fl-Artikolu 5.11(4), fl-Artikolu 5.13(1), il-frażi introduttorja u l-punt (b), fl-Artikolu 8.10a(2) u fl-Artikolu 8.12(3), li għalihom l-għodda tal-kalkolu hija rilevanti. Dawn ir-regoli ta’ struzzjoni u ta’ valutazzjoni huma relatati ma’ deċiżjonijiet li jistabbilixxu pjan ambjentali jew ma’ deċiżjonijiet li jagħtu permess ambjentali għal attività ta’ pjan ambjentali barra mill-pjan jew attività li tagħmel ħsara lill-ambjent. Barra minn hekk, l-għodda ta’ kalkolu għandha tintuża wkoll mill-persuna li tissottometti applikazzjoni għal permess ambjentali għal attività li tagħmel ħsara lill-ambjent b’riskji għas-sikurezza esterna. Għal dawn l-attivitajiet li jagħmlu ħsara lill-ambjent, ġew stabbiliti regoli għal dan il-għan fir-Regolament dwar l-Ambjent </w:t>
      </w:r>
      <w:r>
        <w:rPr>
          <w:rStyle w:val="cf01"/>
          <w:rFonts w:ascii="Verdana" w:hAnsi="Verdana"/>
        </w:rPr>
        <w:t xml:space="preserve">(l-Artikolu 7.22a(2), flimkien mal-Artikolu 4.11, il-frażi introduttorja u l-punt (a), u l-Artikolu 4.12(1) tar-Regolament dwar l-Ambjent). Għall-operatur ta’ pipeline li jkun fih sustanzi perikolużi, il-Bal jistabbilixxi regoli għall-kalkolu tar-riskju speċifiku għas-sit u ż-żoni ta’ fokus (l-Artikoli 4.1112, 4.1113 u 4.1115 tal-Bal, flimkien mal-Artikolu 4.10 tar-Regolament dwar l-Ambjent). </w:t>
      </w:r>
      <w:r>
        <w:t>Il-kalkoli ma għandhomx għalfejn isiru fil-każijiet kollha. Għal għadd ta’ attivitajiet, il-Bkl għandu distanzi fissi.</w:t>
      </w:r>
    </w:p>
    <w:p w14:paraId="38E896DD" w14:textId="77777777" w:rsidR="003F7A27" w:rsidRPr="000633B3" w:rsidRDefault="003F7A27" w:rsidP="003F7A27">
      <w:pPr>
        <w:spacing w:after="0"/>
        <w:rPr>
          <w:szCs w:val="18"/>
        </w:rPr>
      </w:pPr>
    </w:p>
    <w:p w14:paraId="4DF0638B" w14:textId="77777777" w:rsidR="003F7A27" w:rsidRPr="000633B3" w:rsidRDefault="003F7A27" w:rsidP="003F7A27">
      <w:pPr>
        <w:spacing w:after="0"/>
        <w:rPr>
          <w:szCs w:val="18"/>
        </w:rPr>
      </w:pPr>
      <w:r>
        <w:t>2.3 Għarfien xjentifiku ġdid</w:t>
      </w:r>
    </w:p>
    <w:p w14:paraId="1A279B5F" w14:textId="77777777" w:rsidR="003F7A27" w:rsidRPr="000633B3" w:rsidRDefault="003F7A27" w:rsidP="003F7A27">
      <w:pPr>
        <w:spacing w:after="0"/>
        <w:rPr>
          <w:szCs w:val="18"/>
        </w:rPr>
      </w:pPr>
    </w:p>
    <w:p w14:paraId="7C80571C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Fir-Regolament dwar l-Ambjent, ġie ddeżinjat il-pakkett tas-software Safeti-NL, il-verżjoni 8, l-edizzjoni 2021 (li hija Safeti-NL, il-verżjoni 8.3). Sa mill-ħruġ tal-verżjoni 8.3 ta’ Safeti-NL fl-2021, ġie inkorporat għarfien xjentifiku ġdid fil-pakkett tas-software u din l-emenda tiddeżinja verżjoni aġġornata ġdida ta’ Safeti-NL. Ir-Rekwiżit ta’ Kalkolu għas-Sikurezza Ambjentali relatat inġieb ukoll f’konformità mas-software l-ġdid u ġie aġġornat. L-introduzzjoni tal-għodda ta’ kalkolu modifikata tippermetti li jiġi kkalkulat eżitu differenti bħala riżultat ta’ għarfien xjentifiku ġdid anke f’sitwazzjonijiet fejn ma kien hemm l-ebda bidla fl-attività li tagħmel ħsara lill-ambjent. </w:t>
      </w:r>
      <w:r>
        <w:lastRenderedPageBreak/>
        <w:t>Speċjalment jekk dan jikkonċerna r-riskju speċifiku għas-sit, jista’ jkun hemm konsegwenzi. Dan jista’ jkun il-każ, fi kwalunkwe każ għal stabbilimenti Seveso b’limitu għoli li għalihom, anke fin-nuqqas ta’ bidla fl-operat, l-operatur huwa meħtieġ joħroġ rapport dwar is-sikurezza kull 5 snin, li jkopri r-riskji tat-tħaddim għall-ambjent.</w:t>
      </w:r>
    </w:p>
    <w:p w14:paraId="629AD7F0" w14:textId="77777777" w:rsidR="003F7A27" w:rsidRPr="000633B3" w:rsidRDefault="003F7A27" w:rsidP="003F7A27">
      <w:pPr>
        <w:spacing w:after="0"/>
        <w:rPr>
          <w:szCs w:val="18"/>
        </w:rPr>
      </w:pPr>
    </w:p>
    <w:p w14:paraId="695AFB4F" w14:textId="77777777" w:rsidR="003F7A27" w:rsidRPr="000633B3" w:rsidRDefault="003F7A27" w:rsidP="003F7A27">
      <w:pPr>
        <w:spacing w:after="0"/>
        <w:rPr>
          <w:szCs w:val="18"/>
        </w:rPr>
      </w:pPr>
      <w:r>
        <w:t>2.4 Studju tal-konsegwenzi ta’ verżjonijiet ġodda għal riskju speċifiku għas-sit</w:t>
      </w:r>
    </w:p>
    <w:p w14:paraId="6267FFD5" w14:textId="77777777" w:rsidR="003F7A27" w:rsidRPr="000633B3" w:rsidRDefault="003F7A27" w:rsidP="003F7A27">
      <w:pPr>
        <w:spacing w:after="0"/>
        <w:rPr>
          <w:szCs w:val="18"/>
        </w:rPr>
      </w:pPr>
    </w:p>
    <w:p w14:paraId="4ACE6B11" w14:textId="77777777" w:rsidR="003F7A27" w:rsidRPr="000633B3" w:rsidRDefault="003F7A27" w:rsidP="003F7A27">
      <w:pPr>
        <w:spacing w:after="0"/>
        <w:rPr>
          <w:szCs w:val="18"/>
        </w:rPr>
      </w:pPr>
      <w:r>
        <w:t>Sabiex wieħed jifhem id-differenzi possibbli li jseħħu biss minħabba bidliet fl-għodda ta’ kalkolu (il-pakkett tas-software u r-rekwiżit ta’ kalkolu), twettaq studju tal-konsegwenzi mill-AVIV</w:t>
      </w:r>
      <w:r w:rsidRPr="000633B3">
        <w:rPr>
          <w:rStyle w:val="FootnoteReference"/>
          <w:szCs w:val="18"/>
        </w:rPr>
        <w:footnoteReference w:id="2"/>
      </w:r>
      <w:r>
        <w:t xml:space="preserve"> fuq talba tal-RIVM, kemm għall-kumpaniji li jittrattaw sustanzi perikolużi kif ukoll għall-operaturi ta’ pipelines li fihom sustanzi perikolużi.</w:t>
      </w:r>
      <w:r>
        <w:rPr>
          <w:rStyle w:val="FootnoteReference"/>
          <w:szCs w:val="18"/>
        </w:rPr>
        <w:footnoteReference w:id="3"/>
      </w:r>
      <w:r>
        <w:t xml:space="preserve"> L-istudju jenfasizza d-differenzi bejn ir-riżultati tal-kalkolu bl-użu tal-għodda l-ġdida ta’ kalkolu u l-għodod ta’ kalkolu preskritti qabel. L-istudju ffoka fuq il-konsegwenzi spazjali possibbli tar-riskju speċifiku għas-sit ikkalkulat. Il-bini u s-siti vulnerabbli u l-bini vulnerabbli ħafna huma soġġetti għal valur ta’ limitu għar-riskju speċifiku għas-sit. L-awtorità kompetenti trid tikkonforma ma’ dan il-valur ta’ limitu. Dan ifisser li l-ebda bini jew sit vulnerabbli (ħafna) ma jista’ jkun preżenti f’perimetru ta’ riskju kkalkulat speċifiku għas-sit ta’ 10</w:t>
      </w:r>
      <w:r>
        <w:rPr>
          <w:vertAlign w:val="superscript"/>
        </w:rPr>
        <w:t>-6</w:t>
      </w:r>
      <w:r>
        <w:t xml:space="preserve"> għal kull sena. L-istudju tal-konsegwenzi jindika jekk, bħala riżultat tal-preskrizzjoni ta’ Safeti-NL 9.2, l-edizzjoni 2025, il-bidliet fil-perimetri speċifiċi għas-sit u għall-bini jew għas-siti vulnerabbli (ħafna) jaqgħux fil-perimetru l-ġdid.</w:t>
      </w:r>
      <w:r>
        <w:br/>
      </w:r>
      <w:r>
        <w:br/>
        <w:t>L-istudju llimita ruħu biex jidentifika l-konsegwenzi għar-riskju speċifiku għas-sit. L-istudju ma kkunsidrax l-impatt tal-għodda ta’ kalkolu modifikata fuq iż-żoni ta’ fokus. Ir-raġuni għal dan hija li bidla possibbli fiż-żona ta’ fokus mhux neċessarjament twassal għal konsegwenzi għal attività li tikkawża riskju. Żona ta’ fokus hija żona li fih l-awtorità kompetenti għandha lok li tikkunsidra jekk tippermettix jew le bini pjuttost vulnerabbli, vulnerabbli jew vulnerabbli ħafna, siti pjuttost vulnerabbli jew vulnerabbli, jew attivitajiet li jagħmlu ħsara lill-ambjent b’riskji għas-sikurezza esterna. Barra minn hekk, ir-regoli taż-żona ta’ fokus ilhom fis-seħħ biss mill-1 ta’ Jannar 2024 u l-kalkoli taż-żona ta’ fokus fil-biċċa l-kbira jitwettqu b’verżjoni ta’ Safeti-NL (verżjoni 8.8), li ġiet applikata wkoll fl-istudju tal-konsegwenzi.</w:t>
      </w:r>
      <w:r>
        <w:br/>
      </w:r>
      <w:r>
        <w:br/>
        <w:t>Għalkemm l-emenda għar-Regolament dwar l-Ambjent tiddeżinja l-verżjoni 9.2, l-edizzjoni 2025, hija (kważi) identika fis-sustanza għall-verżjoni 8.8. Id-differenzi huma relatati b’mod partikolari mat-titjib fil-faċilità tal-użu. Madankollu, l-iżbalji fis-software xorta jistgħu jitranġaw wara l-istudju tal-konsegwenzi. Xorta waħda jistgħu jsiru modifiki żgħar b’bidla limitata fil-perimetru (inqas minn 10 % fiż-żona). L-RIVM</w:t>
      </w:r>
      <w:r>
        <w:rPr>
          <w:rStyle w:val="FootnoteReference"/>
          <w:szCs w:val="18"/>
        </w:rPr>
        <w:footnoteReference w:id="4"/>
      </w:r>
      <w:r>
        <w:t xml:space="preserve"> jirrapporta li jekk il-perimetri kkalkolati jiġu estrapolati bil-verżjoni 8.8 għal żona 10 % akbar, bini vulnerabbli wieħed jaqa’ f’perimetru. Abbażi ta’ din is-sejba dwar il-konsegwenzi, huwa meqjus li l-introduzzjoni ta’ verżjoni ġdida hija ġġustifikata.</w:t>
      </w:r>
    </w:p>
    <w:p w14:paraId="6BEE3919" w14:textId="77777777" w:rsidR="003F7A27" w:rsidRPr="000633B3" w:rsidRDefault="003F7A27" w:rsidP="003F7A27">
      <w:pPr>
        <w:spacing w:after="0"/>
        <w:rPr>
          <w:szCs w:val="18"/>
        </w:rPr>
      </w:pPr>
    </w:p>
    <w:p w14:paraId="2D1170B0" w14:textId="0241E921" w:rsidR="003F7A27" w:rsidRPr="000633B3" w:rsidRDefault="003F7A27" w:rsidP="003F7A27">
      <w:pPr>
        <w:spacing w:after="0"/>
        <w:rPr>
          <w:szCs w:val="18"/>
        </w:rPr>
      </w:pPr>
      <w:r>
        <w:t>2.5 Riżultati ta’ studju tal-konsegwenzi dwar attivitajiet li jagħmlu ħsara lill-ambjent</w:t>
      </w:r>
      <w:r>
        <w:br/>
      </w:r>
      <w:r>
        <w:br/>
        <w:t>Fid-dawl tal-fehim tal-bidliet li saru mill-fornitur għall-verżjoni 8.8 meta mqabbla mal-verżjoni 8.3, ġie vvalutat liema tipi ta’ kumpaniji għandhom fi kwalunkwe każ ikunu parti mill-istudju tal-konsegwenzi. L-aktar emendi rilevanti kienu jikkonċernaw:</w:t>
      </w:r>
      <w:r>
        <w:br/>
        <w:t>- mudell imtejjeb għall-gass tqil - mudell tat-torċa Miller (rilevanti għall-idroġenu)</w:t>
      </w:r>
      <w:r>
        <w:br/>
        <w:t>- proprjetajiet modifikati (limitati) fil-bażi tad-</w:t>
      </w:r>
      <w:r>
        <w:rPr>
          <w:i/>
          <w:iCs/>
        </w:rPr>
        <w:t>data</w:t>
      </w:r>
      <w:r>
        <w:t xml:space="preserve"> dwar is-sustanzi (fiżiċi/kimiċi, tossiċità).</w:t>
      </w:r>
      <w:r>
        <w:br/>
      </w:r>
      <w:r>
        <w:br/>
        <w:t>Bħala riżultat ta’ dawn l-emendi, intgħażlu s-sustanzi tal-kampjun rilevanti u ntgħażlu l-istabbilimenti Seveso u attivitajiet oħra li jagħmlu ħsara lill-ambjent fejn jintużaw dawn is-sustanzi. L-istudju kien jinkludi 59 kumpanija. Għal 40 kumpanija, mhuwiex eskluż impatt potenzjali minħabba li dawn il-kumpaniji ntgħażlu speċifikament għal sensittività possibbli għall-aġġustamenti li saru f’Safeti-NL. Dan jikkonċerna attivitajiet li jagħmlu ħsara lill-ambjent u li jinvolvu l-applikazzjoni tas-sustanzi li ġejjin: l-imħażen tal-kloru, l-LNG, l-ammonijaka, il-fosġen, l-idroġenu, l-ossidu tal-propilen, l-metanol, il-1,3-butadien u l-PGS 15. Id-19-il kumpanija li jifdal intgħażlu b’mod aleatorju.</w:t>
      </w:r>
      <w:r>
        <w:br/>
      </w:r>
      <w:r>
        <w:br/>
      </w:r>
      <w:r>
        <w:lastRenderedPageBreak/>
        <w:t>Meta wieħed iħares biss lejn il-bidla fiż-żona tal-perimetru, jista’ jiġi stabbilit li għal żewġ terzi tal-kumpaniji studjati, iż-żona tal-perimetru titnaqqas jew tibqa’ l-istess meta mqabbla mal-perimetru meta tintuża l-verżjoni 8.8. Terz tal-kumpaniji studjati (19-il kumpanija) urew żieda fiż-żona fil-perimetru.</w:t>
      </w:r>
      <w:r>
        <w:br/>
      </w:r>
      <w:r>
        <w:br/>
        <w:t>Il-bidla fiż-żona hija indikazzjoni tas-sensittività tal-kalkoli minħabba l-aġġustamenti fl-għodda tal-kalkolu. Madankollu, ma tgħidx direttament jekk dan għandux ukoll impatt fuq il-ġestjoni tat-territorju. Dan se jseħħ biss jekk iż-żona fil-perimetru tiżdied u l-bini jew is-siti vulnerabbli (ħafna) ikunu preżenti jew permessi fil-perimetru l-ġdid. Id-19-il kumpanija jista’ potenzjalment ikollhom bini jew siti vulnerabbli (ħafna) ġodda fil-perimetru. F’każ bħal dan, il-miżuri jridu jittieħdu fis-sors jew, bħala l-aħħar rimedju, il-pjan ambjentali jrid jiġi adattat għall-bini jew għas-sit inkwistjoni. Instab li bini vulnerabbli wieħed jaqa’ f’perimetru kkalkulat ġdid.</w:t>
      </w:r>
    </w:p>
    <w:p w14:paraId="111CEC7A" w14:textId="77777777" w:rsidR="003F7A27" w:rsidRPr="000633B3" w:rsidRDefault="003F7A27" w:rsidP="003F7A27">
      <w:pPr>
        <w:spacing w:after="0"/>
        <w:rPr>
          <w:szCs w:val="18"/>
        </w:rPr>
      </w:pPr>
    </w:p>
    <w:p w14:paraId="1DA8C450" w14:textId="77777777" w:rsidR="003F7A27" w:rsidRPr="000633B3" w:rsidRDefault="003F7A27" w:rsidP="003F7A27">
      <w:pPr>
        <w:spacing w:after="0"/>
        <w:rPr>
          <w:szCs w:val="18"/>
        </w:rPr>
      </w:pPr>
      <w:r>
        <w:t>2.6 Riżultati tal-istudju tal-konsegwenzi għall-pipelines għajr il-pipelines tal-gass naturali bi pressjoni għolja</w:t>
      </w:r>
      <w:r>
        <w:br/>
      </w:r>
      <w:r>
        <w:br/>
        <w:t>Fil-biċċa l-kbira tal-pipelines ikkalkulati li fihom sustanzi perikolużi għajr il-gass naturali, ma nstabet l-ebda differenza sinifikanti fir-riskju speċifiku għas-sit bejn il-verżjoni 8.3 u l-verżjoni 8.8 ta’ Safeti-NL. Bl-idroġenu biss jitnaqqas ir-riskju speċifiku għas-sit. Dan għalhekk iwassal għal tnaqqis fiż-żona tal-perimetru kkalkulat għall-pipelines ikkalkulati.</w:t>
      </w:r>
      <w:r>
        <w:br/>
        <w:t>Fil-preżent, biex jiġi kkalkulat il-perimetru tal-pipelines tal-gass naturali bi pressjoni għolja, Safeti-NL ma jintużax, iżda minflok jintuża l-programm tas-software Carola. Dan il-programm tas-software ma ġiex immodifikat, b’tali mod li ma kienx hemm lok li jitwettaq studju tal-konsegwenzi għall-pipelines tal-gass naturali bi pressjoni għolja.</w:t>
      </w:r>
    </w:p>
    <w:p w14:paraId="6E7FE92E" w14:textId="77777777" w:rsidR="003F7A27" w:rsidRPr="000633B3" w:rsidRDefault="003F7A27" w:rsidP="003F7A27">
      <w:pPr>
        <w:spacing w:after="0"/>
        <w:rPr>
          <w:szCs w:val="18"/>
        </w:rPr>
      </w:pPr>
    </w:p>
    <w:p w14:paraId="3C218BC9" w14:textId="77777777" w:rsidR="003F7A27" w:rsidRPr="000633B3" w:rsidRDefault="003F7A27" w:rsidP="003F7A27">
      <w:pPr>
        <w:spacing w:after="0"/>
        <w:rPr>
          <w:szCs w:val="18"/>
        </w:rPr>
      </w:pPr>
      <w:r>
        <w:t>3. Kontenut tal-emenda</w:t>
      </w:r>
    </w:p>
    <w:p w14:paraId="6DFC8472" w14:textId="77777777" w:rsidR="003F7A27" w:rsidRPr="000633B3" w:rsidRDefault="003F7A27" w:rsidP="003F7A27">
      <w:pPr>
        <w:spacing w:after="0"/>
        <w:rPr>
          <w:szCs w:val="18"/>
        </w:rPr>
      </w:pPr>
    </w:p>
    <w:p w14:paraId="0B71EEDF" w14:textId="77777777" w:rsidR="003F7A27" w:rsidRDefault="003F7A27" w:rsidP="003F7A27">
      <w:pPr>
        <w:spacing w:after="0"/>
        <w:rPr>
          <w:szCs w:val="18"/>
        </w:rPr>
      </w:pPr>
      <w:r>
        <w:t xml:space="preserve">Dan ta’ hawn fuq irriżulta f’emenda tal-Anness II tar-Regolament dwar l-Ambjent. Fid-deżinjazzjoni tal-programm ta’ kalkolu Safeti-NL, il-verżjoni 8, l-edizzjoni 2021 ġiet sostitwita bil-verżjoni 9.2, l-edizzjoni 2025. </w:t>
      </w:r>
    </w:p>
    <w:p w14:paraId="2CE59264" w14:textId="77777777" w:rsidR="003F7A27" w:rsidRPr="000633B3" w:rsidRDefault="003F7A27" w:rsidP="003F7A27">
      <w:pPr>
        <w:spacing w:after="0"/>
        <w:rPr>
          <w:szCs w:val="18"/>
        </w:rPr>
      </w:pPr>
    </w:p>
    <w:p w14:paraId="7E2DD4B3" w14:textId="77777777" w:rsidR="003F7A27" w:rsidRPr="000633B3" w:rsidRDefault="003F7A27" w:rsidP="003F7A27">
      <w:pPr>
        <w:rPr>
          <w:szCs w:val="18"/>
        </w:rPr>
      </w:pPr>
      <w:r>
        <w:t>Minbarra verżjoni ġdida ta’ Safeti-NL, ġiet iddeżinjata wkoll verżjoni ġdida tar-Rekwiżit ta’ Kalkolu għas-Sikurezza Ambjentali: il-verżjoni ta’ Ottubru 2020 ġiet sostitwita bil-verżjoni ta’ Jannar 2025. Ir-Rekwiżit ta’ Kalkolu għas-Sikurezza Ambjentali jikkonsisti f’partijiet (moduli) differenti li jikkorrispondu għall-karatteristiċi speċifiċi tal-attivitajiet. Il-biċċa l-kbira tal-adattamenti fil-Moduli I, II u V tar-Rekwiżit ta’ Kalkolu għas-Sikurezza Ambjentali huma marbuta mal-verżjoni l-ġdida ta’ Safeti-NL. Il-Moduli I u II tar-Rekwiżit ta’ Kalkolu għas-Sikurezza Ambjentali huma relatati mat-twettiq ta’ kalkoli għal attivitajiet b’riskji għas-sikurezza esterna kif imsemmi fil-Kapitolu 3 tal-Bal, minbarra pipelines li fihom sustanzi perikolużi jew turbini eoliċi. Il-Modulu V tar-Rekwiżit ta’ Kalkolu għas-Sikurezza Ambjentali huwa relatat mal-prestazzjoni tal-kalkoli għall-pipelines li fihom sustanzi perikolużi kif imsemmi fl-Artikolu 4.1108 tal-Bal. Għall-fini tal-kalkolu tar-riskji għas-sikurezza esterna tat-turbini eoliċi, il-Modulu IV tar-Rekwiżit ta’ Kalkolu għas-Sikurezza Ambjentali, il-verżjoni ta’ Ottubru 2020, ġie adottat mingħajr tibdil fil-verżjoni ta’ Jannar 2025. Kwalunkwe bidla fid-deżinjazzjoni tal-Modulu IV se ssir flimkien mad-Digriet dwar l-Ambjent tat-Turbini Eoliċi [Besluit windturbines leefomgeving] li qed jitħejja.   </w:t>
      </w:r>
      <w:r>
        <w:br/>
      </w:r>
      <w:r>
        <w:br/>
      </w:r>
      <w:bookmarkStart w:id="2" w:name="_Hlk173246212"/>
      <w:r>
        <w:t>Saru wkoll għadd ta’ bidliet prinċipalment editorjali fir-Rekwiżit ta’ Kalkolu għas-Sikurezza Ambjentali minħabba l-inċertezzi esperjenzati mill-utenti. Barra minn hekk, il-Modulu V tar-Rekwiżit ta’ Kalkolu għas-Sikurezza Ambjentali jqis l-iżviluppi futuri fin-network tal-idroġenu. Il-verżjoni preċedenti (Ottubru 2020) tar-Rekwiżit ta’ Kalkolu għas-Sikurezza Ambjentali ma kinitx tinkludi dispożizzjoni għall-użu mill-ġdid tal-pipelines tal-gass naturali għat-trasport tal-idroġenu. Il-Modulu V issa jipprovdi wkoll rekwiżiti ta’ kalkolu għat-trasport tal-idroġenu permezz ta’ pipelines tal-gass naturali u tal-kimiċi.</w:t>
      </w:r>
      <w:bookmarkEnd w:id="2"/>
    </w:p>
    <w:p w14:paraId="3F45D715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Il-paragrafu 1 tal-Artikolu II jipprevedi li l-applikazzjoni tal-verżjonijiet il-ġodda tal-għodda ta’ kalkolu hija obbligatorja biss għal sitwazzjonijiet ġodda u ma tapplikax għal applikazzjonijiet għal permess ambjentali għal attivitajiet li jagħmlu ħsara lill-ambjent jew attivitajiet tal-pjan ambjentali barra mill-pjan li għalihom tkun għadha ma tteħditx deċiżjoni irrevokabbli. Bl-istess mod, l-għodda </w:t>
      </w:r>
      <w:r>
        <w:lastRenderedPageBreak/>
        <w:t>l-ġdida tal-kalkolu ma tapplikax għal deċiżjoni li temenda pjan ambjentali li jkun għadu ma sarx irrevokabbli.</w:t>
      </w:r>
    </w:p>
    <w:p w14:paraId="75590470" w14:textId="77777777" w:rsidR="003F7A27" w:rsidRPr="000633B3" w:rsidRDefault="003F7A27" w:rsidP="003F7A2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</w:rPr>
        <w:t xml:space="preserve">Fil-fatt, mill-paragrafu 2 ta’ dan l-Artikolu II jirriżulta li l-operatur ta’ pipeline li jkun fih sustanzi perikolużi jrid jadatta r-riżultati tal-kalkoli li jrid ikollu għad-dispożizzjoni tiegħu abbażi ta’ </w:t>
      </w:r>
      <w:r>
        <w:rPr>
          <w:i/>
          <w:iCs/>
          <w:color w:val="auto"/>
          <w:sz w:val="18"/>
        </w:rPr>
        <w:t>data</w:t>
      </w:r>
      <w:r>
        <w:rPr>
          <w:color w:val="auto"/>
          <w:sz w:val="18"/>
        </w:rPr>
        <w:t xml:space="preserve"> kurrenti u awtentika f’konformità mal-Artikolu 4.1115 tal-Bal biss għall-bidla sussegwenti fit-tħaddim tal-pipeline. Dawn huma r-riżultati tal-kalkoli ta’: </w:t>
      </w:r>
    </w:p>
    <w:p w14:paraId="730C2549" w14:textId="77777777" w:rsidR="003F7A27" w:rsidRPr="000633B3" w:rsidRDefault="003F7A27" w:rsidP="003F7A27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 xml:space="preserve">id-distanza mill-pipeline sa fejn ir-riskju speċifiku għas-sit ma jaqbiżx 1 minn 1 000 000 fis-sena; u </w:t>
      </w:r>
    </w:p>
    <w:p w14:paraId="33FF513D" w14:textId="77777777" w:rsidR="003F7A27" w:rsidRPr="000633B3" w:rsidRDefault="003F7A27" w:rsidP="003F7A27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>id-distanza għaż-żona ta’ fokus għan-nirien, iż-żona ta’ fokus għall-isplużjonijiet u ż-żona ta’ fokus għas-sħab tossiku, kif imsemmi fl-Artikolu 5.12 tal-Bkl.</w:t>
      </w:r>
    </w:p>
    <w:p w14:paraId="64DC6467" w14:textId="77777777" w:rsidR="003F7A27" w:rsidRPr="000633B3" w:rsidRDefault="003F7A27" w:rsidP="003F7A27">
      <w:pPr>
        <w:pStyle w:val="Default"/>
        <w:rPr>
          <w:color w:val="auto"/>
          <w:sz w:val="18"/>
          <w:szCs w:val="18"/>
        </w:rPr>
      </w:pPr>
    </w:p>
    <w:p w14:paraId="7604BC0D" w14:textId="77777777" w:rsidR="003F7A27" w:rsidRPr="000633B3" w:rsidRDefault="003F7A27" w:rsidP="003F7A27">
      <w:pPr>
        <w:rPr>
          <w:szCs w:val="18"/>
        </w:rPr>
      </w:pPr>
      <w:r>
        <w:t>4. Impatt</w:t>
      </w:r>
    </w:p>
    <w:p w14:paraId="2EAF297F" w14:textId="77777777" w:rsidR="003F7A27" w:rsidRPr="000633B3" w:rsidRDefault="003F7A27" w:rsidP="003F7A27">
      <w:pPr>
        <w:rPr>
          <w:szCs w:val="18"/>
        </w:rPr>
      </w:pPr>
      <w:r>
        <w:t>4.1 Piż amministrattiv</w:t>
      </w:r>
    </w:p>
    <w:p w14:paraId="10D7C0D6" w14:textId="77777777" w:rsidR="003F7A27" w:rsidRPr="000633B3" w:rsidRDefault="003F7A27" w:rsidP="003F7A27">
      <w:pPr>
        <w:rPr>
          <w:szCs w:val="18"/>
        </w:rPr>
      </w:pPr>
      <w:r>
        <w:t xml:space="preserve">Din l-emenda ma taffettwax il-firxa tal-piż amministrattiv ta’ applikazzjoni għal permess ambjentali għal attività li tagħmel ħsara lill-ambjent. Anke issa, il-kalkoli jridu jsiru bħala rekwiżit ta’ sottomissjoni għal applikazzjoni għal permess ambjentali. L-applikazzjoni tal-għodda ta’ kalkolu riveduta ma tinvolvi l-ebda piż addizzjonali. Il-bażi sostantiva tal-għodda tal-kalkolu tibqa’ kif inhi. </w:t>
      </w:r>
    </w:p>
    <w:p w14:paraId="400D8119" w14:textId="77777777" w:rsidR="003F7A27" w:rsidRPr="000633B3" w:rsidRDefault="003F7A27" w:rsidP="003F7A27">
      <w:pPr>
        <w:rPr>
          <w:szCs w:val="18"/>
        </w:rPr>
      </w:pPr>
      <w:r>
        <w:t>4.2 Impatt fuq in-negozju</w:t>
      </w:r>
    </w:p>
    <w:p w14:paraId="611E6E20" w14:textId="77777777" w:rsidR="003F7A27" w:rsidRPr="000633B3" w:rsidRDefault="003F7A27" w:rsidP="003F7A27">
      <w:pPr>
        <w:rPr>
          <w:szCs w:val="18"/>
        </w:rPr>
      </w:pPr>
      <w:r>
        <w:t xml:space="preserve">Din l-emenda ma għandha l-ebda impatt sinifikanti fuq in-negozju. L-istudju msemmi hawn fuq dwar il-konsegwenzi tal-programm ta’ kalkolu rivedut Safeti-NL juri li l-impatt fuq in-negozju huwa żero jew negliġibbli </w:t>
      </w:r>
      <w:bookmarkStart w:id="3" w:name="_Hlk172120153"/>
      <w:r>
        <w:t>minħabba li hemm każ wieħed biss fejn kumpanija jista’ jkollha bżonn tieħu miżuri biex ittaffi l-impatt ta’ perimetru akbar fuq bini jew siti vulnerabbli (ħafna).</w:t>
      </w:r>
    </w:p>
    <w:bookmarkEnd w:id="3"/>
    <w:p w14:paraId="6773BDDB" w14:textId="77777777" w:rsidR="003F7A27" w:rsidRPr="000633B3" w:rsidRDefault="003F7A27" w:rsidP="003F7A27">
      <w:pPr>
        <w:rPr>
          <w:szCs w:val="18"/>
        </w:rPr>
      </w:pPr>
      <w:r>
        <w:t xml:space="preserve">Għall-kumpaniji u għall-operaturi tal-pipelines, l-applikazzjoni tal-għodda l-ġdida ta’ kalkolu hija obbligatorja biss għal sitwazzjonijiet ġodda (applikazzjoni għal permess ambjentali għal attività li tagħmel ħsara lill-ambjent jew attività ta’ pjan ambjentali barra mill-pjan; il-kostruzzjoni jew is-sostituzzjoni ta’ pipeline; il-modifika tat-tħaddim ta’ pipeline). Għall-istabbilimenti Seveso li għalihom huwa meħtieġ rapport dwar is-sikurezza, l-għodda ta’ kalkolu aġġornata trid tiġi applikata fl-aġġornament li jmiss tar-rapport. </w:t>
      </w:r>
    </w:p>
    <w:p w14:paraId="5E475A8A" w14:textId="77777777" w:rsidR="003F7A27" w:rsidRPr="000633B3" w:rsidRDefault="003F7A27" w:rsidP="003F7A27">
      <w:pPr>
        <w:rPr>
          <w:szCs w:val="18"/>
        </w:rPr>
      </w:pPr>
      <w:r>
        <w:t>Għall-pipelines, fl-ippjanar tista’ titqies kwalunkwe bidla fil-perimetru tar-riskju u kwalunkwe miżura meħtieġa.</w:t>
      </w:r>
      <w:r>
        <w:br/>
      </w:r>
      <w:r>
        <w:br/>
        <w:t>L-utenti ta’ Safeti-NL iridu japplikaw għal sottoliċenzja mill-RIVM fuq bażi annwali. Dan jinvolvi spejjeż. L-introduzzjoni ta’ verżjoni ġdida ma twassalx għal spejjeż addizzjonali.</w:t>
      </w:r>
    </w:p>
    <w:p w14:paraId="7269541E" w14:textId="77777777" w:rsidR="003F7A27" w:rsidRPr="000633B3" w:rsidRDefault="003F7A27" w:rsidP="003F7A27">
      <w:pPr>
        <w:rPr>
          <w:szCs w:val="18"/>
        </w:rPr>
      </w:pPr>
      <w:r>
        <w:t>4.3 L-impatt fuq l-ambjent</w:t>
      </w:r>
    </w:p>
    <w:p w14:paraId="4DCD09FE" w14:textId="77777777" w:rsidR="003F7A27" w:rsidRPr="000633B3" w:rsidRDefault="003F7A27" w:rsidP="003F7A27">
      <w:pPr>
        <w:rPr>
          <w:szCs w:val="18"/>
        </w:rPr>
      </w:pPr>
      <w:r>
        <w:t>Il-programm ta’ kalkolu aġġornat iġib il-kalkoli tar-riskju tas-sikurezza esterna f’konformità mal-aħħar informazzjoni. Dan itejjeb il-puntwalità tar-regolamentazzjoni fil-qasam tas-sikurezza esterna u allokazzjoni bbilanċjata tal-funzjonijiet għas-siti bil-ħsieb li tiġi żgurata s-sikurezza.</w:t>
      </w:r>
    </w:p>
    <w:p w14:paraId="4E05424B" w14:textId="77777777" w:rsidR="003F7A27" w:rsidRPr="000633B3" w:rsidRDefault="003F7A27" w:rsidP="003F7A27">
      <w:pPr>
        <w:rPr>
          <w:szCs w:val="18"/>
        </w:rPr>
      </w:pPr>
      <w:r>
        <w:t>5. Konsultazzjoni</w:t>
      </w:r>
    </w:p>
    <w:p w14:paraId="3ACD1C1A" w14:textId="77777777" w:rsidR="003F7A27" w:rsidRPr="000633B3" w:rsidRDefault="003F7A27" w:rsidP="003F7A27">
      <w:pPr>
        <w:autoSpaceDE w:val="0"/>
        <w:autoSpaceDN w:val="0"/>
        <w:adjustRightInd w:val="0"/>
        <w:rPr>
          <w:szCs w:val="18"/>
        </w:rPr>
      </w:pPr>
      <w:r>
        <w:t xml:space="preserve">5.1 Bord Konsultattiv dwar il-Piż Regolatorju (ATR) </w:t>
      </w:r>
    </w:p>
    <w:p w14:paraId="69BBD7A7" w14:textId="77777777" w:rsidR="003F7A27" w:rsidRPr="000633B3" w:rsidRDefault="003F7A27" w:rsidP="003F7A27">
      <w:pPr>
        <w:autoSpaceDE w:val="0"/>
        <w:autoSpaceDN w:val="0"/>
        <w:adjustRightInd w:val="0"/>
        <w:rPr>
          <w:szCs w:val="18"/>
        </w:rPr>
      </w:pPr>
      <w:r>
        <w:t>Il-Bord Konsultattiv Netherlandiż dwar il-Piż Regolatorju (ATR) għażel/ma għażilx dan il-każ għal opinjoni formali minħabba li huwa mistenni li jkollu impatt sinifikanti fuq il-piż regolatorju (jew ma jkollu l-ebda impatt).</w:t>
      </w:r>
    </w:p>
    <w:p w14:paraId="664D0313" w14:textId="77777777" w:rsidR="003F7A27" w:rsidRPr="000633B3" w:rsidRDefault="003F7A27" w:rsidP="003F7A27">
      <w:pPr>
        <w:rPr>
          <w:szCs w:val="18"/>
        </w:rPr>
      </w:pPr>
      <w:r>
        <w:t>5.2 Konsultazzjoni online</w:t>
      </w:r>
    </w:p>
    <w:p w14:paraId="337BCED6" w14:textId="77777777" w:rsidR="003F7A27" w:rsidRPr="000633B3" w:rsidRDefault="003F7A27" w:rsidP="003F7A27">
      <w:pPr>
        <w:spacing w:after="0"/>
        <w:rPr>
          <w:szCs w:val="18"/>
        </w:rPr>
      </w:pPr>
      <w:r>
        <w:t>Saret konsultazzjoni online minn (data sa data PM). B’riżultat ta’ dan, waslu tweġibiet (PM). Dawn wasslu/ma wasslux għal aġġustamenti (li ġejjin) (PM).</w:t>
      </w:r>
    </w:p>
    <w:p w14:paraId="2FBAC6E7" w14:textId="77777777" w:rsidR="003F7A27" w:rsidRPr="000633B3" w:rsidRDefault="003F7A27" w:rsidP="003F7A27">
      <w:pPr>
        <w:spacing w:after="0"/>
        <w:rPr>
          <w:szCs w:val="18"/>
        </w:rPr>
      </w:pPr>
    </w:p>
    <w:p w14:paraId="2B6D599F" w14:textId="77777777" w:rsidR="003F7A27" w:rsidRPr="000633B3" w:rsidRDefault="003F7A27" w:rsidP="003F7A27">
      <w:pPr>
        <w:spacing w:after="0"/>
        <w:rPr>
          <w:szCs w:val="18"/>
        </w:rPr>
      </w:pPr>
      <w:r>
        <w:t>6. Notifika ta’ regolamenti tekniċi</w:t>
      </w:r>
      <w:r>
        <w:br/>
      </w:r>
    </w:p>
    <w:p w14:paraId="1D13EA1A" w14:textId="77777777" w:rsidR="003F7A27" w:rsidRPr="000633B3" w:rsidRDefault="003F7A27" w:rsidP="003F7A27">
      <w:pPr>
        <w:spacing w:after="0"/>
        <w:rPr>
          <w:szCs w:val="18"/>
        </w:rPr>
      </w:pPr>
      <w:r>
        <w:t>L-abbozz ta’ dan ir-Regolament Emendatorju ġie nnotifikat f’konformità mad-Direttiva (UE) 2015/1535 tal-Parlament Ewropew u tal-Kunsill tad-9 ta’ Settembru 2015 li tistabbilixxi proċedura għall-għoti ta’ informazzjoni fil-qasam tar-regolamenti tekniċi u tar-regoli dwar is-servizzi tas-</w:t>
      </w:r>
      <w:r>
        <w:lastRenderedPageBreak/>
        <w:t>Soċjetà tal-Informatika (ĠU L 241, 2015). In-notifika (Nru PM) saret minħabba l-Artikolu I tar-Regolament Emendatorju li jiddeżinja verżjonijiet ġodda ta’ Safeti-NL u r-Rekwiżit ta’ Kalkolu għas-Sikurezza Ambjentali rispettivament. Wara n-notifika, waslu/ma waslux kummenti (mill-Kummissjoni Ewropea/mill-Istati Membri l-oħra). Dan wassal/ma wassalx għall-aġġustamenti (u r-rispons li ġejjin). PM</w:t>
      </w:r>
    </w:p>
    <w:p w14:paraId="2008A9E9" w14:textId="77777777" w:rsidR="003F7A27" w:rsidRPr="000633B3" w:rsidRDefault="003F7A27" w:rsidP="003F7A27">
      <w:pPr>
        <w:spacing w:after="0"/>
        <w:rPr>
          <w:szCs w:val="18"/>
        </w:rPr>
      </w:pPr>
    </w:p>
    <w:p w14:paraId="076B078B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7. Implimentazzjoni u infurzar </w:t>
      </w:r>
    </w:p>
    <w:p w14:paraId="300D264E" w14:textId="77777777" w:rsidR="003F7A27" w:rsidRPr="000633B3" w:rsidRDefault="003F7A27" w:rsidP="003F7A27">
      <w:pPr>
        <w:spacing w:after="0"/>
        <w:rPr>
          <w:szCs w:val="18"/>
        </w:rPr>
      </w:pPr>
    </w:p>
    <w:p w14:paraId="03834AC4" w14:textId="77777777" w:rsidR="003F7A27" w:rsidRPr="000633B3" w:rsidRDefault="003F7A27" w:rsidP="003F7A27">
      <w:pPr>
        <w:spacing w:after="0"/>
        <w:rPr>
          <w:szCs w:val="18"/>
        </w:rPr>
      </w:pPr>
      <w:r>
        <w:t>Fin-nuqqas ta’ kwalunkwe politika ġdida, ma twettaqx test dwar l-infurzabbiltà, il-fattibbiltà u r-reżistenza għall-frodi [HUF-toets]. L-aġġustamenti li saru fl-għodda tal-kalkolu mhumiex ta’ tali natura li jkun mistenni impatt fuq il-fattibbiltà u l-infurzabbiltà. L-awtorità kompetenti tingħata r-riżultati tal-kalkoli b’mod simili bħal qabel u tintuża għall-valutazzjoni tar-riżultati. Peress li dan huwa xogħol speċjalizzat, l-implimentazzjoni tal-valutazzjoni ġiet assenjata lil 6 Servizzi Ambjentali (BRZO).</w:t>
      </w:r>
    </w:p>
    <w:p w14:paraId="5ED7FF2B" w14:textId="77777777" w:rsidR="003F7A27" w:rsidRPr="000633B3" w:rsidRDefault="003F7A27" w:rsidP="003F7A27">
      <w:pPr>
        <w:spacing w:after="0"/>
        <w:rPr>
          <w:szCs w:val="18"/>
        </w:rPr>
      </w:pPr>
    </w:p>
    <w:p w14:paraId="1F64F6C8" w14:textId="77777777" w:rsidR="003F7A27" w:rsidRPr="000633B3" w:rsidRDefault="003F7A27" w:rsidP="003F7A27">
      <w:pPr>
        <w:spacing w:after="0"/>
        <w:rPr>
          <w:szCs w:val="18"/>
        </w:rPr>
      </w:pPr>
      <w:r>
        <w:t>8. Dħul fis-seħħ</w:t>
      </w:r>
    </w:p>
    <w:p w14:paraId="7F5C082E" w14:textId="77777777" w:rsidR="003F7A27" w:rsidRPr="000633B3" w:rsidRDefault="003F7A27" w:rsidP="003F7A27">
      <w:pPr>
        <w:spacing w:after="0"/>
        <w:rPr>
          <w:szCs w:val="18"/>
        </w:rPr>
      </w:pPr>
    </w:p>
    <w:p w14:paraId="08B2CF64" w14:textId="77777777" w:rsidR="003F7A27" w:rsidRPr="000633B3" w:rsidRDefault="003F7A27" w:rsidP="003F7A27">
      <w:pPr>
        <w:rPr>
          <w:szCs w:val="18"/>
        </w:rPr>
      </w:pPr>
      <w:r>
        <w:t>Din l-Ordni għandha tidħol fis-seħħ fl-1 ta’ Jannar 2025. Hemm deroga mill-perjodu minimu ta’ introduzzjoni ta’ 3 xhur għad-data tad-dħul fis-seħħ tar-Regolament. Sabiex ikun jista’ juża Safeti-NL, il-Ministeru tal-Infrastruttura u l-Ġestjoni tal-Ilma kkonkluda kuntratt mal-fornitur, fost l-oħrajn, dwar l-għoti (mill-RIVM) ta’ sottoliċenzji lil utenti Netherlandiżi. Dan il-kuntratt jiskadi fl-aħħar tal-2024. Kuntratt ġdid għall-forniment tal-verżjoni 9.2 ta’ Safeti-NL mill-1 ta’ Jannar 2025 ġie konkluż mal-fornitur kurrenti (wara proċedura ta’ sejħa għall-offerti). Jistgħu jinħarġu sottoliċenzji għal din il-verżjoni. Fid-dawl tal-grupp fil-mira, id-deroga mill-perjodu ta’ introduzzjoni hija ġġustifikata minħabba li tipprevjeni żvantaġġi pubbliċi u privati sinifikanti mhux mixtieqa (l-Istruzzjoni 4.17(5)(a) tal-Istruzzjonijiet għal-Leġiżlazzjoni [Aanwijzingen voor de regelgeving]).</w:t>
      </w:r>
    </w:p>
    <w:p w14:paraId="4ECADA69" w14:textId="77777777" w:rsidR="003F7A27" w:rsidRPr="000633B3" w:rsidRDefault="003F7A27" w:rsidP="003F7A27">
      <w:pPr>
        <w:rPr>
          <w:szCs w:val="18"/>
        </w:rPr>
      </w:pPr>
    </w:p>
    <w:p w14:paraId="5729D8FE" w14:textId="77777777" w:rsidR="003F7A27" w:rsidRPr="000633B3" w:rsidRDefault="003F7A27" w:rsidP="003F7A27">
      <w:pPr>
        <w:rPr>
          <w:szCs w:val="18"/>
        </w:rPr>
      </w:pPr>
    </w:p>
    <w:p w14:paraId="7B7662DC" w14:textId="77777777" w:rsidR="003F7A27" w:rsidRPr="002C41F8" w:rsidRDefault="003F7A27" w:rsidP="003F7A27">
      <w:pPr>
        <w:tabs>
          <w:tab w:val="left" w:pos="426"/>
        </w:tabs>
        <w:rPr>
          <w:szCs w:val="18"/>
        </w:rPr>
      </w:pPr>
      <w:r>
        <w:t>SEGRETARJU TAL-ISTAT GĦALL-INFRASTRUTTURA U L-ĠESTJONI TAL-ILMA – IT-TRASPORT PUBBLIKU U L-AMBJENT,</w:t>
      </w:r>
      <w:bookmarkEnd w:id="0"/>
    </w:p>
    <w:p w14:paraId="695CFD70" w14:textId="65D8673E" w:rsidR="008B5A47" w:rsidRPr="003F7A27" w:rsidRDefault="008B5A47" w:rsidP="003F7A27"/>
    <w:sectPr w:rsidR="008B5A47" w:rsidRPr="003F7A27" w:rsidSect="001E6A24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291E" w14:textId="77777777" w:rsidR="00992962" w:rsidRDefault="00992962" w:rsidP="00AA1832">
      <w:pPr>
        <w:spacing w:after="0" w:line="240" w:lineRule="auto"/>
      </w:pPr>
      <w:r>
        <w:separator/>
      </w:r>
    </w:p>
  </w:endnote>
  <w:endnote w:type="continuationSeparator" w:id="0">
    <w:p w14:paraId="404B4609" w14:textId="77777777" w:rsidR="00992962" w:rsidRDefault="00992962" w:rsidP="00AA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471040"/>
      <w:docPartObj>
        <w:docPartGallery w:val="Page Numbers (Bottom of Page)"/>
        <w:docPartUnique/>
      </w:docPartObj>
    </w:sdtPr>
    <w:sdtEndPr/>
    <w:sdtContent>
      <w:p w14:paraId="57E9AB0E" w14:textId="7BBF1F9F" w:rsidR="000A3C80" w:rsidRDefault="000A3C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CC0A4" w14:textId="77777777" w:rsidR="000A3C80" w:rsidRDefault="000A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9F87" w14:textId="77777777" w:rsidR="00992962" w:rsidRDefault="00992962" w:rsidP="00AA1832">
      <w:pPr>
        <w:spacing w:after="0" w:line="240" w:lineRule="auto"/>
      </w:pPr>
      <w:r>
        <w:separator/>
      </w:r>
    </w:p>
  </w:footnote>
  <w:footnote w:type="continuationSeparator" w:id="0">
    <w:p w14:paraId="2C671CAE" w14:textId="77777777" w:rsidR="00992962" w:rsidRDefault="00992962" w:rsidP="00AA1832">
      <w:pPr>
        <w:spacing w:after="0" w:line="240" w:lineRule="auto"/>
      </w:pPr>
      <w:r>
        <w:continuationSeparator/>
      </w:r>
    </w:p>
  </w:footnote>
  <w:footnote w:id="1">
    <w:p w14:paraId="07BB82EB" w14:textId="77777777" w:rsidR="003F7A27" w:rsidRPr="00C80E9D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Żona ta’</w:t>
      </w:r>
      <w:r>
        <w:rPr>
          <w:rStyle w:val="cf01"/>
          <w:rFonts w:ascii="Verdana" w:hAnsi="Verdana"/>
        </w:rPr>
        <w:t xml:space="preserve"> fokus turi fejn in-nies f’bini ma jistgħux jiġu protetti biżżejjed mill-konsegwenzi ta’ inċidenti li jinvolvu sustanzi perikolużi mingħajr miżuri addizzjonali.</w:t>
      </w:r>
    </w:p>
  </w:footnote>
  <w:footnote w:id="2">
    <w:p w14:paraId="3F9A218D" w14:textId="77777777" w:rsidR="003F7A27" w:rsidRPr="00074AF3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Istitut ta’ konsulenza u għarfien li jispeċjalizza fi kwistjonijiet esterni ta’ sikurezza.</w:t>
      </w:r>
    </w:p>
  </w:footnote>
  <w:footnote w:id="3">
    <w:p w14:paraId="1705F032" w14:textId="77777777" w:rsidR="003F7A27" w:rsidRPr="00934AEE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AVIV Nru 235557, Lulju 2024.</w:t>
      </w:r>
    </w:p>
  </w:footnote>
  <w:footnote w:id="4">
    <w:p w14:paraId="59DC7D10" w14:textId="77777777" w:rsidR="003F7A27" w:rsidRPr="00934AEE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Ittra bin-numru ta’ referenza VLH-2024-0049, 24 ta’ Lulju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1BA"/>
    <w:multiLevelType w:val="hybridMultilevel"/>
    <w:tmpl w:val="66961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D75F5"/>
    <w:multiLevelType w:val="hybridMultilevel"/>
    <w:tmpl w:val="D79AE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135"/>
    <w:multiLevelType w:val="hybridMultilevel"/>
    <w:tmpl w:val="B686B3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2848">
    <w:abstractNumId w:val="1"/>
  </w:num>
  <w:num w:numId="2" w16cid:durableId="1667130085">
    <w:abstractNumId w:val="0"/>
  </w:num>
  <w:num w:numId="3" w16cid:durableId="168644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8"/>
    <w:rsid w:val="0000100C"/>
    <w:rsid w:val="000043B2"/>
    <w:rsid w:val="00007506"/>
    <w:rsid w:val="00015B64"/>
    <w:rsid w:val="00023F34"/>
    <w:rsid w:val="000633B3"/>
    <w:rsid w:val="00063AC8"/>
    <w:rsid w:val="0007021E"/>
    <w:rsid w:val="00070E5D"/>
    <w:rsid w:val="00074AF3"/>
    <w:rsid w:val="00081103"/>
    <w:rsid w:val="0009238C"/>
    <w:rsid w:val="000A375A"/>
    <w:rsid w:val="000A3C80"/>
    <w:rsid w:val="000A611A"/>
    <w:rsid w:val="000B6D7F"/>
    <w:rsid w:val="000C0189"/>
    <w:rsid w:val="000C35B4"/>
    <w:rsid w:val="000C3BAC"/>
    <w:rsid w:val="000D2F20"/>
    <w:rsid w:val="000D4B0F"/>
    <w:rsid w:val="000D7703"/>
    <w:rsid w:val="00100C1C"/>
    <w:rsid w:val="00111122"/>
    <w:rsid w:val="00111754"/>
    <w:rsid w:val="001120E0"/>
    <w:rsid w:val="00125A13"/>
    <w:rsid w:val="00134921"/>
    <w:rsid w:val="00143E05"/>
    <w:rsid w:val="001470EC"/>
    <w:rsid w:val="001500E3"/>
    <w:rsid w:val="00156683"/>
    <w:rsid w:val="00157BF6"/>
    <w:rsid w:val="00160EA4"/>
    <w:rsid w:val="00170857"/>
    <w:rsid w:val="00172D99"/>
    <w:rsid w:val="00174971"/>
    <w:rsid w:val="00176892"/>
    <w:rsid w:val="0018522D"/>
    <w:rsid w:val="001941DB"/>
    <w:rsid w:val="001A438F"/>
    <w:rsid w:val="001A7DF8"/>
    <w:rsid w:val="001B3A60"/>
    <w:rsid w:val="001B7178"/>
    <w:rsid w:val="001B793F"/>
    <w:rsid w:val="001C0833"/>
    <w:rsid w:val="001C0ADF"/>
    <w:rsid w:val="001C2F6D"/>
    <w:rsid w:val="001D0B22"/>
    <w:rsid w:val="001D7E70"/>
    <w:rsid w:val="001E6A24"/>
    <w:rsid w:val="001E7869"/>
    <w:rsid w:val="001F27E0"/>
    <w:rsid w:val="001F3CCB"/>
    <w:rsid w:val="001F7A04"/>
    <w:rsid w:val="00200C52"/>
    <w:rsid w:val="002014F3"/>
    <w:rsid w:val="002026FE"/>
    <w:rsid w:val="00204F94"/>
    <w:rsid w:val="00212864"/>
    <w:rsid w:val="002134AA"/>
    <w:rsid w:val="00215003"/>
    <w:rsid w:val="00216A75"/>
    <w:rsid w:val="002205BC"/>
    <w:rsid w:val="00220FB4"/>
    <w:rsid w:val="0023206E"/>
    <w:rsid w:val="0023581E"/>
    <w:rsid w:val="002410FB"/>
    <w:rsid w:val="00241660"/>
    <w:rsid w:val="0024348E"/>
    <w:rsid w:val="00246385"/>
    <w:rsid w:val="002725F8"/>
    <w:rsid w:val="00294ED6"/>
    <w:rsid w:val="002951BF"/>
    <w:rsid w:val="002A3511"/>
    <w:rsid w:val="002A48C1"/>
    <w:rsid w:val="002A7557"/>
    <w:rsid w:val="002B53E1"/>
    <w:rsid w:val="002C1041"/>
    <w:rsid w:val="002C41D2"/>
    <w:rsid w:val="002C41F8"/>
    <w:rsid w:val="002C604A"/>
    <w:rsid w:val="002D218D"/>
    <w:rsid w:val="002D2D37"/>
    <w:rsid w:val="002D4AB9"/>
    <w:rsid w:val="002D4EED"/>
    <w:rsid w:val="002F194C"/>
    <w:rsid w:val="003034F4"/>
    <w:rsid w:val="00306C45"/>
    <w:rsid w:val="00307F65"/>
    <w:rsid w:val="00312D9C"/>
    <w:rsid w:val="00313FDF"/>
    <w:rsid w:val="00326563"/>
    <w:rsid w:val="0034040E"/>
    <w:rsid w:val="00345625"/>
    <w:rsid w:val="00347172"/>
    <w:rsid w:val="00351CAD"/>
    <w:rsid w:val="003534C4"/>
    <w:rsid w:val="0035485C"/>
    <w:rsid w:val="00354D23"/>
    <w:rsid w:val="00355061"/>
    <w:rsid w:val="00357A69"/>
    <w:rsid w:val="00364257"/>
    <w:rsid w:val="00372ED7"/>
    <w:rsid w:val="00383A69"/>
    <w:rsid w:val="003875A0"/>
    <w:rsid w:val="0039580D"/>
    <w:rsid w:val="003A4F84"/>
    <w:rsid w:val="003B3A45"/>
    <w:rsid w:val="003D3E94"/>
    <w:rsid w:val="003F57B2"/>
    <w:rsid w:val="003F7A27"/>
    <w:rsid w:val="00417DAF"/>
    <w:rsid w:val="00425746"/>
    <w:rsid w:val="00433D4B"/>
    <w:rsid w:val="00435ED4"/>
    <w:rsid w:val="0044343A"/>
    <w:rsid w:val="00444009"/>
    <w:rsid w:val="00454626"/>
    <w:rsid w:val="0045745D"/>
    <w:rsid w:val="004637E7"/>
    <w:rsid w:val="00463E26"/>
    <w:rsid w:val="00464AC8"/>
    <w:rsid w:val="0047007B"/>
    <w:rsid w:val="004713A2"/>
    <w:rsid w:val="0047242E"/>
    <w:rsid w:val="004B088B"/>
    <w:rsid w:val="004C16EE"/>
    <w:rsid w:val="004C3518"/>
    <w:rsid w:val="004C64D0"/>
    <w:rsid w:val="004D1DAD"/>
    <w:rsid w:val="004D6D30"/>
    <w:rsid w:val="004E4D40"/>
    <w:rsid w:val="004F448B"/>
    <w:rsid w:val="00506754"/>
    <w:rsid w:val="00510D37"/>
    <w:rsid w:val="00516BC4"/>
    <w:rsid w:val="00517A9E"/>
    <w:rsid w:val="0052621C"/>
    <w:rsid w:val="00530410"/>
    <w:rsid w:val="00533A64"/>
    <w:rsid w:val="005372FB"/>
    <w:rsid w:val="005438C5"/>
    <w:rsid w:val="00543951"/>
    <w:rsid w:val="00561D00"/>
    <w:rsid w:val="005668B9"/>
    <w:rsid w:val="005A7F0B"/>
    <w:rsid w:val="005B0DB2"/>
    <w:rsid w:val="005B35DC"/>
    <w:rsid w:val="005B3847"/>
    <w:rsid w:val="005B39A1"/>
    <w:rsid w:val="005B7D72"/>
    <w:rsid w:val="005B7EE0"/>
    <w:rsid w:val="005C05A8"/>
    <w:rsid w:val="005D2800"/>
    <w:rsid w:val="005D60CC"/>
    <w:rsid w:val="00613144"/>
    <w:rsid w:val="006154AD"/>
    <w:rsid w:val="006156E7"/>
    <w:rsid w:val="006221DD"/>
    <w:rsid w:val="00623AE9"/>
    <w:rsid w:val="00641DED"/>
    <w:rsid w:val="00661660"/>
    <w:rsid w:val="00664E97"/>
    <w:rsid w:val="00674D13"/>
    <w:rsid w:val="00684301"/>
    <w:rsid w:val="006A10FD"/>
    <w:rsid w:val="006A127D"/>
    <w:rsid w:val="006A2289"/>
    <w:rsid w:val="006A6025"/>
    <w:rsid w:val="006C27C5"/>
    <w:rsid w:val="006C4DDF"/>
    <w:rsid w:val="006F0C63"/>
    <w:rsid w:val="006F1869"/>
    <w:rsid w:val="00711CB5"/>
    <w:rsid w:val="00743CBF"/>
    <w:rsid w:val="007517FC"/>
    <w:rsid w:val="0075226B"/>
    <w:rsid w:val="007574D6"/>
    <w:rsid w:val="00763BD4"/>
    <w:rsid w:val="007643D9"/>
    <w:rsid w:val="00785263"/>
    <w:rsid w:val="007A6CDB"/>
    <w:rsid w:val="007A71B2"/>
    <w:rsid w:val="007B152A"/>
    <w:rsid w:val="007B4757"/>
    <w:rsid w:val="007B6681"/>
    <w:rsid w:val="007C4DF1"/>
    <w:rsid w:val="007C7A24"/>
    <w:rsid w:val="007E0971"/>
    <w:rsid w:val="007E1764"/>
    <w:rsid w:val="00807937"/>
    <w:rsid w:val="00814E28"/>
    <w:rsid w:val="00837E2A"/>
    <w:rsid w:val="0084650C"/>
    <w:rsid w:val="008478CC"/>
    <w:rsid w:val="00855214"/>
    <w:rsid w:val="00861872"/>
    <w:rsid w:val="00873FD4"/>
    <w:rsid w:val="00891BC6"/>
    <w:rsid w:val="00893BA6"/>
    <w:rsid w:val="0089503B"/>
    <w:rsid w:val="00895ECD"/>
    <w:rsid w:val="00896C26"/>
    <w:rsid w:val="008B4961"/>
    <w:rsid w:val="008B5A47"/>
    <w:rsid w:val="008B7D32"/>
    <w:rsid w:val="008C2027"/>
    <w:rsid w:val="008D3D87"/>
    <w:rsid w:val="008E191B"/>
    <w:rsid w:val="008E3722"/>
    <w:rsid w:val="008F1375"/>
    <w:rsid w:val="00913461"/>
    <w:rsid w:val="00926E6B"/>
    <w:rsid w:val="0092760B"/>
    <w:rsid w:val="00942B41"/>
    <w:rsid w:val="00953D2C"/>
    <w:rsid w:val="009602A8"/>
    <w:rsid w:val="009640D4"/>
    <w:rsid w:val="00974AEF"/>
    <w:rsid w:val="00976016"/>
    <w:rsid w:val="00976208"/>
    <w:rsid w:val="009913A4"/>
    <w:rsid w:val="00992962"/>
    <w:rsid w:val="009953BF"/>
    <w:rsid w:val="009A2DE6"/>
    <w:rsid w:val="009A438D"/>
    <w:rsid w:val="009A4DFB"/>
    <w:rsid w:val="009A50D5"/>
    <w:rsid w:val="009A6B27"/>
    <w:rsid w:val="009C188A"/>
    <w:rsid w:val="009C4EF4"/>
    <w:rsid w:val="009C5675"/>
    <w:rsid w:val="009C606D"/>
    <w:rsid w:val="009E38DF"/>
    <w:rsid w:val="009E7E2D"/>
    <w:rsid w:val="009F078D"/>
    <w:rsid w:val="00A0630B"/>
    <w:rsid w:val="00A1355A"/>
    <w:rsid w:val="00A135DB"/>
    <w:rsid w:val="00A22871"/>
    <w:rsid w:val="00A567F9"/>
    <w:rsid w:val="00A6058A"/>
    <w:rsid w:val="00A627EA"/>
    <w:rsid w:val="00A65CC9"/>
    <w:rsid w:val="00A71496"/>
    <w:rsid w:val="00A72F3F"/>
    <w:rsid w:val="00A84814"/>
    <w:rsid w:val="00A95E80"/>
    <w:rsid w:val="00AA1832"/>
    <w:rsid w:val="00AA266B"/>
    <w:rsid w:val="00AA55BD"/>
    <w:rsid w:val="00AA663F"/>
    <w:rsid w:val="00AB3561"/>
    <w:rsid w:val="00AC30B3"/>
    <w:rsid w:val="00AC5743"/>
    <w:rsid w:val="00AD451A"/>
    <w:rsid w:val="00AD694E"/>
    <w:rsid w:val="00AD6C4D"/>
    <w:rsid w:val="00AF06E7"/>
    <w:rsid w:val="00B0198C"/>
    <w:rsid w:val="00B03264"/>
    <w:rsid w:val="00B04D31"/>
    <w:rsid w:val="00B04FF5"/>
    <w:rsid w:val="00B06701"/>
    <w:rsid w:val="00B13A8E"/>
    <w:rsid w:val="00B16A20"/>
    <w:rsid w:val="00B26039"/>
    <w:rsid w:val="00B26F50"/>
    <w:rsid w:val="00B34991"/>
    <w:rsid w:val="00B4175F"/>
    <w:rsid w:val="00B42E38"/>
    <w:rsid w:val="00B57277"/>
    <w:rsid w:val="00B63DF9"/>
    <w:rsid w:val="00B65A48"/>
    <w:rsid w:val="00B67D49"/>
    <w:rsid w:val="00B755E0"/>
    <w:rsid w:val="00B91D75"/>
    <w:rsid w:val="00B95BAB"/>
    <w:rsid w:val="00BA11C5"/>
    <w:rsid w:val="00BA411C"/>
    <w:rsid w:val="00BB44C3"/>
    <w:rsid w:val="00BC1CC4"/>
    <w:rsid w:val="00BD6DF4"/>
    <w:rsid w:val="00BE1FA1"/>
    <w:rsid w:val="00BE35E8"/>
    <w:rsid w:val="00BF1967"/>
    <w:rsid w:val="00BF5172"/>
    <w:rsid w:val="00C0209E"/>
    <w:rsid w:val="00C16168"/>
    <w:rsid w:val="00C16D89"/>
    <w:rsid w:val="00C27764"/>
    <w:rsid w:val="00C32131"/>
    <w:rsid w:val="00C329C5"/>
    <w:rsid w:val="00C349BA"/>
    <w:rsid w:val="00C3581C"/>
    <w:rsid w:val="00C378AE"/>
    <w:rsid w:val="00C37C73"/>
    <w:rsid w:val="00C42E48"/>
    <w:rsid w:val="00C43D4D"/>
    <w:rsid w:val="00C46804"/>
    <w:rsid w:val="00C5686E"/>
    <w:rsid w:val="00C6082F"/>
    <w:rsid w:val="00C6230F"/>
    <w:rsid w:val="00C62766"/>
    <w:rsid w:val="00C77180"/>
    <w:rsid w:val="00C77D0E"/>
    <w:rsid w:val="00C80E9D"/>
    <w:rsid w:val="00C831FA"/>
    <w:rsid w:val="00C834F7"/>
    <w:rsid w:val="00CA57CA"/>
    <w:rsid w:val="00CA76D3"/>
    <w:rsid w:val="00CA792A"/>
    <w:rsid w:val="00CD11C9"/>
    <w:rsid w:val="00CE2286"/>
    <w:rsid w:val="00CF4587"/>
    <w:rsid w:val="00D10B17"/>
    <w:rsid w:val="00D12A4F"/>
    <w:rsid w:val="00D20BBA"/>
    <w:rsid w:val="00D26D82"/>
    <w:rsid w:val="00D32C0E"/>
    <w:rsid w:val="00D42455"/>
    <w:rsid w:val="00D455DC"/>
    <w:rsid w:val="00D4667D"/>
    <w:rsid w:val="00D530D4"/>
    <w:rsid w:val="00D6296A"/>
    <w:rsid w:val="00D66FE3"/>
    <w:rsid w:val="00D709BE"/>
    <w:rsid w:val="00D85555"/>
    <w:rsid w:val="00D97F43"/>
    <w:rsid w:val="00DA30CC"/>
    <w:rsid w:val="00DA5550"/>
    <w:rsid w:val="00DB474D"/>
    <w:rsid w:val="00DC1024"/>
    <w:rsid w:val="00DD3D4B"/>
    <w:rsid w:val="00DE09C8"/>
    <w:rsid w:val="00DF6C6C"/>
    <w:rsid w:val="00E0338D"/>
    <w:rsid w:val="00E067DD"/>
    <w:rsid w:val="00E17EC1"/>
    <w:rsid w:val="00E306EA"/>
    <w:rsid w:val="00E30D01"/>
    <w:rsid w:val="00E42ABA"/>
    <w:rsid w:val="00E4303F"/>
    <w:rsid w:val="00E46605"/>
    <w:rsid w:val="00E52266"/>
    <w:rsid w:val="00E61155"/>
    <w:rsid w:val="00E74AEA"/>
    <w:rsid w:val="00E7795C"/>
    <w:rsid w:val="00E80937"/>
    <w:rsid w:val="00E90CA4"/>
    <w:rsid w:val="00E9266B"/>
    <w:rsid w:val="00E9341D"/>
    <w:rsid w:val="00E952FC"/>
    <w:rsid w:val="00E957C5"/>
    <w:rsid w:val="00EA1BAC"/>
    <w:rsid w:val="00EB7655"/>
    <w:rsid w:val="00EC0C1D"/>
    <w:rsid w:val="00EC17F1"/>
    <w:rsid w:val="00EC681E"/>
    <w:rsid w:val="00ED1604"/>
    <w:rsid w:val="00ED2835"/>
    <w:rsid w:val="00ED415E"/>
    <w:rsid w:val="00EE73A7"/>
    <w:rsid w:val="00EF68FD"/>
    <w:rsid w:val="00F024AD"/>
    <w:rsid w:val="00F02EB3"/>
    <w:rsid w:val="00F03A45"/>
    <w:rsid w:val="00F11D94"/>
    <w:rsid w:val="00F14C04"/>
    <w:rsid w:val="00F1539C"/>
    <w:rsid w:val="00F235A7"/>
    <w:rsid w:val="00F27F7F"/>
    <w:rsid w:val="00F37063"/>
    <w:rsid w:val="00F42ED5"/>
    <w:rsid w:val="00F45DF8"/>
    <w:rsid w:val="00F47EF1"/>
    <w:rsid w:val="00F512BA"/>
    <w:rsid w:val="00F53951"/>
    <w:rsid w:val="00F614F9"/>
    <w:rsid w:val="00F629E9"/>
    <w:rsid w:val="00F748AE"/>
    <w:rsid w:val="00F75806"/>
    <w:rsid w:val="00F8722C"/>
    <w:rsid w:val="00F87BF8"/>
    <w:rsid w:val="00F927F4"/>
    <w:rsid w:val="00FA7577"/>
    <w:rsid w:val="00FB45E6"/>
    <w:rsid w:val="00FC4893"/>
    <w:rsid w:val="00FD00D9"/>
    <w:rsid w:val="00FD2918"/>
    <w:rsid w:val="00FD2ECA"/>
    <w:rsid w:val="00FD6C20"/>
    <w:rsid w:val="00FE6BCC"/>
    <w:rsid w:val="00FE6C70"/>
    <w:rsid w:val="00FE6DF9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C2F"/>
  <w15:chartTrackingRefBased/>
  <w15:docId w15:val="{423C6DF0-5536-45B8-8D6D-2BE6D318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AA"/>
    <w:rPr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AA"/>
    <w:rPr>
      <w:b/>
      <w:bCs/>
      <w:sz w:val="20"/>
      <w:szCs w:val="20"/>
      <w:lang w:val="mt-MT"/>
    </w:rPr>
  </w:style>
  <w:style w:type="paragraph" w:styleId="Revision">
    <w:name w:val="Revision"/>
    <w:hidden/>
    <w:uiPriority w:val="99"/>
    <w:semiHidden/>
    <w:rsid w:val="00463E26"/>
    <w:pPr>
      <w:spacing w:after="0" w:line="240" w:lineRule="auto"/>
    </w:pPr>
  </w:style>
  <w:style w:type="paragraph" w:customStyle="1" w:styleId="Default">
    <w:name w:val="Default"/>
    <w:rsid w:val="00561D00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D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18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832"/>
    <w:rPr>
      <w:sz w:val="20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AA1832"/>
    <w:rPr>
      <w:vertAlign w:val="superscript"/>
    </w:rPr>
  </w:style>
  <w:style w:type="character" w:customStyle="1" w:styleId="cf01">
    <w:name w:val="cf01"/>
    <w:basedOn w:val="DefaultParagraphFont"/>
    <w:rsid w:val="00AA183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D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80"/>
    <w:rPr>
      <w:lang w:val="mt-MT"/>
    </w:rPr>
  </w:style>
  <w:style w:type="paragraph" w:styleId="Footer">
    <w:name w:val="footer"/>
    <w:basedOn w:val="Normal"/>
    <w:link w:val="FooterChar"/>
    <w:uiPriority w:val="99"/>
    <w:unhideWhenUsed/>
    <w:rsid w:val="000A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80"/>
    <w:rPr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DA29-BFB0-4CA6-A7D3-4A05E73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3148</Words>
  <Characters>17950</Characters>
  <Application>Microsoft Office Word</Application>
  <DocSecurity>0</DocSecurity>
  <Lines>149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Zwieten, R.B.J. van (Rolf) - DGMI</dc:creator>
  <cp:keywords/>
  <dc:description/>
  <cp:lastModifiedBy>L. B.</cp:lastModifiedBy>
  <cp:revision>3</cp:revision>
  <dcterms:created xsi:type="dcterms:W3CDTF">2024-08-21T09:15:00Z</dcterms:created>
  <dcterms:modified xsi:type="dcterms:W3CDTF">2024-09-06T13:00:00Z</dcterms:modified>
</cp:coreProperties>
</file>