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C7E8" w14:textId="4E9B2146" w:rsidR="008969E9" w:rsidRPr="004634A4" w:rsidRDefault="00E57B82" w:rsidP="00CC3141">
      <w:pPr>
        <w:pStyle w:val="Heading1"/>
        <w:rPr>
          <w:i/>
          <w:iCs/>
          <w:lang w:val="en-US"/>
        </w:rPr>
      </w:pPr>
      <w:bookmarkStart w:id="0" w:name="_Hlk183781377"/>
      <w:r w:rsidRPr="004634A4">
        <w:rPr>
          <w:lang w:val="en-US"/>
        </w:rPr>
        <w:t xml:space="preserve">Reply from </w:t>
      </w:r>
      <w:r w:rsidR="00046A6B" w:rsidRPr="004634A4">
        <w:rPr>
          <w:lang w:val="en-US"/>
        </w:rPr>
        <w:t xml:space="preserve">Nordic Nicotine Pouches Alliance (NNPA) </w:t>
      </w:r>
      <w:r w:rsidR="0006159C" w:rsidRPr="004634A4">
        <w:rPr>
          <w:lang w:val="en-US"/>
        </w:rPr>
        <w:t>R</w:t>
      </w:r>
      <w:r w:rsidRPr="004634A4">
        <w:rPr>
          <w:lang w:val="en-US"/>
        </w:rPr>
        <w:t>egarding</w:t>
      </w:r>
      <w:r w:rsidR="00370031" w:rsidRPr="004634A4">
        <w:rPr>
          <w:lang w:val="en-US"/>
        </w:rPr>
        <w:t xml:space="preserve"> TRIS</w:t>
      </w:r>
      <w:r w:rsidR="0000645F" w:rsidRPr="004634A4">
        <w:rPr>
          <w:lang w:val="en-US"/>
        </w:rPr>
        <w:t xml:space="preserve"> </w:t>
      </w:r>
      <w:r w:rsidR="0000645F" w:rsidRPr="004634A4">
        <w:rPr>
          <w:rStyle w:val="Heading2Char"/>
          <w:sz w:val="40"/>
          <w:szCs w:val="40"/>
          <w:lang w:val="en-US"/>
        </w:rPr>
        <w:t>Notification</w:t>
      </w:r>
      <w:r w:rsidR="007F20E2" w:rsidRPr="004634A4">
        <w:rPr>
          <w:rStyle w:val="Heading2Char"/>
          <w:sz w:val="40"/>
          <w:szCs w:val="40"/>
          <w:lang w:val="en-US"/>
        </w:rPr>
        <w:t xml:space="preserve">: </w:t>
      </w:r>
      <w:r w:rsidR="00CC3141" w:rsidRPr="00CC3141">
        <w:t>2024/0481/DK (Denmark)</w:t>
      </w:r>
      <w:r w:rsidR="00EF0760" w:rsidRPr="00EF0760">
        <w:t xml:space="preserve"> </w:t>
      </w:r>
      <w:r w:rsidR="00EF0760" w:rsidRPr="004634A4">
        <w:rPr>
          <w:i/>
          <w:iCs/>
          <w:lang w:val="en-US"/>
        </w:rPr>
        <w:t>Draft Order on nicotine content limits in tobacco substitutes.</w:t>
      </w:r>
    </w:p>
    <w:p w14:paraId="040EE154" w14:textId="6006A499" w:rsidR="00046A6B" w:rsidRPr="00D23540" w:rsidRDefault="00CA622F" w:rsidP="00913A70">
      <w:pPr>
        <w:pStyle w:val="Heading2"/>
        <w:rPr>
          <w:lang w:val="fr-CH"/>
        </w:rPr>
      </w:pPr>
      <w:r w:rsidRPr="00D23540">
        <w:rPr>
          <w:lang w:val="fr-CH"/>
        </w:rPr>
        <w:t xml:space="preserve">Nordic </w:t>
      </w:r>
      <w:r w:rsidR="006B2B76">
        <w:rPr>
          <w:lang w:val="fr-CH"/>
        </w:rPr>
        <w:t>N</w:t>
      </w:r>
      <w:r w:rsidRPr="00D23540">
        <w:rPr>
          <w:lang w:val="fr-CH"/>
        </w:rPr>
        <w:t xml:space="preserve">icotine </w:t>
      </w:r>
      <w:proofErr w:type="spellStart"/>
      <w:r w:rsidR="006B2B76">
        <w:rPr>
          <w:lang w:val="fr-CH"/>
        </w:rPr>
        <w:t>P</w:t>
      </w:r>
      <w:r w:rsidRPr="00D23540">
        <w:rPr>
          <w:lang w:val="fr-CH"/>
        </w:rPr>
        <w:t>ouches</w:t>
      </w:r>
      <w:proofErr w:type="spellEnd"/>
      <w:r w:rsidRPr="00D23540">
        <w:rPr>
          <w:lang w:val="fr-CH"/>
        </w:rPr>
        <w:t xml:space="preserve"> </w:t>
      </w:r>
      <w:r w:rsidR="006B2B76">
        <w:rPr>
          <w:lang w:val="fr-CH"/>
        </w:rPr>
        <w:t>A</w:t>
      </w:r>
      <w:r w:rsidRPr="00D23540">
        <w:rPr>
          <w:lang w:val="fr-CH"/>
        </w:rPr>
        <w:t>lliance (NNPA)</w:t>
      </w:r>
    </w:p>
    <w:p w14:paraId="5A989254" w14:textId="77777777" w:rsidR="009735FF" w:rsidRPr="00D23540" w:rsidRDefault="009735FF" w:rsidP="00046A6B">
      <w:pPr>
        <w:jc w:val="both"/>
        <w:rPr>
          <w:rFonts w:ascii="Calibri Light" w:hAnsi="Calibri Light" w:cs="Calibri Light"/>
          <w:noProof/>
          <w:color w:val="000000" w:themeColor="text1"/>
          <w:sz w:val="22"/>
          <w:lang w:val="fr-CH"/>
        </w:rPr>
      </w:pPr>
    </w:p>
    <w:p w14:paraId="74391B59" w14:textId="2A327E8D" w:rsidR="00A2435D" w:rsidRPr="003F70D6" w:rsidRDefault="009735FF" w:rsidP="00046A6B">
      <w:pPr>
        <w:jc w:val="both"/>
        <w:rPr>
          <w:rFonts w:ascii="Calibri Light" w:hAnsi="Calibri Light" w:cs="Calibri Light"/>
          <w:color w:val="000000" w:themeColor="text1"/>
          <w:sz w:val="22"/>
        </w:rPr>
      </w:pPr>
      <w:r w:rsidRPr="003F70D6">
        <w:rPr>
          <w:rFonts w:ascii="Calibri Light" w:hAnsi="Calibri Light" w:cs="Calibri Light"/>
          <w:noProof/>
          <w:color w:val="000000" w:themeColor="text1"/>
          <w:sz w:val="22"/>
        </w:rPr>
        <w:drawing>
          <wp:inline distT="0" distB="0" distL="0" distR="0" wp14:anchorId="0F70A05D" wp14:editId="6E0C1652">
            <wp:extent cx="2041872" cy="2047607"/>
            <wp:effectExtent l="0" t="0" r="0" b="0"/>
            <wp:docPr id="9572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247" t="15277" r="35943" b="35144"/>
                    <a:stretch/>
                  </pic:blipFill>
                  <pic:spPr bwMode="auto">
                    <a:xfrm>
                      <a:off x="0" y="0"/>
                      <a:ext cx="2052440" cy="2058205"/>
                    </a:xfrm>
                    <a:prstGeom prst="rect">
                      <a:avLst/>
                    </a:prstGeom>
                    <a:noFill/>
                    <a:ln>
                      <a:noFill/>
                    </a:ln>
                    <a:extLst>
                      <a:ext uri="{53640926-AAD7-44D8-BBD7-CCE9431645EC}">
                        <a14:shadowObscured xmlns:a14="http://schemas.microsoft.com/office/drawing/2010/main"/>
                      </a:ext>
                    </a:extLst>
                  </pic:spPr>
                </pic:pic>
              </a:graphicData>
            </a:graphic>
          </wp:inline>
        </w:drawing>
      </w:r>
      <w:r w:rsidR="00A2435D" w:rsidRPr="003F70D6">
        <w:rPr>
          <w:rFonts w:ascii="Calibri Light" w:hAnsi="Calibri Light" w:cs="Calibri Light"/>
          <w:noProof/>
          <w:color w:val="000000" w:themeColor="text1"/>
          <w:sz w:val="22"/>
        </w:rPr>
        <w:drawing>
          <wp:inline distT="0" distB="0" distL="0" distR="0" wp14:anchorId="3D3D32D8" wp14:editId="6348770D">
            <wp:extent cx="3533140" cy="2076857"/>
            <wp:effectExtent l="0" t="0" r="0" b="0"/>
            <wp:docPr id="163037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4245" name=""/>
                    <pic:cNvPicPr/>
                  </pic:nvPicPr>
                  <pic:blipFill>
                    <a:blip r:embed="rId12"/>
                    <a:stretch>
                      <a:fillRect/>
                    </a:stretch>
                  </pic:blipFill>
                  <pic:spPr>
                    <a:xfrm>
                      <a:off x="0" y="0"/>
                      <a:ext cx="3596747" cy="2114246"/>
                    </a:xfrm>
                    <a:prstGeom prst="rect">
                      <a:avLst/>
                    </a:prstGeom>
                  </pic:spPr>
                </pic:pic>
              </a:graphicData>
            </a:graphic>
          </wp:inline>
        </w:drawing>
      </w:r>
    </w:p>
    <w:p w14:paraId="7D447861" w14:textId="2EB5921C" w:rsidR="009735FF" w:rsidRPr="003F70D6" w:rsidRDefault="004A1B61" w:rsidP="009C5D27">
      <w:pPr>
        <w:pStyle w:val="Heading2"/>
        <w:rPr>
          <w:rFonts w:ascii="Arial" w:hAnsi="Arial" w:cs="Arial"/>
        </w:rPr>
      </w:pPr>
      <w:r w:rsidRPr="003F70D6">
        <w:rPr>
          <w:rFonts w:ascii="Arial" w:eastAsiaTheme="minorHAnsi" w:hAnsi="Arial" w:cs="Arial"/>
          <w:color w:val="000000" w:themeColor="text1"/>
          <w:sz w:val="22"/>
          <w:szCs w:val="22"/>
        </w:rPr>
        <w:t xml:space="preserve">The Nordic Nicotine Pouches Alliance (NNPA) is a Brussels-based platform for stakeholders advocating for nicotine pouches as an essential part of harm reduction among adult nicotine users within the EU. We promote responsible, effective, and </w:t>
      </w:r>
      <w:r w:rsidR="003428E5">
        <w:rPr>
          <w:rFonts w:ascii="Arial" w:eastAsiaTheme="minorHAnsi" w:hAnsi="Arial" w:cs="Arial"/>
          <w:color w:val="000000" w:themeColor="text1"/>
          <w:sz w:val="22"/>
          <w:szCs w:val="22"/>
        </w:rPr>
        <w:t>harmonised</w:t>
      </w:r>
      <w:r w:rsidRPr="003F70D6">
        <w:rPr>
          <w:rFonts w:ascii="Arial" w:eastAsiaTheme="minorHAnsi" w:hAnsi="Arial" w:cs="Arial"/>
          <w:color w:val="000000" w:themeColor="text1"/>
          <w:sz w:val="22"/>
          <w:szCs w:val="22"/>
        </w:rPr>
        <w:t xml:space="preserve"> European legislation that establishes clear guidelines for this product category to achieve specific goals, such as banning extreme nicotine levels or reducing usage among minors. Our </w:t>
      </w:r>
      <w:proofErr w:type="gramStart"/>
      <w:r w:rsidRPr="003F70D6">
        <w:rPr>
          <w:rFonts w:ascii="Arial" w:eastAsiaTheme="minorHAnsi" w:hAnsi="Arial" w:cs="Arial"/>
          <w:color w:val="000000" w:themeColor="text1"/>
          <w:sz w:val="22"/>
          <w:szCs w:val="22"/>
        </w:rPr>
        <w:t>main focus</w:t>
      </w:r>
      <w:proofErr w:type="gramEnd"/>
      <w:r w:rsidRPr="003F70D6">
        <w:rPr>
          <w:rFonts w:ascii="Arial" w:eastAsiaTheme="minorHAnsi" w:hAnsi="Arial" w:cs="Arial"/>
          <w:color w:val="000000" w:themeColor="text1"/>
          <w:sz w:val="22"/>
          <w:szCs w:val="22"/>
        </w:rPr>
        <w:t xml:space="preserve"> is information dissemination, but we continuously work to build support for our position from stakeholders who </w:t>
      </w:r>
      <w:r w:rsidR="00F81339" w:rsidRPr="003F70D6">
        <w:rPr>
          <w:rFonts w:ascii="Arial" w:eastAsiaTheme="minorHAnsi" w:hAnsi="Arial" w:cs="Arial"/>
          <w:color w:val="000000" w:themeColor="text1"/>
          <w:sz w:val="22"/>
          <w:szCs w:val="22"/>
        </w:rPr>
        <w:t>are representatives of</w:t>
      </w:r>
      <w:r w:rsidRPr="003F70D6">
        <w:rPr>
          <w:rFonts w:ascii="Arial" w:eastAsiaTheme="minorHAnsi" w:hAnsi="Arial" w:cs="Arial"/>
          <w:color w:val="000000" w:themeColor="text1"/>
          <w:sz w:val="22"/>
          <w:szCs w:val="22"/>
        </w:rPr>
        <w:t xml:space="preserve"> a responsible value chain. NNPA is funded by European industry actors</w:t>
      </w:r>
      <w:r w:rsidR="00D23540">
        <w:rPr>
          <w:rFonts w:ascii="Arial" w:eastAsiaTheme="minorHAnsi" w:hAnsi="Arial" w:cs="Arial"/>
          <w:color w:val="000000" w:themeColor="text1"/>
          <w:sz w:val="22"/>
          <w:szCs w:val="22"/>
        </w:rPr>
        <w:t>.</w:t>
      </w:r>
    </w:p>
    <w:p w14:paraId="0135CF54" w14:textId="53B49CBA" w:rsidR="009C5D27" w:rsidRDefault="003F70D6" w:rsidP="009C5D27">
      <w:pPr>
        <w:pStyle w:val="Heading2"/>
        <w:rPr>
          <w:rFonts w:ascii="Arial" w:hAnsi="Arial" w:cs="Arial"/>
        </w:rPr>
      </w:pPr>
      <w:r w:rsidRPr="003F70D6">
        <w:rPr>
          <w:rFonts w:ascii="Arial" w:hAnsi="Arial" w:cs="Arial"/>
        </w:rPr>
        <w:t>Summary of our position</w:t>
      </w:r>
      <w:r w:rsidR="009C5D27" w:rsidRPr="003F70D6">
        <w:rPr>
          <w:rFonts w:ascii="Arial" w:hAnsi="Arial" w:cs="Arial"/>
        </w:rPr>
        <w:t>:</w:t>
      </w:r>
    </w:p>
    <w:bookmarkEnd w:id="0"/>
    <w:p w14:paraId="47410693" w14:textId="5DFF23F2" w:rsidR="00884ECD" w:rsidRPr="00320102" w:rsidRDefault="00884ECD" w:rsidP="00884ECD">
      <w:pPr>
        <w:rPr>
          <w:sz w:val="22"/>
        </w:rPr>
      </w:pPr>
      <w:r w:rsidRPr="00320102">
        <w:rPr>
          <w:sz w:val="22"/>
        </w:rPr>
        <w:t xml:space="preserve">NNPA </w:t>
      </w:r>
      <w:r w:rsidR="00E41D07">
        <w:rPr>
          <w:sz w:val="22"/>
        </w:rPr>
        <w:t xml:space="preserve">strongly </w:t>
      </w:r>
      <w:r w:rsidRPr="00320102">
        <w:rPr>
          <w:sz w:val="22"/>
        </w:rPr>
        <w:t xml:space="preserve">object to the </w:t>
      </w:r>
      <w:r w:rsidR="00A93D84">
        <w:rPr>
          <w:sz w:val="22"/>
        </w:rPr>
        <w:t>proposed nicotine limit</w:t>
      </w:r>
      <w:r w:rsidRPr="00320102">
        <w:rPr>
          <w:sz w:val="22"/>
        </w:rPr>
        <w:t xml:space="preserve"> with the motivation that </w:t>
      </w:r>
      <w:r w:rsidR="00320102" w:rsidRPr="00320102">
        <w:rPr>
          <w:rFonts w:cs="Arial"/>
          <w:sz w:val="22"/>
          <w:lang w:val="en-US" w:eastAsia="en-GB"/>
        </w:rPr>
        <w:t>justification criteria cannot be met for the proposed restrictions</w:t>
      </w:r>
      <w:r w:rsidR="00320102">
        <w:rPr>
          <w:rFonts w:cs="Arial"/>
          <w:sz w:val="22"/>
          <w:lang w:val="en-US" w:eastAsia="en-GB"/>
        </w:rPr>
        <w:t xml:space="preserve">. </w:t>
      </w:r>
      <w:r w:rsidR="00320102" w:rsidRPr="00320102">
        <w:rPr>
          <w:rFonts w:cs="Arial"/>
          <w:sz w:val="22"/>
          <w:lang w:val="en-US" w:eastAsia="en-GB"/>
        </w:rPr>
        <w:t>We also consider that the proposed restrictions preempt the revision of the Tobacco Products Directive, violate the principle of non-discrimination and the freedom of trade and industry (Article 36 TFEU)</w:t>
      </w:r>
      <w:r w:rsidR="00E41D07">
        <w:rPr>
          <w:rFonts w:cs="Arial"/>
          <w:sz w:val="22"/>
          <w:lang w:val="en-US" w:eastAsia="en-GB"/>
        </w:rPr>
        <w:t xml:space="preserve"> and</w:t>
      </w:r>
      <w:r w:rsidR="00320102" w:rsidRPr="00320102">
        <w:rPr>
          <w:rFonts w:cs="Arial"/>
          <w:sz w:val="22"/>
          <w:lang w:val="en-US" w:eastAsia="en-GB"/>
        </w:rPr>
        <w:t xml:space="preserve"> that they without due justification contradict legislation recently introduced in other EU Member States.</w:t>
      </w:r>
      <w:r w:rsidR="007D1A87">
        <w:rPr>
          <w:rFonts w:cs="Arial"/>
          <w:sz w:val="22"/>
          <w:lang w:val="en-US" w:eastAsia="en-GB"/>
        </w:rPr>
        <w:t xml:space="preserve"> </w:t>
      </w:r>
    </w:p>
    <w:p w14:paraId="36C97F85" w14:textId="275F3183" w:rsidR="00A2435D" w:rsidRPr="003F70D6" w:rsidRDefault="00156A4F" w:rsidP="009735FF">
      <w:pPr>
        <w:pStyle w:val="Heading1"/>
      </w:pPr>
      <w:bookmarkStart w:id="1" w:name="_Hlk183782893"/>
      <w:r w:rsidRPr="003F70D6">
        <w:t>NNPA</w:t>
      </w:r>
      <w:r w:rsidR="009B04D6">
        <w:t>’</w:t>
      </w:r>
      <w:r w:rsidRPr="003F70D6">
        <w:t>s</w:t>
      </w:r>
      <w:r w:rsidR="007A4C23">
        <w:t xml:space="preserve"> opinion on </w:t>
      </w:r>
      <w:bookmarkEnd w:id="1"/>
      <w:r w:rsidR="007A4C23">
        <w:t xml:space="preserve">the </w:t>
      </w:r>
      <w:r w:rsidR="00AC0F07">
        <w:t xml:space="preserve">proposed </w:t>
      </w:r>
      <w:r w:rsidR="00EB213E">
        <w:t>nicotine content limit</w:t>
      </w:r>
    </w:p>
    <w:p w14:paraId="4B951C26" w14:textId="03FBFBDB" w:rsidR="00D01B58" w:rsidRDefault="009F11B7" w:rsidP="00737337">
      <w:pPr>
        <w:rPr>
          <w:sz w:val="22"/>
        </w:rPr>
      </w:pPr>
      <w:bookmarkStart w:id="2" w:name="_Hlk183783042"/>
      <w:r w:rsidRPr="002215FC">
        <w:rPr>
          <w:sz w:val="22"/>
        </w:rPr>
        <w:t xml:space="preserve">The government is updating </w:t>
      </w:r>
      <w:r w:rsidR="002475D6">
        <w:rPr>
          <w:sz w:val="22"/>
        </w:rPr>
        <w:t>Denmark’s</w:t>
      </w:r>
      <w:r w:rsidR="000321AF" w:rsidRPr="002215FC">
        <w:rPr>
          <w:sz w:val="22"/>
        </w:rPr>
        <w:t xml:space="preserve"> </w:t>
      </w:r>
      <w:r w:rsidRPr="002215FC">
        <w:rPr>
          <w:sz w:val="22"/>
        </w:rPr>
        <w:t>law</w:t>
      </w:r>
      <w:r w:rsidR="000321AF">
        <w:rPr>
          <w:sz w:val="22"/>
        </w:rPr>
        <w:t>s</w:t>
      </w:r>
      <w:r w:rsidRPr="002215FC">
        <w:rPr>
          <w:sz w:val="22"/>
        </w:rPr>
        <w:t xml:space="preserve"> on tobacco control and has notified the European Commission of the proposed changes</w:t>
      </w:r>
      <w:r w:rsidR="00813D8A" w:rsidRPr="002215FC">
        <w:rPr>
          <w:sz w:val="22"/>
        </w:rPr>
        <w:t>.</w:t>
      </w:r>
      <w:r w:rsidR="00A652D7" w:rsidRPr="002215FC">
        <w:rPr>
          <w:sz w:val="22"/>
        </w:rPr>
        <w:t xml:space="preserve"> </w:t>
      </w:r>
      <w:bookmarkEnd w:id="2"/>
      <w:r w:rsidR="00D45741">
        <w:rPr>
          <w:sz w:val="22"/>
        </w:rPr>
        <w:t xml:space="preserve">The bill proposes a nicotine content limit set at </w:t>
      </w:r>
      <w:r w:rsidR="00E45E68">
        <w:rPr>
          <w:sz w:val="22"/>
        </w:rPr>
        <w:t xml:space="preserve">9.0 mg per </w:t>
      </w:r>
      <w:r w:rsidR="00CB3CC5">
        <w:rPr>
          <w:sz w:val="22"/>
        </w:rPr>
        <w:t>pouch</w:t>
      </w:r>
      <w:r w:rsidR="00E45E68">
        <w:rPr>
          <w:sz w:val="22"/>
        </w:rPr>
        <w:t xml:space="preserve"> </w:t>
      </w:r>
      <w:r w:rsidR="002C7CAD">
        <w:rPr>
          <w:sz w:val="22"/>
        </w:rPr>
        <w:t xml:space="preserve">with an expressed intent of protecting </w:t>
      </w:r>
      <w:r w:rsidR="001F4665">
        <w:rPr>
          <w:sz w:val="22"/>
        </w:rPr>
        <w:t xml:space="preserve">children and young people by </w:t>
      </w:r>
      <w:r w:rsidR="00E45E68">
        <w:rPr>
          <w:sz w:val="22"/>
        </w:rPr>
        <w:t xml:space="preserve">addressing the present situation </w:t>
      </w:r>
      <w:r w:rsidR="00BD6C41">
        <w:rPr>
          <w:sz w:val="22"/>
        </w:rPr>
        <w:t>where there is no nicotine content limit set</w:t>
      </w:r>
      <w:r w:rsidR="002C7CAD">
        <w:rPr>
          <w:sz w:val="22"/>
        </w:rPr>
        <w:t xml:space="preserve">. </w:t>
      </w:r>
      <w:r w:rsidR="008F7CF7">
        <w:rPr>
          <w:sz w:val="22"/>
        </w:rPr>
        <w:t xml:space="preserve">While NNPA shares the concern for </w:t>
      </w:r>
      <w:r w:rsidR="006A7BAA">
        <w:rPr>
          <w:sz w:val="22"/>
        </w:rPr>
        <w:t xml:space="preserve">all nicotine use among </w:t>
      </w:r>
      <w:r w:rsidR="001F4665">
        <w:rPr>
          <w:sz w:val="22"/>
        </w:rPr>
        <w:t xml:space="preserve">all </w:t>
      </w:r>
      <w:r w:rsidR="006A7BAA">
        <w:rPr>
          <w:sz w:val="22"/>
        </w:rPr>
        <w:t>risk groups</w:t>
      </w:r>
      <w:r w:rsidR="00FB6E55">
        <w:rPr>
          <w:sz w:val="22"/>
        </w:rPr>
        <w:t>,</w:t>
      </w:r>
      <w:r w:rsidR="00753330">
        <w:rPr>
          <w:sz w:val="22"/>
        </w:rPr>
        <w:t xml:space="preserve"> we fail to see how</w:t>
      </w:r>
      <w:r w:rsidR="00FB6E55">
        <w:rPr>
          <w:sz w:val="22"/>
        </w:rPr>
        <w:t xml:space="preserve"> the proposed</w:t>
      </w:r>
      <w:r w:rsidR="007841B9">
        <w:rPr>
          <w:sz w:val="22"/>
        </w:rPr>
        <w:t xml:space="preserve"> nicotine content</w:t>
      </w:r>
      <w:r w:rsidR="00FB6E55">
        <w:rPr>
          <w:sz w:val="22"/>
        </w:rPr>
        <w:t xml:space="preserve"> level </w:t>
      </w:r>
      <w:r w:rsidR="00E2580D">
        <w:rPr>
          <w:sz w:val="22"/>
        </w:rPr>
        <w:t xml:space="preserve">for nicotine pouches </w:t>
      </w:r>
      <w:r w:rsidR="00FB6E55">
        <w:rPr>
          <w:sz w:val="22"/>
        </w:rPr>
        <w:t xml:space="preserve">will </w:t>
      </w:r>
      <w:r w:rsidR="003F1959">
        <w:rPr>
          <w:sz w:val="22"/>
        </w:rPr>
        <w:t xml:space="preserve">contribute </w:t>
      </w:r>
      <w:r w:rsidR="00DC3FAA">
        <w:rPr>
          <w:sz w:val="22"/>
        </w:rPr>
        <w:t xml:space="preserve">to this </w:t>
      </w:r>
      <w:r w:rsidR="008A60DF">
        <w:rPr>
          <w:sz w:val="22"/>
        </w:rPr>
        <w:t>end,</w:t>
      </w:r>
      <w:r w:rsidR="00DC3FAA">
        <w:rPr>
          <w:sz w:val="22"/>
        </w:rPr>
        <w:t xml:space="preserve"> and we are </w:t>
      </w:r>
      <w:r w:rsidR="00DC3FAA">
        <w:rPr>
          <w:sz w:val="22"/>
        </w:rPr>
        <w:lastRenderedPageBreak/>
        <w:t>equally concer</w:t>
      </w:r>
      <w:r w:rsidR="009E26F1">
        <w:rPr>
          <w:sz w:val="22"/>
        </w:rPr>
        <w:t>ned how the same measure will</w:t>
      </w:r>
      <w:r w:rsidR="00FB6E55">
        <w:rPr>
          <w:sz w:val="22"/>
        </w:rPr>
        <w:t xml:space="preserve"> limit </w:t>
      </w:r>
      <w:r w:rsidR="00947845">
        <w:rPr>
          <w:sz w:val="22"/>
        </w:rPr>
        <w:t>accessibility</w:t>
      </w:r>
      <w:r w:rsidR="00776D78">
        <w:rPr>
          <w:sz w:val="22"/>
        </w:rPr>
        <w:t xml:space="preserve"> </w:t>
      </w:r>
      <w:r w:rsidR="0064711F">
        <w:rPr>
          <w:sz w:val="22"/>
        </w:rPr>
        <w:t>for</w:t>
      </w:r>
      <w:r w:rsidR="00795D96">
        <w:rPr>
          <w:sz w:val="22"/>
        </w:rPr>
        <w:t xml:space="preserve"> </w:t>
      </w:r>
      <w:r w:rsidR="00587C24">
        <w:rPr>
          <w:sz w:val="22"/>
        </w:rPr>
        <w:t>adult smokers looking for a reduced risk alternative to smoking</w:t>
      </w:r>
      <w:r w:rsidR="00B001C3">
        <w:rPr>
          <w:sz w:val="22"/>
        </w:rPr>
        <w:t xml:space="preserve">. </w:t>
      </w:r>
    </w:p>
    <w:p w14:paraId="438BFA11" w14:textId="66F57711" w:rsidR="00FC7E7C" w:rsidRPr="00AD77D3" w:rsidRDefault="0081098D" w:rsidP="00FC7E7C">
      <w:pPr>
        <w:rPr>
          <w:sz w:val="22"/>
        </w:rPr>
      </w:pPr>
      <w:r w:rsidRPr="00AD77D3">
        <w:rPr>
          <w:sz w:val="22"/>
        </w:rPr>
        <w:t xml:space="preserve">Underage persons are, by default, a risk group and should not use any nicotine at all. </w:t>
      </w:r>
      <w:r w:rsidR="00B25BCD" w:rsidRPr="00AD77D3">
        <w:rPr>
          <w:sz w:val="22"/>
        </w:rPr>
        <w:t xml:space="preserve">There is </w:t>
      </w:r>
      <w:r w:rsidR="00261ACA" w:rsidRPr="00AD77D3">
        <w:rPr>
          <w:sz w:val="22"/>
        </w:rPr>
        <w:t>no relevant level of nicotine content</w:t>
      </w:r>
      <w:r w:rsidR="00476FD1" w:rsidRPr="00AD77D3">
        <w:rPr>
          <w:sz w:val="22"/>
        </w:rPr>
        <w:t xml:space="preserve"> limit</w:t>
      </w:r>
      <w:r w:rsidR="00261ACA" w:rsidRPr="00AD77D3">
        <w:rPr>
          <w:sz w:val="22"/>
        </w:rPr>
        <w:t xml:space="preserve"> that is considered safe for underage </w:t>
      </w:r>
      <w:r w:rsidR="00F141F4" w:rsidRPr="00AD77D3">
        <w:rPr>
          <w:sz w:val="22"/>
        </w:rPr>
        <w:t xml:space="preserve">use. </w:t>
      </w:r>
    </w:p>
    <w:p w14:paraId="172188FD" w14:textId="75218DDE" w:rsidR="00F141F4" w:rsidRDefault="00C752F9" w:rsidP="00737337">
      <w:pPr>
        <w:rPr>
          <w:sz w:val="22"/>
        </w:rPr>
      </w:pPr>
      <w:r w:rsidRPr="00AD77D3">
        <w:rPr>
          <w:sz w:val="22"/>
        </w:rPr>
        <w:t xml:space="preserve">Underage use </w:t>
      </w:r>
      <w:r w:rsidR="0081098D" w:rsidRPr="00AD77D3">
        <w:rPr>
          <w:sz w:val="22"/>
        </w:rPr>
        <w:t xml:space="preserve">should therefore be addressed </w:t>
      </w:r>
      <w:r w:rsidR="00C575F2" w:rsidRPr="00AD77D3">
        <w:rPr>
          <w:sz w:val="22"/>
        </w:rPr>
        <w:t>by other</w:t>
      </w:r>
      <w:r w:rsidR="00C72942" w:rsidRPr="00AD77D3">
        <w:rPr>
          <w:sz w:val="22"/>
        </w:rPr>
        <w:t xml:space="preserve"> more purposeful</w:t>
      </w:r>
      <w:r w:rsidR="00C575F2" w:rsidRPr="00AD77D3">
        <w:rPr>
          <w:sz w:val="22"/>
        </w:rPr>
        <w:t xml:space="preserve"> mean</w:t>
      </w:r>
      <w:r w:rsidR="00172A5F" w:rsidRPr="00AD77D3">
        <w:rPr>
          <w:sz w:val="22"/>
        </w:rPr>
        <w:t>s</w:t>
      </w:r>
      <w:r w:rsidR="00F55AB1" w:rsidRPr="00AD77D3">
        <w:rPr>
          <w:sz w:val="22"/>
        </w:rPr>
        <w:t xml:space="preserve"> that</w:t>
      </w:r>
      <w:r w:rsidR="00E8662F" w:rsidRPr="00AD77D3">
        <w:rPr>
          <w:sz w:val="22"/>
        </w:rPr>
        <w:t xml:space="preserve"> </w:t>
      </w:r>
      <w:r w:rsidR="00F55AB1" w:rsidRPr="00AD77D3">
        <w:rPr>
          <w:sz w:val="22"/>
        </w:rPr>
        <w:t xml:space="preserve">can </w:t>
      </w:r>
      <w:r w:rsidR="00C348F6" w:rsidRPr="00AD77D3">
        <w:rPr>
          <w:sz w:val="22"/>
        </w:rPr>
        <w:t>limit</w:t>
      </w:r>
      <w:r w:rsidR="0049093E" w:rsidRPr="00AD77D3">
        <w:rPr>
          <w:sz w:val="22"/>
        </w:rPr>
        <w:t xml:space="preserve"> access to</w:t>
      </w:r>
      <w:r w:rsidRPr="00AD77D3">
        <w:rPr>
          <w:sz w:val="22"/>
        </w:rPr>
        <w:t xml:space="preserve"> all</w:t>
      </w:r>
      <w:r w:rsidR="0049093E" w:rsidRPr="00AD77D3">
        <w:rPr>
          <w:sz w:val="22"/>
        </w:rPr>
        <w:t xml:space="preserve"> </w:t>
      </w:r>
      <w:r w:rsidR="00822EF1" w:rsidRPr="00AD77D3">
        <w:rPr>
          <w:sz w:val="22"/>
        </w:rPr>
        <w:t>tobacco/nicotine</w:t>
      </w:r>
      <w:r w:rsidR="0033379F" w:rsidRPr="00AD77D3">
        <w:rPr>
          <w:sz w:val="22"/>
        </w:rPr>
        <w:t xml:space="preserve">. </w:t>
      </w:r>
      <w:r w:rsidR="00FC7E7C" w:rsidRPr="00AD77D3">
        <w:rPr>
          <w:sz w:val="22"/>
        </w:rPr>
        <w:t>The broader Danish prevention plan already includes increased</w:t>
      </w:r>
      <w:r w:rsidR="00F213F8" w:rsidRPr="00AD77D3">
        <w:rPr>
          <w:sz w:val="22"/>
        </w:rPr>
        <w:t xml:space="preserve"> penalties </w:t>
      </w:r>
      <w:r w:rsidR="00117FC3" w:rsidRPr="00AD77D3">
        <w:rPr>
          <w:sz w:val="22"/>
        </w:rPr>
        <w:t xml:space="preserve">for those who provide nicotine to </w:t>
      </w:r>
      <w:r w:rsidR="00846437" w:rsidRPr="00AD77D3">
        <w:rPr>
          <w:sz w:val="22"/>
        </w:rPr>
        <w:t xml:space="preserve">underage individuals, improved </w:t>
      </w:r>
      <w:r w:rsidR="00E57D4D" w:rsidRPr="00AD77D3">
        <w:rPr>
          <w:sz w:val="22"/>
        </w:rPr>
        <w:t xml:space="preserve">age verification, </w:t>
      </w:r>
      <w:r w:rsidR="00846437" w:rsidRPr="00AD77D3">
        <w:rPr>
          <w:sz w:val="22"/>
        </w:rPr>
        <w:t>enforcement and supervision of retail schemes</w:t>
      </w:r>
      <w:r w:rsidR="00FC7E7C" w:rsidRPr="00AD77D3">
        <w:rPr>
          <w:sz w:val="22"/>
        </w:rPr>
        <w:t xml:space="preserve">. Those measures are, as opposed to a 9mg/pouch limit, targeted at achieving the specific purpose while ensuring that the negative effects on </w:t>
      </w:r>
      <w:proofErr w:type="gramStart"/>
      <w:r w:rsidR="00FC7E7C" w:rsidRPr="00AD77D3">
        <w:rPr>
          <w:sz w:val="22"/>
        </w:rPr>
        <w:t>the vast majority of</w:t>
      </w:r>
      <w:proofErr w:type="gramEnd"/>
      <w:r w:rsidR="00FC7E7C" w:rsidRPr="00AD77D3">
        <w:rPr>
          <w:sz w:val="22"/>
        </w:rPr>
        <w:t xml:space="preserve"> users—who are not part of a risk group and could benefit significantly from a reduced-risk product—are balanced </w:t>
      </w:r>
      <w:r w:rsidR="00361C37" w:rsidRPr="00AD77D3">
        <w:rPr>
          <w:sz w:val="22"/>
        </w:rPr>
        <w:t xml:space="preserve">and </w:t>
      </w:r>
      <w:r w:rsidR="00FC7E7C" w:rsidRPr="00AD77D3">
        <w:rPr>
          <w:sz w:val="22"/>
        </w:rPr>
        <w:t>proportional</w:t>
      </w:r>
      <w:r w:rsidR="00EF5E94" w:rsidRPr="00AD77D3">
        <w:rPr>
          <w:sz w:val="22"/>
        </w:rPr>
        <w:t>.</w:t>
      </w:r>
    </w:p>
    <w:p w14:paraId="46A5C355" w14:textId="1743669B" w:rsidR="00A05DE9" w:rsidRDefault="00777D8F" w:rsidP="00663E5F">
      <w:pPr>
        <w:rPr>
          <w:rFonts w:cs="Arial"/>
          <w:sz w:val="22"/>
          <w:lang w:val="en-US" w:eastAsia="en-GB"/>
        </w:rPr>
      </w:pPr>
      <w:r w:rsidRPr="002215FC">
        <w:rPr>
          <w:rFonts w:cs="Arial"/>
          <w:sz w:val="22"/>
          <w:lang w:val="en-US" w:eastAsia="en-GB"/>
        </w:rPr>
        <w:t xml:space="preserve">For the NNPA the </w:t>
      </w:r>
      <w:r w:rsidR="00FD417A" w:rsidRPr="002215FC">
        <w:rPr>
          <w:rFonts w:cs="Arial"/>
          <w:sz w:val="22"/>
          <w:lang w:val="en-US" w:eastAsia="en-GB"/>
        </w:rPr>
        <w:t>most obvious objection</w:t>
      </w:r>
      <w:r w:rsidR="00EC1D13" w:rsidRPr="002215FC">
        <w:rPr>
          <w:rFonts w:cs="Arial"/>
          <w:sz w:val="22"/>
          <w:lang w:val="en-US" w:eastAsia="en-GB"/>
        </w:rPr>
        <w:t xml:space="preserve"> to th</w:t>
      </w:r>
      <w:r w:rsidR="00A35DEC" w:rsidRPr="002215FC">
        <w:rPr>
          <w:rFonts w:cs="Arial"/>
          <w:sz w:val="22"/>
          <w:lang w:val="en-US" w:eastAsia="en-GB"/>
        </w:rPr>
        <w:t xml:space="preserve">e notified </w:t>
      </w:r>
      <w:r w:rsidR="00652B56" w:rsidRPr="002215FC">
        <w:rPr>
          <w:rFonts w:cs="Arial"/>
          <w:sz w:val="22"/>
          <w:lang w:val="en-US" w:eastAsia="en-GB"/>
        </w:rPr>
        <w:t>restrictions</w:t>
      </w:r>
      <w:r w:rsidR="00FD417A" w:rsidRPr="002215FC">
        <w:rPr>
          <w:rFonts w:cs="Arial"/>
          <w:sz w:val="22"/>
          <w:lang w:val="en-US" w:eastAsia="en-GB"/>
        </w:rPr>
        <w:t xml:space="preserve"> </w:t>
      </w:r>
      <w:r w:rsidR="00B67D39" w:rsidRPr="002215FC">
        <w:rPr>
          <w:rFonts w:cs="Arial"/>
          <w:sz w:val="22"/>
          <w:lang w:val="en-US" w:eastAsia="en-GB"/>
        </w:rPr>
        <w:t xml:space="preserve">is that </w:t>
      </w:r>
      <w:r w:rsidR="00B67D39" w:rsidRPr="00826517">
        <w:rPr>
          <w:rFonts w:cs="Arial"/>
          <w:b/>
          <w:bCs/>
          <w:sz w:val="22"/>
          <w:lang w:val="en-US" w:eastAsia="en-GB"/>
        </w:rPr>
        <w:t xml:space="preserve">there is no public health benefit to be made </w:t>
      </w:r>
      <w:r w:rsidR="009238A1" w:rsidRPr="00826517">
        <w:rPr>
          <w:rFonts w:cs="Arial"/>
          <w:b/>
          <w:bCs/>
          <w:sz w:val="22"/>
          <w:lang w:val="en-US" w:eastAsia="en-GB"/>
        </w:rPr>
        <w:t xml:space="preserve">from </w:t>
      </w:r>
      <w:r w:rsidR="00EC1D13" w:rsidRPr="00826517">
        <w:rPr>
          <w:rFonts w:cs="Arial"/>
          <w:b/>
          <w:bCs/>
          <w:sz w:val="22"/>
          <w:lang w:val="en-US" w:eastAsia="en-GB"/>
        </w:rPr>
        <w:t>a</w:t>
      </w:r>
      <w:r w:rsidR="00846A50">
        <w:rPr>
          <w:rFonts w:cs="Arial"/>
          <w:b/>
          <w:bCs/>
          <w:sz w:val="22"/>
          <w:lang w:val="en-US" w:eastAsia="en-GB"/>
        </w:rPr>
        <w:t>n unduly</w:t>
      </w:r>
      <w:r w:rsidR="00EC1D13" w:rsidRPr="00826517">
        <w:rPr>
          <w:rFonts w:cs="Arial"/>
          <w:b/>
          <w:bCs/>
          <w:sz w:val="22"/>
          <w:lang w:val="en-US" w:eastAsia="en-GB"/>
        </w:rPr>
        <w:t xml:space="preserve"> </w:t>
      </w:r>
      <w:r w:rsidR="00E7330F" w:rsidRPr="00826517">
        <w:rPr>
          <w:rFonts w:cs="Arial"/>
          <w:b/>
          <w:bCs/>
          <w:sz w:val="22"/>
          <w:lang w:val="en-US" w:eastAsia="en-GB"/>
        </w:rPr>
        <w:t>low nicotine cap</w:t>
      </w:r>
      <w:r w:rsidR="00E00E5D">
        <w:rPr>
          <w:rFonts w:cs="Arial"/>
          <w:b/>
          <w:bCs/>
          <w:sz w:val="22"/>
          <w:lang w:val="en-US" w:eastAsia="en-GB"/>
        </w:rPr>
        <w:t xml:space="preserve"> and as such the </w:t>
      </w:r>
      <w:r w:rsidR="008D45D6">
        <w:rPr>
          <w:rFonts w:cs="Arial"/>
          <w:b/>
          <w:bCs/>
          <w:sz w:val="22"/>
          <w:lang w:val="en-US" w:eastAsia="en-GB"/>
        </w:rPr>
        <w:t xml:space="preserve">9mg </w:t>
      </w:r>
      <w:r w:rsidR="00094DF1">
        <w:rPr>
          <w:rFonts w:cs="Arial"/>
          <w:b/>
          <w:bCs/>
          <w:sz w:val="22"/>
          <w:lang w:val="en-US" w:eastAsia="en-GB"/>
        </w:rPr>
        <w:t xml:space="preserve">/pouch </w:t>
      </w:r>
      <w:r w:rsidR="008D45D6">
        <w:rPr>
          <w:rFonts w:cs="Arial"/>
          <w:b/>
          <w:bCs/>
          <w:sz w:val="22"/>
          <w:lang w:val="en-US" w:eastAsia="en-GB"/>
        </w:rPr>
        <w:t>limit cannot be justified</w:t>
      </w:r>
      <w:r w:rsidR="00E7330F" w:rsidRPr="002215FC">
        <w:rPr>
          <w:rFonts w:cs="Arial"/>
          <w:sz w:val="22"/>
          <w:lang w:val="en-US" w:eastAsia="en-GB"/>
        </w:rPr>
        <w:t xml:space="preserve">. </w:t>
      </w:r>
    </w:p>
    <w:p w14:paraId="75E92059" w14:textId="4F88D86A" w:rsidR="00663E5F" w:rsidRDefault="00B2142C" w:rsidP="00663E5F">
      <w:pPr>
        <w:rPr>
          <w:rFonts w:cs="Arial"/>
          <w:sz w:val="22"/>
          <w:lang w:val="en-US" w:eastAsia="en-GB"/>
        </w:rPr>
      </w:pPr>
      <w:r w:rsidRPr="002215FC">
        <w:rPr>
          <w:rFonts w:cs="Arial"/>
          <w:sz w:val="22"/>
          <w:lang w:val="en-US" w:eastAsia="en-GB"/>
        </w:rPr>
        <w:t xml:space="preserve">NNPA does advocate for a </w:t>
      </w:r>
      <w:r w:rsidR="0010058C">
        <w:rPr>
          <w:rFonts w:cs="Arial"/>
          <w:sz w:val="22"/>
          <w:lang w:val="en-US" w:eastAsia="en-GB"/>
        </w:rPr>
        <w:t xml:space="preserve">purposeful </w:t>
      </w:r>
      <w:r w:rsidRPr="002215FC">
        <w:rPr>
          <w:rFonts w:cs="Arial"/>
          <w:sz w:val="22"/>
          <w:lang w:val="en-US" w:eastAsia="en-GB"/>
        </w:rPr>
        <w:t>nicotine</w:t>
      </w:r>
      <w:r w:rsidR="001A26BD">
        <w:rPr>
          <w:rFonts w:cs="Arial"/>
          <w:sz w:val="22"/>
          <w:lang w:val="en-US" w:eastAsia="en-GB"/>
        </w:rPr>
        <w:t xml:space="preserve"> content</w:t>
      </w:r>
      <w:r w:rsidRPr="002215FC">
        <w:rPr>
          <w:rFonts w:cs="Arial"/>
          <w:sz w:val="22"/>
          <w:lang w:val="en-US" w:eastAsia="en-GB"/>
        </w:rPr>
        <w:t xml:space="preserve"> cap </w:t>
      </w:r>
      <w:r w:rsidR="00253B08" w:rsidRPr="002215FC">
        <w:rPr>
          <w:rFonts w:cs="Arial"/>
          <w:sz w:val="22"/>
          <w:lang w:val="en-US" w:eastAsia="en-GB"/>
        </w:rPr>
        <w:t>to</w:t>
      </w:r>
      <w:r w:rsidR="00983556" w:rsidRPr="002215FC">
        <w:rPr>
          <w:rFonts w:cs="Arial"/>
          <w:sz w:val="22"/>
          <w:lang w:val="en-US" w:eastAsia="en-GB"/>
        </w:rPr>
        <w:t xml:space="preserve"> limit extreme </w:t>
      </w:r>
      <w:r w:rsidR="009D7329" w:rsidRPr="002215FC">
        <w:rPr>
          <w:rFonts w:cs="Arial"/>
          <w:sz w:val="22"/>
          <w:lang w:val="en-US" w:eastAsia="en-GB"/>
        </w:rPr>
        <w:t>products with potentially harmful levels of nicotine</w:t>
      </w:r>
      <w:r w:rsidR="001A4ABD" w:rsidRPr="002215FC">
        <w:rPr>
          <w:rFonts w:cs="Arial"/>
          <w:sz w:val="22"/>
          <w:lang w:val="en-US" w:eastAsia="en-GB"/>
        </w:rPr>
        <w:t xml:space="preserve">, but this level must be set </w:t>
      </w:r>
      <w:r w:rsidR="00F0759D" w:rsidRPr="002215FC">
        <w:rPr>
          <w:rFonts w:cs="Arial"/>
          <w:sz w:val="22"/>
          <w:lang w:val="en-US" w:eastAsia="en-GB"/>
        </w:rPr>
        <w:t xml:space="preserve">in context with scientific evidence and </w:t>
      </w:r>
      <w:r w:rsidR="00025F07" w:rsidRPr="002215FC">
        <w:rPr>
          <w:rFonts w:cs="Arial"/>
          <w:sz w:val="22"/>
          <w:lang w:val="en-US" w:eastAsia="en-GB"/>
        </w:rPr>
        <w:t xml:space="preserve">without undue thresholds </w:t>
      </w:r>
      <w:r w:rsidR="00954E4F" w:rsidRPr="002215FC">
        <w:rPr>
          <w:rFonts w:cs="Arial"/>
          <w:sz w:val="22"/>
          <w:lang w:val="en-US" w:eastAsia="en-GB"/>
        </w:rPr>
        <w:t xml:space="preserve">that could disincentivize smokers from </w:t>
      </w:r>
      <w:r w:rsidR="00A135F5" w:rsidRPr="002215FC">
        <w:rPr>
          <w:rFonts w:cs="Arial"/>
          <w:sz w:val="22"/>
          <w:lang w:val="en-US" w:eastAsia="en-GB"/>
        </w:rPr>
        <w:t xml:space="preserve">switching to nicotine pouches. </w:t>
      </w:r>
      <w:r w:rsidR="00682B87" w:rsidRPr="00682B87">
        <w:rPr>
          <w:rFonts w:cs="Arial"/>
          <w:sz w:val="22"/>
          <w:lang w:val="en-US" w:eastAsia="en-GB"/>
        </w:rPr>
        <w:t xml:space="preserve">Setting a nicotine content limit </w:t>
      </w:r>
      <w:proofErr w:type="gramStart"/>
      <w:r w:rsidR="00682B87" w:rsidRPr="00682B87">
        <w:rPr>
          <w:rFonts w:cs="Arial"/>
          <w:sz w:val="22"/>
          <w:lang w:val="en-US" w:eastAsia="en-GB"/>
        </w:rPr>
        <w:t>as a means to</w:t>
      </w:r>
      <w:proofErr w:type="gramEnd"/>
      <w:r w:rsidR="00682B87" w:rsidRPr="00682B87">
        <w:rPr>
          <w:rFonts w:cs="Arial"/>
          <w:sz w:val="22"/>
          <w:lang w:val="en-US" w:eastAsia="en-GB"/>
        </w:rPr>
        <w:t xml:space="preserve"> protect individuals who should not be </w:t>
      </w:r>
      <w:r w:rsidR="009E4F9A">
        <w:rPr>
          <w:rFonts w:cs="Arial"/>
          <w:sz w:val="22"/>
          <w:lang w:val="en-US" w:eastAsia="en-GB"/>
        </w:rPr>
        <w:t xml:space="preserve">exposed to </w:t>
      </w:r>
      <w:r w:rsidR="006543B1">
        <w:rPr>
          <w:rFonts w:cs="Arial"/>
          <w:sz w:val="22"/>
          <w:lang w:val="en-US" w:eastAsia="en-GB"/>
        </w:rPr>
        <w:t xml:space="preserve">any </w:t>
      </w:r>
      <w:r w:rsidR="009E4F9A">
        <w:rPr>
          <w:rFonts w:cs="Arial"/>
          <w:sz w:val="22"/>
          <w:lang w:val="en-US" w:eastAsia="en-GB"/>
        </w:rPr>
        <w:t xml:space="preserve">nicotine </w:t>
      </w:r>
      <w:r w:rsidR="00682B87" w:rsidRPr="00682B87">
        <w:rPr>
          <w:rFonts w:cs="Arial"/>
          <w:sz w:val="22"/>
          <w:lang w:val="en-US" w:eastAsia="en-GB"/>
        </w:rPr>
        <w:t>at all is a</w:t>
      </w:r>
      <w:r w:rsidR="00682B87">
        <w:rPr>
          <w:rFonts w:cs="Arial"/>
          <w:sz w:val="22"/>
          <w:lang w:val="en-US" w:eastAsia="en-GB"/>
        </w:rPr>
        <w:t xml:space="preserve"> </w:t>
      </w:r>
      <w:r w:rsidR="00682B87" w:rsidRPr="00682B87">
        <w:rPr>
          <w:rFonts w:cs="Arial"/>
          <w:sz w:val="22"/>
          <w:lang w:val="en-US" w:eastAsia="en-GB"/>
        </w:rPr>
        <w:t>poorly targeted approach that fails to address the underlying issue effectively.</w:t>
      </w:r>
    </w:p>
    <w:p w14:paraId="507CB389" w14:textId="2807BBFD" w:rsidR="00627541" w:rsidRPr="001772B8" w:rsidRDefault="00DE576E" w:rsidP="001772B8">
      <w:pPr>
        <w:pStyle w:val="Heading2"/>
        <w:rPr>
          <w:lang w:val="en-US" w:eastAsia="en-GB"/>
        </w:rPr>
      </w:pPr>
      <w:r>
        <w:rPr>
          <w:lang w:val="en-US" w:eastAsia="en-GB"/>
        </w:rPr>
        <w:t>Further c</w:t>
      </w:r>
      <w:r w:rsidR="00152B70">
        <w:rPr>
          <w:lang w:val="en-US" w:eastAsia="en-GB"/>
        </w:rPr>
        <w:t xml:space="preserve">oncerns and objections </w:t>
      </w:r>
    </w:p>
    <w:p w14:paraId="3E05C211" w14:textId="1D6EA0BA" w:rsidR="00D71660" w:rsidRDefault="00152B70" w:rsidP="00152B70">
      <w:pPr>
        <w:rPr>
          <w:rFonts w:cs="Arial"/>
          <w:sz w:val="22"/>
          <w:lang w:val="en-US" w:eastAsia="en-GB"/>
        </w:rPr>
      </w:pPr>
      <w:bookmarkStart w:id="3" w:name="_Hlk183783874"/>
      <w:r w:rsidRPr="002215FC">
        <w:rPr>
          <w:rFonts w:cs="Arial"/>
          <w:sz w:val="22"/>
          <w:lang w:val="en-US" w:eastAsia="en-GB"/>
        </w:rPr>
        <w:t xml:space="preserve">We </w:t>
      </w:r>
      <w:r>
        <w:rPr>
          <w:rFonts w:cs="Arial"/>
          <w:sz w:val="22"/>
          <w:lang w:val="en-US" w:eastAsia="en-GB"/>
        </w:rPr>
        <w:t>find</w:t>
      </w:r>
      <w:r w:rsidRPr="002215FC">
        <w:rPr>
          <w:rFonts w:cs="Arial"/>
          <w:sz w:val="22"/>
          <w:lang w:val="en-US" w:eastAsia="en-GB"/>
        </w:rPr>
        <w:t xml:space="preserve"> the proposed restrictions to be unjustified and </w:t>
      </w:r>
      <w:r>
        <w:rPr>
          <w:rFonts w:cs="Arial"/>
          <w:sz w:val="22"/>
          <w:lang w:val="en-US" w:eastAsia="en-GB"/>
        </w:rPr>
        <w:t>in</w:t>
      </w:r>
      <w:r w:rsidRPr="002215FC">
        <w:rPr>
          <w:rFonts w:cs="Arial"/>
          <w:sz w:val="22"/>
          <w:lang w:val="en-US" w:eastAsia="en-GB"/>
        </w:rPr>
        <w:t xml:space="preserve"> violat</w:t>
      </w:r>
      <w:r>
        <w:rPr>
          <w:rFonts w:cs="Arial"/>
          <w:sz w:val="22"/>
          <w:lang w:val="en-US" w:eastAsia="en-GB"/>
        </w:rPr>
        <w:t>ion of</w:t>
      </w:r>
      <w:r w:rsidRPr="002215FC">
        <w:rPr>
          <w:rFonts w:cs="Arial"/>
          <w:sz w:val="22"/>
          <w:lang w:val="en-US" w:eastAsia="en-GB"/>
        </w:rPr>
        <w:t xml:space="preserve"> the</w:t>
      </w:r>
      <w:r>
        <w:rPr>
          <w:rFonts w:cs="Arial"/>
          <w:sz w:val="22"/>
          <w:lang w:val="en-US" w:eastAsia="en-GB"/>
        </w:rPr>
        <w:t xml:space="preserve"> principle of</w:t>
      </w:r>
      <w:r w:rsidRPr="002215FC">
        <w:rPr>
          <w:rFonts w:cs="Arial"/>
          <w:sz w:val="22"/>
          <w:lang w:val="en-US" w:eastAsia="en-GB"/>
        </w:rPr>
        <w:t xml:space="preserve"> free movement of goods. </w:t>
      </w:r>
      <w:r w:rsidRPr="00265092">
        <w:rPr>
          <w:rFonts w:cs="Arial"/>
          <w:sz w:val="22"/>
          <w:lang w:val="en-US" w:eastAsia="en-GB"/>
        </w:rPr>
        <w:t xml:space="preserve">Nicotine pouches are consumed daily by around 1.4 million citizens across 25 EU Member States. </w:t>
      </w:r>
      <w:r w:rsidRPr="00152B70">
        <w:rPr>
          <w:rFonts w:cs="Arial"/>
          <w:b/>
          <w:bCs/>
          <w:sz w:val="22"/>
          <w:lang w:val="en-US" w:eastAsia="en-GB"/>
        </w:rPr>
        <w:t xml:space="preserve">The overwhelming majority of these consumers </w:t>
      </w:r>
      <w:r w:rsidR="003D14DD">
        <w:rPr>
          <w:rFonts w:cs="Arial"/>
          <w:b/>
          <w:bCs/>
          <w:sz w:val="22"/>
          <w:lang w:val="en-US" w:eastAsia="en-GB"/>
        </w:rPr>
        <w:t xml:space="preserve">are adults that </w:t>
      </w:r>
      <w:r w:rsidRPr="00152B70">
        <w:rPr>
          <w:rFonts w:cs="Arial"/>
          <w:b/>
          <w:bCs/>
          <w:sz w:val="22"/>
          <w:lang w:val="en-US" w:eastAsia="en-GB"/>
        </w:rPr>
        <w:t>have switched away from smoking traditional tobacco cigarettes</w:t>
      </w:r>
      <w:r w:rsidRPr="00265092">
        <w:rPr>
          <w:rFonts w:cs="Arial"/>
          <w:sz w:val="22"/>
          <w:lang w:val="en-US" w:eastAsia="en-GB"/>
        </w:rPr>
        <w:t xml:space="preserve"> as pouches offer an alternative and less risky way of consuming nicotine.</w:t>
      </w:r>
      <w:r>
        <w:rPr>
          <w:rFonts w:cs="Arial"/>
          <w:sz w:val="22"/>
          <w:lang w:val="en-US" w:eastAsia="en-GB"/>
        </w:rPr>
        <w:t xml:space="preserve"> </w:t>
      </w:r>
      <w:bookmarkEnd w:id="3"/>
      <w:r>
        <w:rPr>
          <w:rFonts w:cs="Arial"/>
          <w:sz w:val="22"/>
          <w:lang w:val="en-US" w:eastAsia="en-GB"/>
        </w:rPr>
        <w:t>It’s to be noted that</w:t>
      </w:r>
      <w:r w:rsidRPr="000319A9">
        <w:t xml:space="preserve"> </w:t>
      </w:r>
      <w:r w:rsidRPr="000319A9">
        <w:rPr>
          <w:rFonts w:cs="Arial"/>
          <w:sz w:val="22"/>
          <w:lang w:val="en-US" w:eastAsia="en-GB"/>
        </w:rPr>
        <w:t xml:space="preserve">Czech Republic, Slovakia, Hungary, Romania, and Sweden have introduced regulation for nicotine pouches, </w:t>
      </w:r>
      <w:r w:rsidR="007A4031">
        <w:rPr>
          <w:rFonts w:cs="Arial"/>
          <w:sz w:val="22"/>
          <w:lang w:val="en-US" w:eastAsia="en-GB"/>
        </w:rPr>
        <w:t xml:space="preserve">introducing a </w:t>
      </w:r>
      <w:r w:rsidR="003549E0">
        <w:rPr>
          <w:rFonts w:cs="Arial"/>
          <w:sz w:val="22"/>
          <w:lang w:val="en-US" w:eastAsia="en-GB"/>
        </w:rPr>
        <w:t xml:space="preserve">limit for nicotine content which is set at </w:t>
      </w:r>
      <w:r w:rsidRPr="000319A9">
        <w:rPr>
          <w:rFonts w:cs="Arial"/>
          <w:sz w:val="22"/>
          <w:lang w:val="en-US" w:eastAsia="en-GB"/>
        </w:rPr>
        <w:t>a higher level</w:t>
      </w:r>
      <w:r w:rsidR="003549E0">
        <w:rPr>
          <w:rFonts w:cs="Arial"/>
          <w:sz w:val="22"/>
          <w:lang w:val="en-US" w:eastAsia="en-GB"/>
        </w:rPr>
        <w:t xml:space="preserve"> than proposed in Denmark</w:t>
      </w:r>
      <w:r w:rsidRPr="000319A9">
        <w:rPr>
          <w:rFonts w:cs="Arial"/>
          <w:sz w:val="22"/>
          <w:lang w:val="en-US" w:eastAsia="en-GB"/>
        </w:rPr>
        <w:t xml:space="preserve">. Finland, Italy, and Lithuania are in the process of doing so. The proposed </w:t>
      </w:r>
      <w:r w:rsidR="00D421B1">
        <w:rPr>
          <w:rFonts w:cs="Arial"/>
          <w:sz w:val="22"/>
          <w:lang w:val="en-US" w:eastAsia="en-GB"/>
        </w:rPr>
        <w:t>nicotine content cap in Denmark</w:t>
      </w:r>
      <w:r w:rsidRPr="000319A9">
        <w:rPr>
          <w:rFonts w:cs="Arial"/>
          <w:sz w:val="22"/>
          <w:lang w:val="en-US" w:eastAsia="en-GB"/>
        </w:rPr>
        <w:t xml:space="preserve"> is far more restrictive</w:t>
      </w:r>
      <w:r>
        <w:rPr>
          <w:rFonts w:cs="Arial"/>
          <w:sz w:val="22"/>
          <w:lang w:val="en-US" w:eastAsia="en-GB"/>
        </w:rPr>
        <w:t xml:space="preserve"> and discards </w:t>
      </w:r>
      <w:r w:rsidRPr="000319A9">
        <w:rPr>
          <w:rFonts w:cs="Arial"/>
          <w:sz w:val="22"/>
          <w:lang w:val="en-US" w:eastAsia="en-GB"/>
        </w:rPr>
        <w:t>the success of appropriate regulation</w:t>
      </w:r>
      <w:r>
        <w:rPr>
          <w:rFonts w:cs="Arial"/>
          <w:sz w:val="22"/>
          <w:lang w:val="en-US" w:eastAsia="en-GB"/>
        </w:rPr>
        <w:t xml:space="preserve"> in </w:t>
      </w:r>
      <w:r w:rsidRPr="000319A9">
        <w:rPr>
          <w:rFonts w:cs="Arial"/>
          <w:sz w:val="22"/>
          <w:lang w:val="en-US" w:eastAsia="en-GB"/>
        </w:rPr>
        <w:t>Sweden</w:t>
      </w:r>
      <w:r>
        <w:rPr>
          <w:rFonts w:cs="Arial"/>
          <w:sz w:val="22"/>
          <w:lang w:val="en-US" w:eastAsia="en-GB"/>
        </w:rPr>
        <w:t xml:space="preserve"> which </w:t>
      </w:r>
      <w:r w:rsidRPr="000319A9">
        <w:rPr>
          <w:rFonts w:cs="Arial"/>
          <w:sz w:val="22"/>
          <w:lang w:val="en-US" w:eastAsia="en-GB"/>
        </w:rPr>
        <w:t xml:space="preserve">has </w:t>
      </w:r>
      <w:r>
        <w:rPr>
          <w:rFonts w:cs="Arial"/>
          <w:sz w:val="22"/>
          <w:lang w:val="en-US" w:eastAsia="en-GB"/>
        </w:rPr>
        <w:t xml:space="preserve">led to </w:t>
      </w:r>
      <w:r w:rsidRPr="000319A9">
        <w:rPr>
          <w:rFonts w:cs="Arial"/>
          <w:sz w:val="22"/>
          <w:lang w:val="en-US" w:eastAsia="en-GB"/>
        </w:rPr>
        <w:t>the lowest smoking rate in the EU (5.</w:t>
      </w:r>
      <w:r w:rsidR="00410190">
        <w:rPr>
          <w:rFonts w:cs="Arial"/>
          <w:sz w:val="22"/>
          <w:lang w:val="en-US" w:eastAsia="en-GB"/>
        </w:rPr>
        <w:t>3</w:t>
      </w:r>
      <w:r w:rsidRPr="000319A9">
        <w:rPr>
          <w:rFonts w:cs="Arial"/>
          <w:sz w:val="22"/>
          <w:lang w:val="en-US" w:eastAsia="en-GB"/>
        </w:rPr>
        <w:t>%</w:t>
      </w:r>
      <w:r w:rsidR="0011748D">
        <w:rPr>
          <w:rFonts w:cs="Arial"/>
          <w:sz w:val="22"/>
          <w:lang w:val="en-US" w:eastAsia="en-GB"/>
        </w:rPr>
        <w:t xml:space="preserve"> 2024</w:t>
      </w:r>
      <w:r w:rsidRPr="000319A9">
        <w:rPr>
          <w:rFonts w:cs="Arial"/>
          <w:sz w:val="22"/>
          <w:lang w:val="en-US" w:eastAsia="en-GB"/>
        </w:rPr>
        <w:t>) and the lowest levels of smoking</w:t>
      </w:r>
      <w:r>
        <w:rPr>
          <w:rFonts w:cs="Arial"/>
          <w:sz w:val="22"/>
          <w:lang w:val="en-US" w:eastAsia="en-GB"/>
        </w:rPr>
        <w:t>-</w:t>
      </w:r>
      <w:r w:rsidRPr="000319A9">
        <w:rPr>
          <w:rFonts w:cs="Arial"/>
          <w:sz w:val="22"/>
          <w:lang w:val="en-US" w:eastAsia="en-GB"/>
        </w:rPr>
        <w:t>related disease and death</w:t>
      </w:r>
      <w:r>
        <w:rPr>
          <w:rStyle w:val="FootnoteReference"/>
          <w:rFonts w:cs="Arial"/>
          <w:sz w:val="22"/>
          <w:lang w:val="en-US" w:eastAsia="en-GB"/>
        </w:rPr>
        <w:footnoteReference w:id="2"/>
      </w:r>
      <w:r w:rsidRPr="000319A9">
        <w:rPr>
          <w:rFonts w:cs="Arial"/>
          <w:sz w:val="22"/>
          <w:lang w:val="en-US" w:eastAsia="en-GB"/>
        </w:rPr>
        <w:t>, in large part due to</w:t>
      </w:r>
      <w:r w:rsidR="00F447A4">
        <w:rPr>
          <w:rFonts w:cs="Arial"/>
          <w:sz w:val="22"/>
          <w:lang w:val="en-US" w:eastAsia="en-GB"/>
        </w:rPr>
        <w:t xml:space="preserve"> availability of reduced-risk products such as</w:t>
      </w:r>
      <w:r w:rsidRPr="000319A9">
        <w:rPr>
          <w:rFonts w:cs="Arial"/>
          <w:sz w:val="22"/>
          <w:lang w:val="en-US" w:eastAsia="en-GB"/>
        </w:rPr>
        <w:t xml:space="preserve"> the use of nicotine pouches.</w:t>
      </w:r>
      <w:r w:rsidR="0011748D">
        <w:rPr>
          <w:rFonts w:cs="Arial"/>
          <w:sz w:val="22"/>
          <w:lang w:val="en-US" w:eastAsia="en-GB"/>
        </w:rPr>
        <w:t xml:space="preserve"> </w:t>
      </w:r>
    </w:p>
    <w:p w14:paraId="0B8676D3" w14:textId="616A73A1" w:rsidR="00FD3FEE" w:rsidRDefault="00FD3FEE" w:rsidP="00152B70">
      <w:pPr>
        <w:rPr>
          <w:rFonts w:cs="Arial"/>
          <w:sz w:val="22"/>
          <w:lang w:val="en-US" w:eastAsia="en-GB"/>
        </w:rPr>
      </w:pPr>
      <w:r w:rsidRPr="00FD3FEE">
        <w:rPr>
          <w:rFonts w:cs="Arial"/>
          <w:sz w:val="22"/>
          <w:lang w:val="en-US" w:eastAsia="en-GB"/>
        </w:rPr>
        <w:t xml:space="preserve">The above statistics are calculated for the full population aged 16 and above, but to further highlight the relevance of the data to the Danish proposal: </w:t>
      </w:r>
      <w:r w:rsidR="003A063C">
        <w:rPr>
          <w:rFonts w:cs="Arial"/>
          <w:sz w:val="22"/>
          <w:lang w:val="en-US" w:eastAsia="en-GB"/>
        </w:rPr>
        <w:t>t</w:t>
      </w:r>
      <w:r w:rsidR="003A063C" w:rsidRPr="00FD3FEE">
        <w:rPr>
          <w:rFonts w:cs="Arial"/>
          <w:sz w:val="22"/>
          <w:lang w:val="en-US" w:eastAsia="en-GB"/>
        </w:rPr>
        <w:t xml:space="preserve">he </w:t>
      </w:r>
      <w:r w:rsidRPr="00FD3FEE">
        <w:rPr>
          <w:rFonts w:cs="Arial"/>
          <w:sz w:val="22"/>
          <w:lang w:val="en-US" w:eastAsia="en-GB"/>
        </w:rPr>
        <w:t>Swedish Public Health Authority (</w:t>
      </w:r>
      <w:proofErr w:type="spellStart"/>
      <w:r w:rsidRPr="00FD3FEE">
        <w:rPr>
          <w:rFonts w:cs="Arial"/>
          <w:sz w:val="22"/>
          <w:lang w:val="en-US" w:eastAsia="en-GB"/>
        </w:rPr>
        <w:t>Folkhälsomyndigheten</w:t>
      </w:r>
      <w:proofErr w:type="spellEnd"/>
      <w:r w:rsidRPr="00FD3FEE">
        <w:rPr>
          <w:rFonts w:cs="Arial"/>
          <w:sz w:val="22"/>
          <w:lang w:val="en-US" w:eastAsia="en-GB"/>
        </w:rPr>
        <w:t xml:space="preserve">) reports that daily smoking incidence among the 16–29-year-old bracket </w:t>
      </w:r>
      <w:r>
        <w:rPr>
          <w:rFonts w:cs="Arial"/>
          <w:sz w:val="22"/>
          <w:lang w:val="en-US" w:eastAsia="en-GB"/>
        </w:rPr>
        <w:t xml:space="preserve">presently </w:t>
      </w:r>
      <w:r w:rsidR="005D434B">
        <w:rPr>
          <w:rFonts w:cs="Arial"/>
          <w:sz w:val="22"/>
          <w:lang w:val="en-US" w:eastAsia="en-GB"/>
        </w:rPr>
        <w:t>is</w:t>
      </w:r>
      <w:r w:rsidRPr="00FD3FEE">
        <w:rPr>
          <w:rFonts w:cs="Arial"/>
          <w:sz w:val="22"/>
          <w:lang w:val="en-US" w:eastAsia="en-GB"/>
        </w:rPr>
        <w:t xml:space="preserve"> 2.3%, representing a reduction of nearly 40%</w:t>
      </w:r>
      <w:r w:rsidR="005D434B" w:rsidRPr="005D434B">
        <w:t xml:space="preserve"> </w:t>
      </w:r>
      <w:r w:rsidR="005D434B" w:rsidRPr="005D434B">
        <w:rPr>
          <w:rFonts w:cs="Arial"/>
          <w:sz w:val="22"/>
          <w:lang w:val="en-US" w:eastAsia="en-GB"/>
        </w:rPr>
        <w:t>between 2022 and 2024</w:t>
      </w:r>
      <w:r w:rsidRPr="00FD3FEE">
        <w:rPr>
          <w:rFonts w:cs="Arial"/>
          <w:sz w:val="22"/>
          <w:lang w:val="en-US" w:eastAsia="en-GB"/>
        </w:rPr>
        <w:t>.</w:t>
      </w:r>
    </w:p>
    <w:p w14:paraId="796775B4" w14:textId="089993D1" w:rsidR="00152B70" w:rsidRDefault="00A40028" w:rsidP="00152B70">
      <w:pPr>
        <w:rPr>
          <w:rFonts w:cs="Arial"/>
          <w:sz w:val="22"/>
          <w:lang w:val="en-US" w:eastAsia="en-GB"/>
        </w:rPr>
      </w:pPr>
      <w:r>
        <w:rPr>
          <w:rFonts w:cs="Arial"/>
          <w:sz w:val="22"/>
          <w:lang w:val="en-US" w:eastAsia="en-GB"/>
        </w:rPr>
        <w:t xml:space="preserve">Production is </w:t>
      </w:r>
      <w:r w:rsidRPr="00E254B2">
        <w:rPr>
          <w:rFonts w:cs="Arial"/>
          <w:sz w:val="22"/>
          <w:lang w:val="en-US" w:eastAsia="en-GB"/>
        </w:rPr>
        <w:t xml:space="preserve">largely concentrated in Hungary, Sweden, Denmark, and Italy, </w:t>
      </w:r>
      <w:r>
        <w:rPr>
          <w:rFonts w:cs="Arial"/>
          <w:sz w:val="22"/>
          <w:lang w:val="en-US" w:eastAsia="en-GB"/>
        </w:rPr>
        <w:t xml:space="preserve">but </w:t>
      </w:r>
      <w:r w:rsidRPr="00E254B2">
        <w:rPr>
          <w:rFonts w:cs="Arial"/>
          <w:sz w:val="22"/>
          <w:lang w:val="en-US" w:eastAsia="en-GB"/>
        </w:rPr>
        <w:t xml:space="preserve">nicotine pouches are manufactured </w:t>
      </w:r>
      <w:r>
        <w:rPr>
          <w:rFonts w:cs="Arial"/>
          <w:sz w:val="22"/>
          <w:lang w:val="en-US" w:eastAsia="en-GB"/>
        </w:rPr>
        <w:t xml:space="preserve">in several countries </w:t>
      </w:r>
      <w:r w:rsidRPr="00E254B2">
        <w:rPr>
          <w:rFonts w:cs="Arial"/>
          <w:sz w:val="22"/>
          <w:lang w:val="en-US" w:eastAsia="en-GB"/>
        </w:rPr>
        <w:t xml:space="preserve">and widely exported across the EU and beyond. The industry contributed just over €1 billion to the EU economy in 2021, with an </w:t>
      </w:r>
      <w:r w:rsidRPr="00E254B2">
        <w:rPr>
          <w:rFonts w:cs="Arial"/>
          <w:sz w:val="22"/>
          <w:lang w:val="en-US" w:eastAsia="en-GB"/>
        </w:rPr>
        <w:lastRenderedPageBreak/>
        <w:t>extensive network of around 76,000 retail stores, many of which are SMEs, alongside 137 websites offering these products across Europe.</w:t>
      </w:r>
      <w:r w:rsidR="00833B6C">
        <w:rPr>
          <w:rFonts w:cs="Arial"/>
          <w:sz w:val="22"/>
          <w:lang w:val="en-US" w:eastAsia="en-GB"/>
        </w:rPr>
        <w:t xml:space="preserve"> </w:t>
      </w:r>
      <w:r>
        <w:rPr>
          <w:rStyle w:val="FootnoteReference"/>
          <w:rFonts w:cs="Arial"/>
          <w:sz w:val="22"/>
          <w:lang w:val="en-US" w:eastAsia="en-GB"/>
        </w:rPr>
        <w:footnoteReference w:id="3"/>
      </w:r>
      <w:r w:rsidR="00E71689" w:rsidRPr="00E71689">
        <w:rPr>
          <w:rFonts w:cs="Arial"/>
          <w:sz w:val="22"/>
          <w:lang w:val="en-US" w:eastAsia="en-GB"/>
        </w:rPr>
        <w:t>Hungary, Czechia, Denmark, Slovakia, Sweden, Estonia and Italy have introduced category specific regulations and / or apply excise tax to the products.</w:t>
      </w:r>
      <w:r w:rsidR="00E71689">
        <w:rPr>
          <w:rFonts w:cs="Arial"/>
          <w:sz w:val="22"/>
          <w:lang w:val="en-US" w:eastAsia="en-GB"/>
        </w:rPr>
        <w:t xml:space="preserve"> As such, and in view of the above, t</w:t>
      </w:r>
      <w:r w:rsidR="000441EC" w:rsidRPr="000441EC">
        <w:rPr>
          <w:rFonts w:cs="Arial"/>
          <w:sz w:val="22"/>
          <w:lang w:val="en-US" w:eastAsia="en-GB"/>
        </w:rPr>
        <w:t>he</w:t>
      </w:r>
      <w:r w:rsidR="002136D0">
        <w:rPr>
          <w:rFonts w:cs="Arial"/>
          <w:sz w:val="22"/>
          <w:lang w:val="en-US" w:eastAsia="en-GB"/>
        </w:rPr>
        <w:t xml:space="preserve"> </w:t>
      </w:r>
      <w:r w:rsidR="000441EC" w:rsidRPr="000441EC">
        <w:rPr>
          <w:rFonts w:cs="Arial"/>
          <w:sz w:val="22"/>
          <w:lang w:val="en-US" w:eastAsia="en-GB"/>
        </w:rPr>
        <w:t xml:space="preserve">proposed restrictions breach EU law on the free movement of goods, as they will restrict the sale and use of nicotine pouches that can be lawfully sold in other Member </w:t>
      </w:r>
      <w:r w:rsidR="001772B8" w:rsidRPr="000441EC">
        <w:rPr>
          <w:rFonts w:cs="Arial"/>
          <w:sz w:val="22"/>
          <w:lang w:val="en-US" w:eastAsia="en-GB"/>
        </w:rPr>
        <w:t>States</w:t>
      </w:r>
      <w:r w:rsidR="001772B8">
        <w:rPr>
          <w:rFonts w:cs="Arial"/>
          <w:sz w:val="22"/>
          <w:lang w:val="en-US" w:eastAsia="en-GB"/>
        </w:rPr>
        <w:t>. It</w:t>
      </w:r>
      <w:r w:rsidR="00E25680">
        <w:rPr>
          <w:rFonts w:cs="Arial"/>
          <w:sz w:val="22"/>
          <w:lang w:val="en-US" w:eastAsia="en-GB"/>
        </w:rPr>
        <w:t xml:space="preserve"> should also be noted that </w:t>
      </w:r>
      <w:r w:rsidR="003134DE">
        <w:rPr>
          <w:rFonts w:cs="Arial"/>
          <w:sz w:val="22"/>
          <w:lang w:val="en-US" w:eastAsia="en-GB"/>
        </w:rPr>
        <w:t xml:space="preserve">the </w:t>
      </w:r>
      <w:r w:rsidR="00E25680" w:rsidRPr="00E254B2">
        <w:rPr>
          <w:rFonts w:cs="Arial"/>
          <w:sz w:val="22"/>
          <w:lang w:val="en-US" w:eastAsia="en-GB"/>
        </w:rPr>
        <w:t xml:space="preserve">market </w:t>
      </w:r>
      <w:r w:rsidR="00E25680">
        <w:rPr>
          <w:rFonts w:cs="Arial"/>
          <w:sz w:val="22"/>
          <w:lang w:val="en-US" w:eastAsia="en-GB"/>
        </w:rPr>
        <w:t xml:space="preserve">for nicotine pouches </w:t>
      </w:r>
      <w:r w:rsidR="003134DE">
        <w:rPr>
          <w:rFonts w:cs="Arial"/>
          <w:sz w:val="22"/>
          <w:lang w:val="en-US" w:eastAsia="en-GB"/>
        </w:rPr>
        <w:t xml:space="preserve">is highly dynamic and </w:t>
      </w:r>
      <w:r w:rsidR="00E25680" w:rsidRPr="00E254B2">
        <w:rPr>
          <w:rFonts w:cs="Arial"/>
          <w:sz w:val="22"/>
          <w:lang w:val="en-US" w:eastAsia="en-GB"/>
        </w:rPr>
        <w:t>holds considerable growth potential</w:t>
      </w:r>
      <w:r w:rsidR="003134DE">
        <w:rPr>
          <w:rFonts w:cs="Arial"/>
          <w:sz w:val="22"/>
          <w:lang w:val="en-US" w:eastAsia="en-GB"/>
        </w:rPr>
        <w:t xml:space="preserve">, </w:t>
      </w:r>
      <w:r w:rsidR="003134DE" w:rsidRPr="00152B70">
        <w:rPr>
          <w:rFonts w:cs="Arial"/>
          <w:b/>
          <w:bCs/>
          <w:sz w:val="22"/>
          <w:lang w:val="en-US" w:eastAsia="en-GB"/>
        </w:rPr>
        <w:t xml:space="preserve">largely </w:t>
      </w:r>
      <w:r w:rsidR="00E25680" w:rsidRPr="00152B70">
        <w:rPr>
          <w:rFonts w:cs="Arial"/>
          <w:b/>
          <w:bCs/>
          <w:sz w:val="22"/>
          <w:lang w:val="en-US" w:eastAsia="en-GB"/>
        </w:rPr>
        <w:t xml:space="preserve">driven by increasing consumer demand for </w:t>
      </w:r>
      <w:r w:rsidR="00093D72">
        <w:rPr>
          <w:rFonts w:cs="Arial"/>
          <w:b/>
          <w:bCs/>
          <w:sz w:val="22"/>
          <w:lang w:val="en-US" w:eastAsia="en-GB"/>
        </w:rPr>
        <w:t xml:space="preserve">reduced-risk </w:t>
      </w:r>
      <w:r w:rsidR="00E25680" w:rsidRPr="00152B70">
        <w:rPr>
          <w:rFonts w:cs="Arial"/>
          <w:b/>
          <w:bCs/>
          <w:sz w:val="22"/>
          <w:lang w:val="en-US" w:eastAsia="en-GB"/>
        </w:rPr>
        <w:t>products</w:t>
      </w:r>
      <w:r w:rsidR="00E25680" w:rsidRPr="00E254B2">
        <w:rPr>
          <w:rFonts w:cs="Arial"/>
          <w:sz w:val="22"/>
          <w:lang w:val="en-US" w:eastAsia="en-GB"/>
        </w:rPr>
        <w:t xml:space="preserve">. The proposed restrictions would not only dampen investments and limit the free movement of goods </w:t>
      </w:r>
      <w:r w:rsidR="003134DE">
        <w:rPr>
          <w:rFonts w:cs="Arial"/>
          <w:sz w:val="22"/>
          <w:lang w:val="en-US" w:eastAsia="en-GB"/>
        </w:rPr>
        <w:t xml:space="preserve">within the Single Market, </w:t>
      </w:r>
      <w:r w:rsidR="00E25680" w:rsidRPr="00E254B2">
        <w:rPr>
          <w:rFonts w:cs="Arial"/>
          <w:sz w:val="22"/>
          <w:lang w:val="en-US" w:eastAsia="en-GB"/>
        </w:rPr>
        <w:t xml:space="preserve">but could also close off significant export markets, stifling a sector with undeniable economic and </w:t>
      </w:r>
      <w:r w:rsidR="00E25680">
        <w:rPr>
          <w:rFonts w:cs="Arial"/>
          <w:sz w:val="22"/>
          <w:lang w:val="en-US" w:eastAsia="en-GB"/>
        </w:rPr>
        <w:t xml:space="preserve">public </w:t>
      </w:r>
      <w:r w:rsidR="00E25680" w:rsidRPr="00E254B2">
        <w:rPr>
          <w:rFonts w:cs="Arial"/>
          <w:sz w:val="22"/>
          <w:lang w:val="en-US" w:eastAsia="en-GB"/>
        </w:rPr>
        <w:t>health potential.</w:t>
      </w:r>
      <w:r w:rsidR="00152B70" w:rsidRPr="00152B70">
        <w:rPr>
          <w:rFonts w:cs="Arial"/>
          <w:sz w:val="22"/>
          <w:lang w:val="en-US" w:eastAsia="en-GB"/>
        </w:rPr>
        <w:t xml:space="preserve"> </w:t>
      </w:r>
    </w:p>
    <w:p w14:paraId="26C953D1" w14:textId="77777777" w:rsidR="00D165F2" w:rsidRDefault="00152B70" w:rsidP="00D165F2">
      <w:pPr>
        <w:rPr>
          <w:sz w:val="22"/>
        </w:rPr>
      </w:pPr>
      <w:r w:rsidRPr="00B86364">
        <w:rPr>
          <w:rFonts w:cs="Arial"/>
          <w:sz w:val="22"/>
          <w:lang w:val="en-US" w:eastAsia="en-GB"/>
        </w:rPr>
        <w:t>We consider the legislative approaches taken in Belgium and the Netherlands to be similarly misguided.</w:t>
      </w:r>
      <w:r w:rsidRPr="00B86364">
        <w:t xml:space="preserve"> </w:t>
      </w:r>
      <w:r w:rsidRPr="00B86364">
        <w:rPr>
          <w:rFonts w:cs="Arial"/>
          <w:sz w:val="22"/>
          <w:lang w:val="en-US" w:eastAsia="en-GB"/>
        </w:rPr>
        <w:t>As such, the bans in Belgium and the Netherlands do not serve as sound precedents but rather highlight the risks of adopting overly restrictive measures without a comprehensive assessment. By relying on an interpretation that contradicts both the broader body of scientific evidence and the more balanced approaches taken by other EU Member States, these laws fail to align with the EU’s objectives of proportional</w:t>
      </w:r>
      <w:r>
        <w:rPr>
          <w:rFonts w:cs="Arial"/>
          <w:sz w:val="22"/>
          <w:lang w:val="en-US" w:eastAsia="en-GB"/>
        </w:rPr>
        <w:t xml:space="preserve">, </w:t>
      </w:r>
      <w:r w:rsidRPr="00B86364">
        <w:rPr>
          <w:rFonts w:cs="Arial"/>
          <w:sz w:val="22"/>
          <w:lang w:val="en-US" w:eastAsia="en-GB"/>
        </w:rPr>
        <w:t>evidence-based policy</w:t>
      </w:r>
      <w:r>
        <w:rPr>
          <w:rFonts w:cs="Arial"/>
          <w:sz w:val="22"/>
          <w:lang w:val="en-US" w:eastAsia="en-GB"/>
        </w:rPr>
        <w:t>, internal market rules as well as EU targets for a smoke free Europe</w:t>
      </w:r>
      <w:r w:rsidR="00D165F2" w:rsidRPr="00D165F2">
        <w:rPr>
          <w:sz w:val="22"/>
        </w:rPr>
        <w:t xml:space="preserve"> </w:t>
      </w:r>
    </w:p>
    <w:p w14:paraId="100CCD61" w14:textId="45A6BD93" w:rsidR="00152B70" w:rsidRPr="00121B12" w:rsidRDefault="00D165F2" w:rsidP="00152B70">
      <w:pPr>
        <w:rPr>
          <w:rFonts w:cs="Arial"/>
          <w:sz w:val="22"/>
          <w:lang w:val="en-US" w:eastAsia="en-GB"/>
        </w:rPr>
      </w:pPr>
      <w:r w:rsidRPr="005E7369">
        <w:rPr>
          <w:sz w:val="22"/>
        </w:rPr>
        <w:t xml:space="preserve">Considering the expressed purpose, it seems irrational to impose a maximum nicotine content limit that differs significantly from </w:t>
      </w:r>
      <w:r w:rsidR="0054174D" w:rsidRPr="005E7369">
        <w:rPr>
          <w:sz w:val="22"/>
        </w:rPr>
        <w:t>neighbouring</w:t>
      </w:r>
      <w:r w:rsidRPr="005E7369">
        <w:rPr>
          <w:sz w:val="22"/>
        </w:rPr>
        <w:t xml:space="preserve"> countries, especially when the Commission has expressed its intention to include nicotine pouches and other novel products in the imminent revision of the Tobacco Products Directive. By restricting supply to approximately half</w:t>
      </w:r>
      <w:r w:rsidR="003C45A3">
        <w:rPr>
          <w:rStyle w:val="FootnoteReference"/>
          <w:sz w:val="22"/>
        </w:rPr>
        <w:footnoteReference w:id="4"/>
      </w:r>
      <w:r w:rsidRPr="005E7369">
        <w:rPr>
          <w:sz w:val="22"/>
        </w:rPr>
        <w:t xml:space="preserve"> of adult users' preferences for nicotine content, there will</w:t>
      </w:r>
      <w:r>
        <w:rPr>
          <w:sz w:val="22"/>
        </w:rPr>
        <w:t xml:space="preserve"> inevitably</w:t>
      </w:r>
      <w:r w:rsidRPr="005E7369">
        <w:rPr>
          <w:sz w:val="22"/>
        </w:rPr>
        <w:t xml:space="preserve"> be sufficient demand to sustain extensive illicit trade, which could </w:t>
      </w:r>
      <w:r w:rsidR="00D01DA4">
        <w:rPr>
          <w:sz w:val="22"/>
        </w:rPr>
        <w:t>further facilitate</w:t>
      </w:r>
      <w:r w:rsidR="00D01DA4" w:rsidRPr="005E7369">
        <w:rPr>
          <w:sz w:val="22"/>
        </w:rPr>
        <w:t xml:space="preserve"> </w:t>
      </w:r>
      <w:r w:rsidRPr="005E7369">
        <w:rPr>
          <w:sz w:val="22"/>
        </w:rPr>
        <w:t>access for underage individuals</w:t>
      </w:r>
      <w:r>
        <w:rPr>
          <w:sz w:val="22"/>
        </w:rPr>
        <w:t xml:space="preserve"> as opposed to the intended limitation</w:t>
      </w:r>
      <w:r w:rsidRPr="005E7369">
        <w:rPr>
          <w:sz w:val="22"/>
        </w:rPr>
        <w:t xml:space="preserve">. This effect could be avoided, and the purpose further strengthened, if the legislation is </w:t>
      </w:r>
      <w:r w:rsidR="00933858">
        <w:rPr>
          <w:sz w:val="22"/>
        </w:rPr>
        <w:t>specifically</w:t>
      </w:r>
      <w:r w:rsidR="00933858" w:rsidRPr="005E7369">
        <w:rPr>
          <w:sz w:val="22"/>
        </w:rPr>
        <w:t xml:space="preserve"> </w:t>
      </w:r>
      <w:r w:rsidRPr="005E7369">
        <w:rPr>
          <w:sz w:val="22"/>
        </w:rPr>
        <w:t xml:space="preserve">focused on </w:t>
      </w:r>
      <w:r>
        <w:rPr>
          <w:sz w:val="22"/>
        </w:rPr>
        <w:t>the intended</w:t>
      </w:r>
      <w:r w:rsidR="00E73B0C">
        <w:rPr>
          <w:sz w:val="22"/>
        </w:rPr>
        <w:t>,</w:t>
      </w:r>
      <w:r w:rsidRPr="005E7369">
        <w:rPr>
          <w:sz w:val="22"/>
        </w:rPr>
        <w:t xml:space="preserve"> smaller </w:t>
      </w:r>
      <w:r w:rsidR="00E73B0C">
        <w:rPr>
          <w:sz w:val="22"/>
        </w:rPr>
        <w:t xml:space="preserve">target </w:t>
      </w:r>
      <w:r w:rsidRPr="005E7369">
        <w:rPr>
          <w:sz w:val="22"/>
        </w:rPr>
        <w:t>group that</w:t>
      </w:r>
      <w:r>
        <w:rPr>
          <w:sz w:val="22"/>
        </w:rPr>
        <w:t xml:space="preserve">, in this case, </w:t>
      </w:r>
      <w:r w:rsidRPr="005E7369">
        <w:rPr>
          <w:sz w:val="22"/>
        </w:rPr>
        <w:t>generally exhibits very low purchasing power.</w:t>
      </w:r>
    </w:p>
    <w:p w14:paraId="5ADA8177" w14:textId="77777777" w:rsidR="004F59BB" w:rsidRDefault="004F59BB" w:rsidP="004F59BB">
      <w:pPr>
        <w:pStyle w:val="Heading2"/>
        <w:rPr>
          <w:lang w:val="en-US" w:eastAsia="en-GB"/>
        </w:rPr>
      </w:pPr>
      <w:r>
        <w:rPr>
          <w:lang w:val="en-US" w:eastAsia="en-GB"/>
        </w:rPr>
        <w:t>Relative risk</w:t>
      </w:r>
    </w:p>
    <w:p w14:paraId="0A67DCA2" w14:textId="77777777" w:rsidR="007C061A" w:rsidRDefault="00D01849" w:rsidP="004F59BB">
      <w:r w:rsidRPr="00D01849">
        <w:rPr>
          <w:rFonts w:cs="Arial"/>
          <w:sz w:val="22"/>
          <w:lang w:val="en-US" w:eastAsia="en-GB"/>
        </w:rPr>
        <w:t xml:space="preserve">While no nicotine product can be considered completely risk-free, the NNPA regards relative risk as a highly relevant factor when assessing the proportionality of legislation on nicotine pouches. In the context of the Danish proposal, it should be made clear that the primary determinant of the risk associated with nicotine consumption is </w:t>
      </w:r>
      <w:r w:rsidR="00EE17F2">
        <w:rPr>
          <w:rFonts w:cs="Arial"/>
          <w:sz w:val="22"/>
          <w:lang w:val="en-US" w:eastAsia="en-GB"/>
        </w:rPr>
        <w:t>by what means</w:t>
      </w:r>
      <w:r w:rsidRPr="00D01849">
        <w:rPr>
          <w:rFonts w:cs="Arial"/>
          <w:sz w:val="22"/>
          <w:lang w:val="en-US" w:eastAsia="en-GB"/>
        </w:rPr>
        <w:t xml:space="preserve"> it is consumed, as opposed to other publicly available products considered societal risk factors, such as alcohol, where the determining factor</w:t>
      </w:r>
      <w:r w:rsidR="00F14598">
        <w:rPr>
          <w:rFonts w:cs="Arial"/>
          <w:sz w:val="22"/>
          <w:lang w:val="en-US" w:eastAsia="en-GB"/>
        </w:rPr>
        <w:t xml:space="preserve"> for risk</w:t>
      </w:r>
      <w:r w:rsidRPr="00D01849">
        <w:rPr>
          <w:rFonts w:cs="Arial"/>
          <w:sz w:val="22"/>
          <w:lang w:val="en-US" w:eastAsia="en-GB"/>
        </w:rPr>
        <w:t xml:space="preserve"> is the amount consumed, both for short- and long-term risk.</w:t>
      </w:r>
      <w:r w:rsidR="00060C15" w:rsidRPr="00060C15">
        <w:t xml:space="preserve"> </w:t>
      </w:r>
      <w:r w:rsidR="00060C15" w:rsidRPr="00060C15">
        <w:rPr>
          <w:rFonts w:cs="Arial"/>
          <w:sz w:val="22"/>
          <w:lang w:val="en-US" w:eastAsia="en-GB"/>
        </w:rPr>
        <w:t>Given this distinction, it becomes evident that assessing the risks associated with nicotine pouches requires a fundamentally different framework than that used for products like alcohol.</w:t>
      </w:r>
      <w:r w:rsidR="00E95B6A" w:rsidRPr="00E95B6A">
        <w:t xml:space="preserve"> </w:t>
      </w:r>
    </w:p>
    <w:p w14:paraId="6E1CE9C7" w14:textId="745F5329" w:rsidR="00D01849" w:rsidRDefault="00E95B6A" w:rsidP="004F59BB">
      <w:pPr>
        <w:rPr>
          <w:rFonts w:cs="Arial"/>
          <w:sz w:val="22"/>
          <w:lang w:val="en-US" w:eastAsia="en-GB"/>
        </w:rPr>
      </w:pPr>
      <w:r>
        <w:rPr>
          <w:rFonts w:cs="Arial"/>
          <w:sz w:val="22"/>
          <w:lang w:val="en-US" w:eastAsia="en-GB"/>
        </w:rPr>
        <w:t>I</w:t>
      </w:r>
      <w:r w:rsidRPr="00E95B6A">
        <w:rPr>
          <w:rFonts w:cs="Arial"/>
          <w:sz w:val="22"/>
          <w:lang w:val="en-US" w:eastAsia="en-GB"/>
        </w:rPr>
        <w:t xml:space="preserve">t is </w:t>
      </w:r>
      <w:r>
        <w:rPr>
          <w:rFonts w:cs="Arial"/>
          <w:sz w:val="22"/>
          <w:lang w:val="en-US" w:eastAsia="en-GB"/>
        </w:rPr>
        <w:t xml:space="preserve">also </w:t>
      </w:r>
      <w:r w:rsidRPr="00E95B6A">
        <w:rPr>
          <w:rFonts w:cs="Arial"/>
          <w:sz w:val="22"/>
          <w:lang w:val="en-US" w:eastAsia="en-GB"/>
        </w:rPr>
        <w:t xml:space="preserve">imperative to account for the fact that </w:t>
      </w:r>
      <w:proofErr w:type="gramStart"/>
      <w:r w:rsidRPr="00E95B6A">
        <w:rPr>
          <w:rFonts w:cs="Arial"/>
          <w:sz w:val="22"/>
          <w:lang w:val="en-US" w:eastAsia="en-GB"/>
        </w:rPr>
        <w:t>the majority of</w:t>
      </w:r>
      <w:proofErr w:type="gramEnd"/>
      <w:r w:rsidRPr="00E95B6A">
        <w:rPr>
          <w:rFonts w:cs="Arial"/>
          <w:sz w:val="22"/>
          <w:lang w:val="en-US" w:eastAsia="en-GB"/>
        </w:rPr>
        <w:t xml:space="preserve"> nicotine pouch users are former smokers. Ignoring this context would overlook a critical factor in evaluating the net public health impact of nicotine pouches. Furthermore, while some level of new recruitment into nicotine pouch use may occur, it is reasonable—and indeed necessary—to consider that these individuals might otherwise have </w:t>
      </w:r>
      <w:r w:rsidR="003E225D">
        <w:rPr>
          <w:rFonts w:cs="Arial"/>
          <w:sz w:val="22"/>
          <w:lang w:val="en-US" w:eastAsia="en-GB"/>
        </w:rPr>
        <w:t>started</w:t>
      </w:r>
      <w:r w:rsidR="003E225D" w:rsidRPr="00E95B6A">
        <w:rPr>
          <w:rFonts w:cs="Arial"/>
          <w:sz w:val="22"/>
          <w:lang w:val="en-US" w:eastAsia="en-GB"/>
        </w:rPr>
        <w:t xml:space="preserve"> </w:t>
      </w:r>
      <w:r w:rsidRPr="00E95B6A">
        <w:rPr>
          <w:rFonts w:cs="Arial"/>
          <w:sz w:val="22"/>
          <w:lang w:val="en-US" w:eastAsia="en-GB"/>
        </w:rPr>
        <w:t xml:space="preserve">smoking. This assumption is supported by the </w:t>
      </w:r>
      <w:r w:rsidRPr="00E95B6A">
        <w:rPr>
          <w:rFonts w:cs="Arial"/>
          <w:sz w:val="22"/>
          <w:lang w:val="en-US" w:eastAsia="en-GB"/>
        </w:rPr>
        <w:lastRenderedPageBreak/>
        <w:t>historical patterns of nicotine consumption and the documented appeal of combustible tobacco products in the absence of reduced-risk alternatives.</w:t>
      </w:r>
      <w:r w:rsidR="007C061A" w:rsidRPr="007C061A">
        <w:t xml:space="preserve"> </w:t>
      </w:r>
      <w:r w:rsidR="007C061A" w:rsidRPr="007C061A">
        <w:rPr>
          <w:rFonts w:cs="Arial"/>
          <w:sz w:val="22"/>
          <w:lang w:val="en-US" w:eastAsia="en-GB"/>
        </w:rPr>
        <w:t xml:space="preserve">Thus, any policy or regulatory framework should reflect the nuanced dynamics of nicotine use and acknowledge the harm reduction potential of </w:t>
      </w:r>
      <w:r w:rsidR="00BE62B4">
        <w:rPr>
          <w:rFonts w:cs="Arial"/>
          <w:sz w:val="22"/>
          <w:lang w:val="en-US" w:eastAsia="en-GB"/>
        </w:rPr>
        <w:t xml:space="preserve">preserving access </w:t>
      </w:r>
      <w:r w:rsidR="007C061A" w:rsidRPr="007C061A">
        <w:rPr>
          <w:rFonts w:cs="Arial"/>
          <w:sz w:val="22"/>
          <w:lang w:val="en-US" w:eastAsia="en-GB"/>
        </w:rPr>
        <w:t>to less harmful products</w:t>
      </w:r>
      <w:r w:rsidR="00BE62B4">
        <w:rPr>
          <w:rFonts w:cs="Arial"/>
          <w:sz w:val="22"/>
          <w:lang w:val="en-US" w:eastAsia="en-GB"/>
        </w:rPr>
        <w:t xml:space="preserve"> for individuals that are currently smoking</w:t>
      </w:r>
      <w:r w:rsidR="007C061A" w:rsidRPr="007C061A">
        <w:rPr>
          <w:rFonts w:cs="Arial"/>
          <w:sz w:val="22"/>
          <w:lang w:val="en-US" w:eastAsia="en-GB"/>
        </w:rPr>
        <w:t>.</w:t>
      </w:r>
    </w:p>
    <w:p w14:paraId="0BA5A64C" w14:textId="7554562D" w:rsidR="004F59BB" w:rsidRPr="00152B70" w:rsidRDefault="004F59BB" w:rsidP="004F59BB">
      <w:pPr>
        <w:rPr>
          <w:rFonts w:cs="Arial"/>
          <w:b/>
          <w:bCs/>
          <w:sz w:val="22"/>
          <w:lang w:val="en-US" w:eastAsia="en-GB"/>
        </w:rPr>
      </w:pPr>
      <w:r w:rsidRPr="002215FC">
        <w:rPr>
          <w:rFonts w:cs="Arial"/>
          <w:sz w:val="22"/>
          <w:lang w:val="en-US" w:eastAsia="en-GB"/>
        </w:rPr>
        <w:t xml:space="preserve">The relative risk of nicotine pouches compared to cigarettes is unanimously recognized as significantly lower. </w:t>
      </w:r>
      <w:r w:rsidRPr="00A944D6">
        <w:rPr>
          <w:rFonts w:cs="Arial"/>
          <w:b/>
          <w:bCs/>
          <w:sz w:val="22"/>
          <w:lang w:val="en-US" w:eastAsia="en-GB"/>
        </w:rPr>
        <w:t>Nicotine pouches do not contain tobacco, they are not burned, heated or in any other way chemically altered when used</w:t>
      </w:r>
      <w:r w:rsidRPr="002215FC">
        <w:rPr>
          <w:rFonts w:cs="Arial"/>
          <w:sz w:val="22"/>
          <w:lang w:val="en-US" w:eastAsia="en-GB"/>
        </w:rPr>
        <w:t xml:space="preserve">. The nicotine is absorbed by exposing a few square centimeters of the oral </w:t>
      </w:r>
      <w:r>
        <w:rPr>
          <w:rFonts w:cs="Arial"/>
          <w:sz w:val="22"/>
          <w:lang w:val="en-US" w:eastAsia="en-GB"/>
        </w:rPr>
        <w:t>mucosa to</w:t>
      </w:r>
      <w:r w:rsidRPr="002215FC">
        <w:rPr>
          <w:rFonts w:cs="Arial"/>
          <w:sz w:val="22"/>
          <w:lang w:val="en-US" w:eastAsia="en-GB"/>
        </w:rPr>
        <w:t xml:space="preserve"> nicotine</w:t>
      </w:r>
      <w:r>
        <w:rPr>
          <w:rFonts w:cs="Arial"/>
          <w:sz w:val="22"/>
          <w:lang w:val="en-US" w:eastAsia="en-GB"/>
        </w:rPr>
        <w:t xml:space="preserve">. </w:t>
      </w:r>
      <w:r w:rsidRPr="009132A4">
        <w:rPr>
          <w:rFonts w:cs="Arial"/>
          <w:sz w:val="22"/>
          <w:lang w:val="en-US" w:eastAsia="en-GB"/>
        </w:rPr>
        <w:t>Absorption through the oral mucosa bypasses the lungs and directly enters the bloodstream, but it takes longer to reach peak levels due to the slower release</w:t>
      </w:r>
      <w:r w:rsidRPr="002215FC">
        <w:rPr>
          <w:rFonts w:cs="Arial"/>
          <w:sz w:val="22"/>
          <w:lang w:val="en-US" w:eastAsia="en-GB"/>
        </w:rPr>
        <w:t xml:space="preserve"> as opposed to cigarettes that expose the alveoli that are directly connected to the capillaries and normally ha</w:t>
      </w:r>
      <w:r>
        <w:rPr>
          <w:rFonts w:cs="Arial"/>
          <w:sz w:val="22"/>
          <w:lang w:val="en-US" w:eastAsia="en-GB"/>
        </w:rPr>
        <w:t>ve</w:t>
      </w:r>
      <w:r w:rsidRPr="002215FC">
        <w:rPr>
          <w:rFonts w:cs="Arial"/>
          <w:sz w:val="22"/>
          <w:lang w:val="en-US" w:eastAsia="en-GB"/>
        </w:rPr>
        <w:t xml:space="preserve"> an area of 70 to 100 square meters. The effective exposure of the lungs varies but the exposed area would be between 100 000 and 300 00</w:t>
      </w:r>
      <w:r>
        <w:rPr>
          <w:rFonts w:cs="Arial"/>
          <w:sz w:val="22"/>
          <w:lang w:val="en-US" w:eastAsia="en-GB"/>
        </w:rPr>
        <w:t>0</w:t>
      </w:r>
      <w:r w:rsidRPr="002215FC">
        <w:rPr>
          <w:rFonts w:cs="Arial"/>
          <w:sz w:val="22"/>
          <w:lang w:val="en-US" w:eastAsia="en-GB"/>
        </w:rPr>
        <w:t xml:space="preserve"> times larger.</w:t>
      </w:r>
      <w:r w:rsidRPr="009C2211">
        <w:t xml:space="preserve"> </w:t>
      </w:r>
      <w:r w:rsidRPr="00152B70">
        <w:rPr>
          <w:rFonts w:cs="Arial"/>
          <w:b/>
          <w:bCs/>
          <w:sz w:val="22"/>
          <w:lang w:val="en-US" w:eastAsia="en-GB"/>
        </w:rPr>
        <w:t>This difference in exposed area is critical not only for understanding the relative safety of nicotine pouches but also for determining a reasonable nicotine cap, as the slower, limited absorption through the oral mucosa requires different standards than those set for inhaled products</w:t>
      </w:r>
    </w:p>
    <w:p w14:paraId="6CE972F2" w14:textId="77777777" w:rsidR="004F59BB" w:rsidRDefault="004F59BB" w:rsidP="004F59BB">
      <w:pPr>
        <w:rPr>
          <w:rFonts w:cs="Arial"/>
          <w:sz w:val="22"/>
          <w:lang w:val="en-US" w:eastAsia="en-GB"/>
        </w:rPr>
      </w:pPr>
      <w:r w:rsidRPr="002215FC">
        <w:rPr>
          <w:rFonts w:cs="Arial"/>
          <w:sz w:val="22"/>
          <w:lang w:val="en-US" w:eastAsia="en-GB"/>
        </w:rPr>
        <w:t xml:space="preserve">The main three risks connected to smoking cigarettes are </w:t>
      </w:r>
      <w:r w:rsidRPr="00E107A5">
        <w:rPr>
          <w:rFonts w:cs="Arial"/>
          <w:b/>
          <w:bCs/>
          <w:sz w:val="22"/>
          <w:lang w:val="en-US" w:eastAsia="en-GB"/>
        </w:rPr>
        <w:t>cancer, pulmonary disease and cardiovascular risk</w:t>
      </w:r>
      <w:r w:rsidRPr="002215FC">
        <w:rPr>
          <w:rFonts w:cs="Arial"/>
          <w:sz w:val="22"/>
          <w:lang w:val="en-US" w:eastAsia="en-GB"/>
        </w:rPr>
        <w:t xml:space="preserve">. </w:t>
      </w:r>
      <w:r>
        <w:rPr>
          <w:rFonts w:cs="Arial"/>
          <w:sz w:val="22"/>
          <w:lang w:val="en-US" w:eastAsia="en-GB"/>
        </w:rPr>
        <w:t xml:space="preserve">These are </w:t>
      </w:r>
      <w:r w:rsidRPr="005320BF">
        <w:rPr>
          <w:rFonts w:cs="Arial"/>
          <w:sz w:val="22"/>
          <w:lang w:val="en-US" w:eastAsia="en-GB"/>
        </w:rPr>
        <w:t xml:space="preserve">well-established </w:t>
      </w:r>
      <w:r>
        <w:rPr>
          <w:rFonts w:cs="Arial"/>
          <w:sz w:val="22"/>
          <w:lang w:val="en-US" w:eastAsia="en-GB"/>
        </w:rPr>
        <w:t xml:space="preserve">facts </w:t>
      </w:r>
      <w:r w:rsidRPr="005320BF">
        <w:rPr>
          <w:rFonts w:cs="Arial"/>
          <w:sz w:val="22"/>
          <w:lang w:val="en-US" w:eastAsia="en-GB"/>
        </w:rPr>
        <w:t>within the scientific and medical communities</w:t>
      </w:r>
      <w:r>
        <w:rPr>
          <w:rFonts w:cs="Arial"/>
          <w:sz w:val="22"/>
          <w:lang w:val="en-US" w:eastAsia="en-GB"/>
        </w:rPr>
        <w:t xml:space="preserve"> including t</w:t>
      </w:r>
      <w:r w:rsidRPr="005320BF">
        <w:rPr>
          <w:rFonts w:cs="Arial"/>
          <w:sz w:val="22"/>
          <w:lang w:val="en-US" w:eastAsia="en-GB"/>
        </w:rPr>
        <w:t xml:space="preserve">he European Commission’s Knowledge for Policy resource and the World Health Organization (WHO) </w:t>
      </w:r>
      <w:r>
        <w:rPr>
          <w:rFonts w:cs="Arial"/>
          <w:sz w:val="22"/>
          <w:lang w:val="en-US" w:eastAsia="en-GB"/>
        </w:rPr>
        <w:t xml:space="preserve">who </w:t>
      </w:r>
      <w:r w:rsidRPr="005320BF">
        <w:rPr>
          <w:rFonts w:cs="Arial"/>
          <w:sz w:val="22"/>
          <w:lang w:val="en-US" w:eastAsia="en-GB"/>
        </w:rPr>
        <w:t xml:space="preserve">both identify these as the primary consequences of </w:t>
      </w:r>
      <w:r>
        <w:rPr>
          <w:rFonts w:cs="Arial"/>
          <w:sz w:val="22"/>
          <w:lang w:val="en-US" w:eastAsia="en-GB"/>
        </w:rPr>
        <w:t>smoking cigarettes</w:t>
      </w:r>
      <w:r w:rsidRPr="005320BF">
        <w:rPr>
          <w:rFonts w:cs="Arial"/>
          <w:sz w:val="22"/>
          <w:lang w:val="en-US" w:eastAsia="en-GB"/>
        </w:rPr>
        <w:t>.</w:t>
      </w:r>
      <w:r>
        <w:rPr>
          <w:rFonts w:cs="Arial"/>
          <w:sz w:val="22"/>
          <w:lang w:val="en-US" w:eastAsia="en-GB"/>
        </w:rPr>
        <w:t xml:space="preserve"> </w:t>
      </w:r>
    </w:p>
    <w:p w14:paraId="52EB96BD" w14:textId="77777777" w:rsidR="004F59BB" w:rsidRDefault="004F59BB" w:rsidP="004F59BB">
      <w:pPr>
        <w:rPr>
          <w:rFonts w:cs="Arial"/>
          <w:sz w:val="22"/>
          <w:lang w:val="en-US" w:eastAsia="en-GB"/>
        </w:rPr>
      </w:pPr>
      <w:r w:rsidRPr="002215FC">
        <w:rPr>
          <w:rFonts w:cs="Arial"/>
          <w:sz w:val="22"/>
          <w:lang w:val="en-US" w:eastAsia="en-GB"/>
        </w:rPr>
        <w:t xml:space="preserve">Since nicotine pouches </w:t>
      </w:r>
      <w:r>
        <w:rPr>
          <w:rFonts w:cs="Arial"/>
          <w:sz w:val="22"/>
          <w:lang w:val="en-US" w:eastAsia="en-GB"/>
        </w:rPr>
        <w:t xml:space="preserve">do not </w:t>
      </w:r>
      <w:r w:rsidRPr="00CE31AB">
        <w:rPr>
          <w:rFonts w:cs="Arial"/>
          <w:b/>
          <w:bCs/>
          <w:sz w:val="22"/>
          <w:lang w:val="en-US" w:eastAsia="en-GB"/>
        </w:rPr>
        <w:t xml:space="preserve">contain carcinogenic </w:t>
      </w:r>
      <w:r>
        <w:rPr>
          <w:rFonts w:cs="Arial"/>
          <w:b/>
          <w:bCs/>
          <w:sz w:val="22"/>
          <w:lang w:val="en-US" w:eastAsia="en-GB"/>
        </w:rPr>
        <w:t>substances</w:t>
      </w:r>
      <w:r w:rsidRPr="002215FC">
        <w:rPr>
          <w:rFonts w:cs="Arial"/>
          <w:sz w:val="22"/>
          <w:lang w:val="en-US" w:eastAsia="en-GB"/>
        </w:rPr>
        <w:t xml:space="preserve"> and are not </w:t>
      </w:r>
      <w:r>
        <w:rPr>
          <w:rFonts w:cs="Arial"/>
          <w:sz w:val="22"/>
          <w:lang w:val="en-US" w:eastAsia="en-GB"/>
        </w:rPr>
        <w:t xml:space="preserve">chemically </w:t>
      </w:r>
      <w:r w:rsidRPr="002215FC">
        <w:rPr>
          <w:rFonts w:cs="Arial"/>
          <w:sz w:val="22"/>
          <w:lang w:val="en-US" w:eastAsia="en-GB"/>
        </w:rPr>
        <w:t>altered when used</w:t>
      </w:r>
      <w:r>
        <w:rPr>
          <w:rFonts w:cs="Arial"/>
          <w:sz w:val="22"/>
          <w:lang w:val="en-US" w:eastAsia="en-GB"/>
        </w:rPr>
        <w:t>,</w:t>
      </w:r>
      <w:r w:rsidRPr="002215FC">
        <w:rPr>
          <w:rFonts w:cs="Arial"/>
          <w:sz w:val="22"/>
          <w:lang w:val="en-US" w:eastAsia="en-GB"/>
        </w:rPr>
        <w:t xml:space="preserve"> th</w:t>
      </w:r>
      <w:r>
        <w:rPr>
          <w:rFonts w:cs="Arial"/>
          <w:sz w:val="22"/>
          <w:lang w:val="en-US" w:eastAsia="en-GB"/>
        </w:rPr>
        <w:t>e risk in the context of cancer</w:t>
      </w:r>
      <w:r w:rsidRPr="002215FC">
        <w:rPr>
          <w:rFonts w:cs="Arial"/>
          <w:sz w:val="22"/>
          <w:lang w:val="en-US" w:eastAsia="en-GB"/>
        </w:rPr>
        <w:t xml:space="preserve"> </w:t>
      </w:r>
      <w:r w:rsidRPr="00263BCC">
        <w:rPr>
          <w:rFonts w:cs="Arial"/>
          <w:sz w:val="22"/>
          <w:lang w:val="en-US" w:eastAsia="en-GB"/>
        </w:rPr>
        <w:t>would be</w:t>
      </w:r>
      <w:r w:rsidRPr="001772B8">
        <w:rPr>
          <w:rFonts w:cs="Arial"/>
          <w:b/>
          <w:bCs/>
          <w:sz w:val="22"/>
          <w:lang w:val="en-US" w:eastAsia="en-GB"/>
        </w:rPr>
        <w:t xml:space="preserve"> negligible</w:t>
      </w:r>
      <w:r w:rsidRPr="002215FC">
        <w:rPr>
          <w:rFonts w:cs="Arial"/>
          <w:sz w:val="22"/>
          <w:lang w:val="en-US" w:eastAsia="en-GB"/>
        </w:rPr>
        <w:t xml:space="preserve">. </w:t>
      </w:r>
    </w:p>
    <w:p w14:paraId="3302AEFF" w14:textId="77777777" w:rsidR="004F59BB" w:rsidRDefault="004F59BB" w:rsidP="004F59BB">
      <w:pPr>
        <w:rPr>
          <w:rFonts w:cs="Arial"/>
          <w:sz w:val="22"/>
          <w:lang w:val="en-US" w:eastAsia="en-GB"/>
        </w:rPr>
      </w:pPr>
      <w:r w:rsidRPr="002215FC">
        <w:rPr>
          <w:rFonts w:cs="Arial"/>
          <w:sz w:val="22"/>
          <w:lang w:val="en-US" w:eastAsia="en-GB"/>
        </w:rPr>
        <w:t>Since</w:t>
      </w:r>
      <w:r>
        <w:rPr>
          <w:rFonts w:cs="Arial"/>
          <w:sz w:val="22"/>
          <w:lang w:val="en-US" w:eastAsia="en-GB"/>
        </w:rPr>
        <w:t xml:space="preserve"> nicotine pouches do not emit any byproducts of combustion</w:t>
      </w:r>
      <w:r w:rsidRPr="002215FC">
        <w:rPr>
          <w:rFonts w:cs="Arial"/>
          <w:sz w:val="22"/>
          <w:lang w:val="en-US" w:eastAsia="en-GB"/>
        </w:rPr>
        <w:t xml:space="preserve"> and the </w:t>
      </w:r>
      <w:r w:rsidRPr="00CE31AB">
        <w:rPr>
          <w:rFonts w:cs="Arial"/>
          <w:b/>
          <w:bCs/>
          <w:sz w:val="22"/>
          <w:lang w:val="en-US" w:eastAsia="en-GB"/>
        </w:rPr>
        <w:t>lungs are not exposed</w:t>
      </w:r>
      <w:r w:rsidRPr="002215FC">
        <w:rPr>
          <w:rFonts w:cs="Arial"/>
          <w:sz w:val="22"/>
          <w:lang w:val="en-US" w:eastAsia="en-GB"/>
        </w:rPr>
        <w:t xml:space="preserve"> the risk for pulmonary disease would als</w:t>
      </w:r>
      <w:r w:rsidRPr="00263BCC">
        <w:rPr>
          <w:rFonts w:cs="Arial"/>
          <w:sz w:val="22"/>
          <w:lang w:val="en-US" w:eastAsia="en-GB"/>
        </w:rPr>
        <w:t>o be</w:t>
      </w:r>
      <w:r w:rsidRPr="001772B8">
        <w:rPr>
          <w:rFonts w:cs="Arial"/>
          <w:b/>
          <w:bCs/>
          <w:sz w:val="22"/>
          <w:lang w:val="en-US" w:eastAsia="en-GB"/>
        </w:rPr>
        <w:t xml:space="preserve"> negligible.</w:t>
      </w:r>
      <w:r w:rsidRPr="002215FC">
        <w:rPr>
          <w:rFonts w:cs="Arial"/>
          <w:sz w:val="22"/>
          <w:lang w:val="en-US" w:eastAsia="en-GB"/>
        </w:rPr>
        <w:t xml:space="preserve"> </w:t>
      </w:r>
    </w:p>
    <w:p w14:paraId="09003A6A" w14:textId="77777777" w:rsidR="004F59BB" w:rsidRPr="00B54733" w:rsidRDefault="004F59BB" w:rsidP="004F59BB">
      <w:pPr>
        <w:rPr>
          <w:rFonts w:cs="Arial"/>
          <w:b/>
          <w:bCs/>
          <w:sz w:val="22"/>
          <w:lang w:val="en-US" w:eastAsia="en-GB"/>
        </w:rPr>
      </w:pPr>
      <w:r w:rsidRPr="002215FC">
        <w:rPr>
          <w:rFonts w:cs="Arial"/>
          <w:sz w:val="22"/>
          <w:lang w:val="en-US" w:eastAsia="en-GB"/>
        </w:rPr>
        <w:t xml:space="preserve">While both products contain nicotine that can contribute to elevated blood pressure, increased heart rate and vascular constriction, </w:t>
      </w:r>
      <w:r w:rsidRPr="00E107A5">
        <w:rPr>
          <w:rFonts w:cs="Arial"/>
          <w:b/>
          <w:bCs/>
          <w:sz w:val="22"/>
          <w:lang w:val="en-US" w:eastAsia="en-GB"/>
        </w:rPr>
        <w:t>the main risk of cardiovascular disease of smoking cigarettes does not derive from the nicotine content</w:t>
      </w:r>
      <w:r w:rsidRPr="002215FC">
        <w:rPr>
          <w:rFonts w:cs="Arial"/>
          <w:sz w:val="22"/>
          <w:lang w:val="en-US" w:eastAsia="en-GB"/>
        </w:rPr>
        <w:t xml:space="preserve"> but rather from</w:t>
      </w:r>
      <w:r>
        <w:rPr>
          <w:rFonts w:cs="Arial"/>
          <w:sz w:val="22"/>
          <w:lang w:val="en-US" w:eastAsia="en-GB"/>
        </w:rPr>
        <w:t xml:space="preserve"> byproducts of combustion i.e.</w:t>
      </w:r>
      <w:r w:rsidRPr="002215FC">
        <w:rPr>
          <w:rFonts w:cs="Arial"/>
          <w:sz w:val="22"/>
          <w:lang w:val="en-US" w:eastAsia="en-GB"/>
        </w:rPr>
        <w:t xml:space="preserve"> carbon monoxide and oxidizing chemicals that significantly increases the risk of atherosclerosis, blood clot formation and chronic inflammation. </w:t>
      </w:r>
      <w:r w:rsidRPr="00B54733">
        <w:rPr>
          <w:rFonts w:cs="Arial"/>
          <w:b/>
          <w:bCs/>
          <w:sz w:val="22"/>
          <w:lang w:val="en-US" w:eastAsia="en-GB"/>
        </w:rPr>
        <w:t>While nicotine pouches may carry a minimal cardiovascular risk relative to non-use, they are far safer for the cardiovascular system than smoking.</w:t>
      </w:r>
    </w:p>
    <w:p w14:paraId="4C259340" w14:textId="6D036922" w:rsidR="00D37F7B" w:rsidRDefault="004F59BB" w:rsidP="00737337">
      <w:pPr>
        <w:rPr>
          <w:rFonts w:cs="Arial"/>
          <w:sz w:val="22"/>
          <w:lang w:val="en-US" w:eastAsia="en-GB"/>
        </w:rPr>
      </w:pPr>
      <w:r>
        <w:rPr>
          <w:rFonts w:cs="Arial"/>
          <w:sz w:val="22"/>
          <w:lang w:val="en-US" w:eastAsia="en-GB"/>
        </w:rPr>
        <w:t xml:space="preserve">While not risk free, </w:t>
      </w:r>
      <w:r w:rsidRPr="00CE31AB">
        <w:rPr>
          <w:rFonts w:cs="Arial"/>
          <w:b/>
          <w:bCs/>
          <w:sz w:val="22"/>
          <w:lang w:val="en-US" w:eastAsia="en-GB"/>
        </w:rPr>
        <w:t>the placing of nicotine pouches on the internal market does not contribute to any significant risk to public health</w:t>
      </w:r>
      <w:r>
        <w:rPr>
          <w:rStyle w:val="FootnoteReference"/>
          <w:rFonts w:cs="Arial"/>
          <w:b/>
          <w:bCs/>
          <w:sz w:val="22"/>
          <w:lang w:val="en-US" w:eastAsia="en-GB"/>
        </w:rPr>
        <w:footnoteReference w:id="5"/>
      </w:r>
      <w:r>
        <w:rPr>
          <w:rStyle w:val="FootnoteReference"/>
          <w:rFonts w:cs="Arial"/>
          <w:sz w:val="22"/>
          <w:lang w:val="en-US" w:eastAsia="en-GB"/>
        </w:rPr>
        <w:footnoteReference w:id="6"/>
      </w:r>
      <w:r>
        <w:rPr>
          <w:rStyle w:val="FootnoteReference"/>
          <w:rFonts w:cs="Arial"/>
          <w:sz w:val="22"/>
          <w:lang w:val="en-US" w:eastAsia="en-GB"/>
        </w:rPr>
        <w:footnoteReference w:id="7"/>
      </w:r>
      <w:r>
        <w:rPr>
          <w:rFonts w:cs="Arial"/>
          <w:sz w:val="22"/>
          <w:lang w:val="en-US" w:eastAsia="en-GB"/>
        </w:rPr>
        <w:t xml:space="preserve"> On the contrary, statistics from countries that have available and affordable nicotine pouches indicate that their presence on the market provides a viable and attractive alternative for adult smokers and that the benefits on a societal level are massive. According to EU statistics, Sweden has around the same percentage of nicotine users as the average in the union, but all indicators of tobacco-related harm including lung cancer, </w:t>
      </w:r>
      <w:r w:rsidRPr="008E4FDB">
        <w:rPr>
          <w:rFonts w:cs="Arial"/>
          <w:sz w:val="22"/>
          <w:lang w:val="en-US" w:eastAsia="en-GB"/>
        </w:rPr>
        <w:t>Chronic Obstructive Pulmonary Disease (COPD</w:t>
      </w:r>
      <w:r w:rsidR="00583F99">
        <w:rPr>
          <w:rFonts w:cs="Arial"/>
          <w:sz w:val="22"/>
          <w:lang w:val="en-US" w:eastAsia="en-GB"/>
        </w:rPr>
        <w:t xml:space="preserve"> </w:t>
      </w:r>
      <w:r>
        <w:rPr>
          <w:rFonts w:cs="Arial"/>
          <w:sz w:val="22"/>
          <w:lang w:val="en-US" w:eastAsia="en-GB"/>
        </w:rPr>
        <w:t xml:space="preserve">and general </w:t>
      </w:r>
      <w:r>
        <w:rPr>
          <w:rFonts w:cs="Arial"/>
          <w:sz w:val="22"/>
          <w:lang w:val="en-US" w:eastAsia="en-GB"/>
        </w:rPr>
        <w:lastRenderedPageBreak/>
        <w:t>mortality rates related to tobacco use are significantly lower than in all other Member States (typically 40-50 percent lower)</w:t>
      </w:r>
      <w:r w:rsidR="00306A2C">
        <w:rPr>
          <w:rFonts w:cs="Arial"/>
          <w:sz w:val="22"/>
          <w:lang w:val="en-US" w:eastAsia="en-GB"/>
        </w:rPr>
        <w:t xml:space="preserve">. </w:t>
      </w:r>
    </w:p>
    <w:p w14:paraId="79CB6A1F" w14:textId="77777777" w:rsidR="00D37F7B" w:rsidRDefault="00D37F7B" w:rsidP="00737337">
      <w:pPr>
        <w:rPr>
          <w:rFonts w:cs="Arial"/>
          <w:sz w:val="22"/>
          <w:lang w:val="en-US" w:eastAsia="en-GB"/>
        </w:rPr>
      </w:pPr>
    </w:p>
    <w:p w14:paraId="6341062A" w14:textId="67F4C91A" w:rsidR="00105152" w:rsidRPr="001772B8" w:rsidRDefault="001501E9" w:rsidP="003134DE">
      <w:pPr>
        <w:rPr>
          <w:rFonts w:cstheme="majorBidi"/>
          <w:sz w:val="32"/>
          <w:lang w:val="en-US" w:eastAsia="en-GB"/>
        </w:rPr>
      </w:pPr>
      <w:r w:rsidRPr="001772B8">
        <w:rPr>
          <w:rFonts w:cstheme="majorBidi"/>
          <w:sz w:val="32"/>
          <w:lang w:val="en-US" w:eastAsia="en-GB"/>
        </w:rPr>
        <w:t>Conclusions</w:t>
      </w:r>
    </w:p>
    <w:p w14:paraId="48D78880" w14:textId="58326DE1" w:rsidR="00B907FA" w:rsidRDefault="00D60AAE" w:rsidP="00737337">
      <w:pPr>
        <w:rPr>
          <w:rFonts w:cs="Arial"/>
          <w:sz w:val="22"/>
          <w:lang w:val="en-US" w:eastAsia="en-GB"/>
        </w:rPr>
      </w:pPr>
      <w:r>
        <w:rPr>
          <w:rFonts w:cs="Arial"/>
          <w:sz w:val="22"/>
          <w:lang w:val="en-US" w:eastAsia="en-GB"/>
        </w:rPr>
        <w:t>W</w:t>
      </w:r>
      <w:r w:rsidR="00237C94">
        <w:rPr>
          <w:rFonts w:cs="Arial"/>
          <w:sz w:val="22"/>
          <w:lang w:val="en-US" w:eastAsia="en-GB"/>
        </w:rPr>
        <w:t xml:space="preserve">ith the above </w:t>
      </w:r>
      <w:r>
        <w:rPr>
          <w:rFonts w:cs="Arial"/>
          <w:sz w:val="22"/>
          <w:lang w:val="en-US" w:eastAsia="en-GB"/>
        </w:rPr>
        <w:t xml:space="preserve">in mind </w:t>
      </w:r>
      <w:r w:rsidR="00237C94">
        <w:rPr>
          <w:rFonts w:cs="Arial"/>
          <w:sz w:val="22"/>
          <w:lang w:val="en-US" w:eastAsia="en-GB"/>
        </w:rPr>
        <w:t xml:space="preserve">as </w:t>
      </w:r>
      <w:r w:rsidR="008114FC">
        <w:rPr>
          <w:rFonts w:cs="Arial"/>
          <w:sz w:val="22"/>
          <w:lang w:val="en-US" w:eastAsia="en-GB"/>
        </w:rPr>
        <w:t xml:space="preserve">basis for our </w:t>
      </w:r>
      <w:r w:rsidR="001D36D9">
        <w:rPr>
          <w:rFonts w:cs="Arial"/>
          <w:sz w:val="22"/>
          <w:lang w:val="en-US" w:eastAsia="en-GB"/>
        </w:rPr>
        <w:t xml:space="preserve">motivation, we conclude that </w:t>
      </w:r>
      <w:r w:rsidR="00122663">
        <w:rPr>
          <w:rFonts w:cs="Arial"/>
          <w:sz w:val="22"/>
          <w:lang w:val="en-US" w:eastAsia="en-GB"/>
        </w:rPr>
        <w:t xml:space="preserve">the justification </w:t>
      </w:r>
      <w:r w:rsidR="003A5BCE">
        <w:rPr>
          <w:rFonts w:cs="Arial"/>
          <w:sz w:val="22"/>
          <w:lang w:val="en-US" w:eastAsia="en-GB"/>
        </w:rPr>
        <w:t>criteria</w:t>
      </w:r>
      <w:r w:rsidR="00122663">
        <w:rPr>
          <w:rFonts w:cs="Arial"/>
          <w:sz w:val="22"/>
          <w:lang w:val="en-US" w:eastAsia="en-GB"/>
        </w:rPr>
        <w:t xml:space="preserve"> cannot be met for the </w:t>
      </w:r>
      <w:r w:rsidR="00783B0C">
        <w:rPr>
          <w:rFonts w:cs="Arial"/>
          <w:sz w:val="22"/>
          <w:lang w:val="en-US" w:eastAsia="en-GB"/>
        </w:rPr>
        <w:t>proposed restrictions</w:t>
      </w:r>
      <w:r w:rsidR="008E4FDB">
        <w:rPr>
          <w:rFonts w:cs="Arial"/>
          <w:sz w:val="22"/>
          <w:lang w:val="en-US" w:eastAsia="en-GB"/>
        </w:rPr>
        <w:t xml:space="preserve"> and that t</w:t>
      </w:r>
      <w:r w:rsidR="008E4FDB" w:rsidRPr="008E4FDB">
        <w:rPr>
          <w:rFonts w:cs="Arial"/>
          <w:sz w:val="22"/>
          <w:lang w:val="en-US" w:eastAsia="en-GB"/>
        </w:rPr>
        <w:t>he draft Law will restrict the free movement of goods (Article 34 TFEU</w:t>
      </w:r>
      <w:r w:rsidR="00B63AE2">
        <w:rPr>
          <w:rFonts w:cs="Arial"/>
          <w:sz w:val="22"/>
          <w:lang w:val="en-US" w:eastAsia="en-GB"/>
        </w:rPr>
        <w:t>)</w:t>
      </w:r>
    </w:p>
    <w:p w14:paraId="29B19863" w14:textId="024110F7" w:rsidR="00DF3946" w:rsidRDefault="00DF3946" w:rsidP="00105152">
      <w:pPr>
        <w:pStyle w:val="ListParagraph"/>
        <w:numPr>
          <w:ilvl w:val="0"/>
          <w:numId w:val="7"/>
        </w:numPr>
        <w:rPr>
          <w:rFonts w:cs="Arial"/>
          <w:i/>
          <w:iCs/>
          <w:sz w:val="22"/>
          <w:lang w:val="en-US" w:eastAsia="en-GB"/>
        </w:rPr>
      </w:pPr>
      <w:bookmarkStart w:id="6" w:name="_Hlk183784389"/>
      <w:r w:rsidRPr="00DF3946">
        <w:rPr>
          <w:rFonts w:cs="Arial"/>
          <w:i/>
          <w:iCs/>
          <w:sz w:val="22"/>
          <w:lang w:val="en-US" w:eastAsia="en-GB"/>
        </w:rPr>
        <w:t xml:space="preserve">There </w:t>
      </w:r>
      <w:r w:rsidR="0072167E">
        <w:rPr>
          <w:rFonts w:cs="Arial"/>
          <w:i/>
          <w:iCs/>
          <w:sz w:val="22"/>
          <w:lang w:val="en-US" w:eastAsia="en-GB"/>
        </w:rPr>
        <w:t>are</w:t>
      </w:r>
      <w:r w:rsidRPr="00DF3946">
        <w:rPr>
          <w:rFonts w:cs="Arial"/>
          <w:i/>
          <w:iCs/>
          <w:sz w:val="22"/>
          <w:lang w:val="en-US" w:eastAsia="en-GB"/>
        </w:rPr>
        <w:t xml:space="preserve"> no public health risk</w:t>
      </w:r>
      <w:r w:rsidR="0072167E">
        <w:rPr>
          <w:rFonts w:cs="Arial"/>
          <w:i/>
          <w:iCs/>
          <w:sz w:val="22"/>
          <w:lang w:val="en-US" w:eastAsia="en-GB"/>
        </w:rPr>
        <w:t>s</w:t>
      </w:r>
      <w:r w:rsidRPr="00DF3946">
        <w:rPr>
          <w:rFonts w:cs="Arial"/>
          <w:i/>
          <w:iCs/>
          <w:sz w:val="22"/>
          <w:lang w:val="en-US" w:eastAsia="en-GB"/>
        </w:rPr>
        <w:t xml:space="preserve"> </w:t>
      </w:r>
      <w:r>
        <w:rPr>
          <w:rFonts w:cs="Arial"/>
          <w:i/>
          <w:iCs/>
          <w:sz w:val="22"/>
          <w:lang w:val="en-US" w:eastAsia="en-GB"/>
        </w:rPr>
        <w:t>that could</w:t>
      </w:r>
      <w:r w:rsidRPr="00DF3946">
        <w:rPr>
          <w:rFonts w:cs="Arial"/>
          <w:i/>
          <w:iCs/>
          <w:sz w:val="22"/>
          <w:lang w:val="en-US" w:eastAsia="en-GB"/>
        </w:rPr>
        <w:t xml:space="preserve"> justify restrictions on the free movement of nicotine pouches. On the contrary, such restrictions are likely to have the opposite effect</w:t>
      </w:r>
      <w:r>
        <w:rPr>
          <w:rFonts w:cs="Arial"/>
          <w:i/>
          <w:iCs/>
          <w:sz w:val="22"/>
          <w:lang w:val="en-US" w:eastAsia="en-GB"/>
        </w:rPr>
        <w:t xml:space="preserve"> by</w:t>
      </w:r>
      <w:r w:rsidRPr="00DF3946">
        <w:rPr>
          <w:rFonts w:cs="Arial"/>
          <w:i/>
          <w:iCs/>
          <w:sz w:val="22"/>
          <w:lang w:val="en-US" w:eastAsia="en-GB"/>
        </w:rPr>
        <w:t xml:space="preserve"> reducing access to </w:t>
      </w:r>
      <w:r>
        <w:rPr>
          <w:rFonts w:cs="Arial"/>
          <w:i/>
          <w:iCs/>
          <w:sz w:val="22"/>
          <w:lang w:val="en-US" w:eastAsia="en-GB"/>
        </w:rPr>
        <w:t>reduced risk</w:t>
      </w:r>
      <w:r w:rsidRPr="00DF3946">
        <w:rPr>
          <w:rFonts w:cs="Arial"/>
          <w:i/>
          <w:iCs/>
          <w:sz w:val="22"/>
          <w:lang w:val="en-US" w:eastAsia="en-GB"/>
        </w:rPr>
        <w:t xml:space="preserve"> alternatives </w:t>
      </w:r>
      <w:r w:rsidR="00D60AAE">
        <w:rPr>
          <w:rFonts w:cs="Arial"/>
          <w:i/>
          <w:iCs/>
          <w:sz w:val="22"/>
          <w:lang w:val="en-US" w:eastAsia="en-GB"/>
        </w:rPr>
        <w:t xml:space="preserve">that are </w:t>
      </w:r>
      <w:r w:rsidR="0072167E">
        <w:rPr>
          <w:rFonts w:cs="Arial"/>
          <w:i/>
          <w:iCs/>
          <w:sz w:val="22"/>
          <w:lang w:val="en-US" w:eastAsia="en-GB"/>
        </w:rPr>
        <w:t>beneficial to smokers</w:t>
      </w:r>
      <w:r w:rsidR="00D60AAE">
        <w:rPr>
          <w:rFonts w:cs="Arial"/>
          <w:i/>
          <w:iCs/>
          <w:sz w:val="22"/>
          <w:lang w:val="en-US" w:eastAsia="en-GB"/>
        </w:rPr>
        <w:t>,</w:t>
      </w:r>
      <w:r w:rsidR="0072167E">
        <w:rPr>
          <w:rFonts w:cs="Arial"/>
          <w:i/>
          <w:iCs/>
          <w:sz w:val="22"/>
          <w:lang w:val="en-US" w:eastAsia="en-GB"/>
        </w:rPr>
        <w:t xml:space="preserve"> as recognized by </w:t>
      </w:r>
      <w:proofErr w:type="spellStart"/>
      <w:r w:rsidR="0072167E">
        <w:rPr>
          <w:rFonts w:cs="Arial"/>
          <w:i/>
          <w:iCs/>
          <w:sz w:val="22"/>
          <w:lang w:val="en-US" w:eastAsia="en-GB"/>
        </w:rPr>
        <w:t>Bfr</w:t>
      </w:r>
      <w:proofErr w:type="spellEnd"/>
      <w:r w:rsidR="0072167E">
        <w:rPr>
          <w:rFonts w:cs="Arial"/>
          <w:i/>
          <w:iCs/>
          <w:sz w:val="22"/>
          <w:lang w:val="en-US" w:eastAsia="en-GB"/>
        </w:rPr>
        <w:t>, COT and RIVM</w:t>
      </w:r>
      <w:bookmarkEnd w:id="6"/>
      <w:r w:rsidR="0072167E">
        <w:rPr>
          <w:rFonts w:cs="Arial"/>
          <w:i/>
          <w:iCs/>
          <w:sz w:val="22"/>
          <w:lang w:val="en-US" w:eastAsia="en-GB"/>
        </w:rPr>
        <w:t xml:space="preserve"> (footnote </w:t>
      </w:r>
      <w:r w:rsidR="00276EE7">
        <w:rPr>
          <w:rFonts w:cs="Arial"/>
          <w:i/>
          <w:iCs/>
          <w:sz w:val="22"/>
          <w:lang w:val="en-US" w:eastAsia="en-GB"/>
        </w:rPr>
        <w:t>4,5 and</w:t>
      </w:r>
      <w:r w:rsidR="0004343A">
        <w:rPr>
          <w:rFonts w:cs="Arial"/>
          <w:i/>
          <w:iCs/>
          <w:sz w:val="22"/>
          <w:lang w:val="en-US" w:eastAsia="en-GB"/>
        </w:rPr>
        <w:t xml:space="preserve"> </w:t>
      </w:r>
      <w:r w:rsidR="00276EE7">
        <w:rPr>
          <w:rFonts w:cs="Arial"/>
          <w:i/>
          <w:iCs/>
          <w:sz w:val="22"/>
          <w:lang w:val="en-US" w:eastAsia="en-GB"/>
        </w:rPr>
        <w:t>6</w:t>
      </w:r>
      <w:r w:rsidR="0072167E">
        <w:rPr>
          <w:rFonts w:cs="Arial"/>
          <w:i/>
          <w:iCs/>
          <w:sz w:val="22"/>
          <w:lang w:val="en-US" w:eastAsia="en-GB"/>
        </w:rPr>
        <w:t>)</w:t>
      </w:r>
    </w:p>
    <w:p w14:paraId="68009DF3" w14:textId="77777777" w:rsidR="0072167E" w:rsidRDefault="0072167E" w:rsidP="001772B8">
      <w:pPr>
        <w:pStyle w:val="ListParagraph"/>
        <w:rPr>
          <w:rFonts w:cs="Arial"/>
          <w:i/>
          <w:iCs/>
          <w:sz w:val="22"/>
          <w:lang w:val="en-US" w:eastAsia="en-GB"/>
        </w:rPr>
      </w:pPr>
    </w:p>
    <w:p w14:paraId="355D1F91" w14:textId="176CE1DB" w:rsidR="0072167E" w:rsidRDefault="0076071B" w:rsidP="0072167E">
      <w:pPr>
        <w:pStyle w:val="ListParagraph"/>
        <w:numPr>
          <w:ilvl w:val="0"/>
          <w:numId w:val="7"/>
        </w:numPr>
        <w:rPr>
          <w:rFonts w:cs="Arial"/>
          <w:i/>
          <w:iCs/>
          <w:sz w:val="22"/>
          <w:lang w:val="en-US" w:eastAsia="en-GB"/>
        </w:rPr>
      </w:pPr>
      <w:bookmarkStart w:id="7" w:name="_Hlk183784661"/>
      <w:r w:rsidRPr="000642B9">
        <w:rPr>
          <w:rFonts w:cs="Arial"/>
          <w:i/>
          <w:iCs/>
          <w:sz w:val="22"/>
          <w:lang w:val="en-US" w:eastAsia="en-GB"/>
        </w:rPr>
        <w:t xml:space="preserve">The ban </w:t>
      </w:r>
      <w:r w:rsidR="00DE7592" w:rsidRPr="000642B9">
        <w:rPr>
          <w:rFonts w:cs="Arial"/>
          <w:i/>
          <w:iCs/>
          <w:sz w:val="22"/>
          <w:lang w:val="en-US" w:eastAsia="en-GB"/>
        </w:rPr>
        <w:t xml:space="preserve">is not proportionate </w:t>
      </w:r>
      <w:r w:rsidR="00CC3D13" w:rsidRPr="000642B9">
        <w:rPr>
          <w:rFonts w:cs="Arial"/>
          <w:i/>
          <w:iCs/>
          <w:sz w:val="22"/>
          <w:lang w:val="en-US" w:eastAsia="en-GB"/>
        </w:rPr>
        <w:t xml:space="preserve">since </w:t>
      </w:r>
      <w:r w:rsidR="00C81FBB" w:rsidRPr="000642B9">
        <w:rPr>
          <w:rFonts w:cs="Arial"/>
          <w:i/>
          <w:iCs/>
          <w:sz w:val="22"/>
          <w:lang w:val="en-US" w:eastAsia="en-GB"/>
        </w:rPr>
        <w:t xml:space="preserve">there is no </w:t>
      </w:r>
      <w:r w:rsidR="00A66C1C" w:rsidRPr="000642B9">
        <w:rPr>
          <w:rFonts w:cs="Arial"/>
          <w:i/>
          <w:iCs/>
          <w:sz w:val="22"/>
          <w:lang w:val="en-US" w:eastAsia="en-GB"/>
        </w:rPr>
        <w:t>scientific evidence or even statistical indicat</w:t>
      </w:r>
      <w:r w:rsidR="00820D80" w:rsidRPr="000642B9">
        <w:rPr>
          <w:rFonts w:cs="Arial"/>
          <w:i/>
          <w:iCs/>
          <w:sz w:val="22"/>
          <w:lang w:val="en-US" w:eastAsia="en-GB"/>
        </w:rPr>
        <w:t>ions</w:t>
      </w:r>
      <w:r w:rsidR="00A66C1C" w:rsidRPr="000642B9">
        <w:rPr>
          <w:rFonts w:cs="Arial"/>
          <w:i/>
          <w:iCs/>
          <w:sz w:val="22"/>
          <w:lang w:val="en-US" w:eastAsia="en-GB"/>
        </w:rPr>
        <w:t xml:space="preserve"> that </w:t>
      </w:r>
      <w:r w:rsidR="00227F7E" w:rsidRPr="000642B9">
        <w:rPr>
          <w:rFonts w:cs="Arial"/>
          <w:i/>
          <w:iCs/>
          <w:sz w:val="22"/>
          <w:lang w:val="en-US" w:eastAsia="en-GB"/>
        </w:rPr>
        <w:t xml:space="preserve">suggests that </w:t>
      </w:r>
      <w:r w:rsidR="00820D80" w:rsidRPr="000642B9">
        <w:rPr>
          <w:rFonts w:cs="Arial"/>
          <w:i/>
          <w:iCs/>
          <w:sz w:val="22"/>
          <w:lang w:val="en-US" w:eastAsia="en-GB"/>
        </w:rPr>
        <w:t xml:space="preserve">nicotine users </w:t>
      </w:r>
      <w:r w:rsidR="0048591C" w:rsidRPr="000642B9">
        <w:rPr>
          <w:rFonts w:cs="Arial"/>
          <w:i/>
          <w:iCs/>
          <w:sz w:val="22"/>
          <w:lang w:val="en-US" w:eastAsia="en-GB"/>
        </w:rPr>
        <w:t>would be exposed to higher risk by placing nicotine pouches on the market.</w:t>
      </w:r>
      <w:r w:rsidR="00436305" w:rsidRPr="000642B9">
        <w:rPr>
          <w:rFonts w:cs="Arial"/>
          <w:i/>
          <w:iCs/>
          <w:sz w:val="22"/>
          <w:lang w:val="en-US" w:eastAsia="en-GB"/>
        </w:rPr>
        <w:t xml:space="preserve"> The</w:t>
      </w:r>
      <w:r w:rsidR="008202DA" w:rsidRPr="000642B9">
        <w:rPr>
          <w:rFonts w:cs="Arial"/>
          <w:i/>
          <w:iCs/>
          <w:sz w:val="22"/>
          <w:lang w:val="en-US" w:eastAsia="en-GB"/>
        </w:rPr>
        <w:t xml:space="preserve"> Member States that clearly excel at </w:t>
      </w:r>
      <w:r w:rsidR="00076BA6">
        <w:rPr>
          <w:rFonts w:cs="Arial"/>
          <w:i/>
          <w:iCs/>
          <w:sz w:val="22"/>
          <w:lang w:val="en-US" w:eastAsia="en-GB"/>
        </w:rPr>
        <w:t>reducing</w:t>
      </w:r>
      <w:r w:rsidR="00076BA6" w:rsidRPr="000642B9">
        <w:rPr>
          <w:rFonts w:cs="Arial"/>
          <w:i/>
          <w:iCs/>
          <w:sz w:val="22"/>
          <w:lang w:val="en-US" w:eastAsia="en-GB"/>
        </w:rPr>
        <w:t xml:space="preserve"> </w:t>
      </w:r>
      <w:r w:rsidR="008202DA" w:rsidRPr="000642B9">
        <w:rPr>
          <w:rFonts w:cs="Arial"/>
          <w:i/>
          <w:iCs/>
          <w:sz w:val="22"/>
          <w:lang w:val="en-US" w:eastAsia="en-GB"/>
        </w:rPr>
        <w:t xml:space="preserve">tobacco harm </w:t>
      </w:r>
      <w:r w:rsidR="00C12B56">
        <w:rPr>
          <w:rFonts w:cs="Arial"/>
          <w:i/>
          <w:iCs/>
          <w:sz w:val="22"/>
          <w:lang w:val="en-US" w:eastAsia="en-GB"/>
        </w:rPr>
        <w:t>have</w:t>
      </w:r>
      <w:r w:rsidR="00A0040C">
        <w:rPr>
          <w:rFonts w:cs="Arial"/>
          <w:i/>
          <w:iCs/>
          <w:sz w:val="22"/>
          <w:lang w:val="en-US" w:eastAsia="en-GB"/>
        </w:rPr>
        <w:t xml:space="preserve"> </w:t>
      </w:r>
      <w:r w:rsidR="007015CC">
        <w:rPr>
          <w:rFonts w:cs="Arial"/>
          <w:i/>
          <w:iCs/>
          <w:sz w:val="22"/>
          <w:lang w:val="en-US" w:eastAsia="en-GB"/>
        </w:rPr>
        <w:t>nicotine pouches</w:t>
      </w:r>
      <w:r w:rsidR="00A0040C">
        <w:rPr>
          <w:rFonts w:cs="Arial"/>
          <w:i/>
          <w:iCs/>
          <w:sz w:val="22"/>
          <w:lang w:val="en-US" w:eastAsia="en-GB"/>
        </w:rPr>
        <w:t xml:space="preserve"> with </w:t>
      </w:r>
      <w:r w:rsidR="004D04DB">
        <w:rPr>
          <w:rFonts w:cs="Arial"/>
          <w:i/>
          <w:iCs/>
          <w:sz w:val="22"/>
          <w:lang w:val="en-US" w:eastAsia="en-GB"/>
        </w:rPr>
        <w:t>higher</w:t>
      </w:r>
      <w:r w:rsidR="00F97C23" w:rsidRPr="000642B9">
        <w:rPr>
          <w:rFonts w:cs="Arial"/>
          <w:i/>
          <w:iCs/>
          <w:sz w:val="22"/>
          <w:lang w:val="en-US" w:eastAsia="en-GB"/>
        </w:rPr>
        <w:t xml:space="preserve"> </w:t>
      </w:r>
      <w:r w:rsidR="00A0040C">
        <w:rPr>
          <w:rFonts w:cs="Arial"/>
          <w:i/>
          <w:iCs/>
          <w:sz w:val="22"/>
          <w:lang w:val="en-US" w:eastAsia="en-GB"/>
        </w:rPr>
        <w:t xml:space="preserve">nicotine concentration </w:t>
      </w:r>
      <w:r w:rsidR="00F97C23" w:rsidRPr="000642B9">
        <w:rPr>
          <w:rFonts w:cs="Arial"/>
          <w:i/>
          <w:iCs/>
          <w:sz w:val="22"/>
          <w:lang w:val="en-US" w:eastAsia="en-GB"/>
        </w:rPr>
        <w:t>available on the market showing that</w:t>
      </w:r>
      <w:r w:rsidR="00B27E9D">
        <w:rPr>
          <w:rFonts w:cs="Arial"/>
          <w:i/>
          <w:iCs/>
          <w:sz w:val="22"/>
          <w:lang w:val="en-US" w:eastAsia="en-GB"/>
        </w:rPr>
        <w:t xml:space="preserve"> </w:t>
      </w:r>
      <w:r w:rsidR="00A95EE9">
        <w:rPr>
          <w:rFonts w:cs="Arial"/>
          <w:i/>
          <w:iCs/>
          <w:sz w:val="22"/>
          <w:lang w:val="en-US" w:eastAsia="en-GB"/>
        </w:rPr>
        <w:t>Denmark</w:t>
      </w:r>
      <w:r w:rsidR="009B26B9" w:rsidRPr="000642B9">
        <w:rPr>
          <w:rFonts w:cs="Arial"/>
          <w:i/>
          <w:iCs/>
          <w:sz w:val="22"/>
          <w:lang w:val="en-US" w:eastAsia="en-GB"/>
        </w:rPr>
        <w:t xml:space="preserve"> could achieve </w:t>
      </w:r>
      <w:r w:rsidR="001266A0" w:rsidRPr="000642B9">
        <w:rPr>
          <w:rFonts w:cs="Arial"/>
          <w:i/>
          <w:iCs/>
          <w:sz w:val="22"/>
          <w:lang w:val="en-US" w:eastAsia="en-GB"/>
        </w:rPr>
        <w:t xml:space="preserve">even more ambitious </w:t>
      </w:r>
      <w:r w:rsidR="00A2055D" w:rsidRPr="000642B9">
        <w:rPr>
          <w:rFonts w:cs="Arial"/>
          <w:i/>
          <w:iCs/>
          <w:sz w:val="22"/>
          <w:lang w:val="en-US" w:eastAsia="en-GB"/>
        </w:rPr>
        <w:t xml:space="preserve">health objectives without </w:t>
      </w:r>
      <w:r w:rsidR="00C10BBB" w:rsidRPr="000642B9">
        <w:rPr>
          <w:rFonts w:cs="Arial"/>
          <w:i/>
          <w:iCs/>
          <w:sz w:val="22"/>
          <w:lang w:val="en-US" w:eastAsia="en-GB"/>
        </w:rPr>
        <w:t xml:space="preserve">this </w:t>
      </w:r>
      <w:r w:rsidR="005275CF" w:rsidRPr="000642B9">
        <w:rPr>
          <w:rFonts w:cs="Arial"/>
          <w:i/>
          <w:iCs/>
          <w:sz w:val="22"/>
          <w:lang w:val="en-US" w:eastAsia="en-GB"/>
        </w:rPr>
        <w:t>u</w:t>
      </w:r>
      <w:r w:rsidR="00F64C9F" w:rsidRPr="000642B9">
        <w:rPr>
          <w:rFonts w:cs="Arial"/>
          <w:i/>
          <w:iCs/>
          <w:sz w:val="22"/>
          <w:lang w:val="en-US" w:eastAsia="en-GB"/>
        </w:rPr>
        <w:t>nwarranted</w:t>
      </w:r>
      <w:r w:rsidR="00B04AB0">
        <w:rPr>
          <w:rFonts w:cs="Arial"/>
          <w:i/>
          <w:iCs/>
          <w:sz w:val="22"/>
          <w:lang w:val="en-US" w:eastAsia="en-GB"/>
        </w:rPr>
        <w:t>,</w:t>
      </w:r>
      <w:r w:rsidR="00F64C9F" w:rsidRPr="000642B9">
        <w:rPr>
          <w:rFonts w:cs="Arial"/>
          <w:i/>
          <w:iCs/>
          <w:sz w:val="22"/>
          <w:lang w:val="en-US" w:eastAsia="en-GB"/>
        </w:rPr>
        <w:t xml:space="preserve"> </w:t>
      </w:r>
      <w:r w:rsidR="001A2770">
        <w:rPr>
          <w:rFonts w:cs="Arial"/>
          <w:i/>
          <w:iCs/>
          <w:sz w:val="22"/>
          <w:lang w:val="en-US" w:eastAsia="en-GB"/>
        </w:rPr>
        <w:t xml:space="preserve">arbitrary </w:t>
      </w:r>
      <w:r w:rsidR="00B04AB0">
        <w:rPr>
          <w:rFonts w:cs="Arial"/>
          <w:i/>
          <w:iCs/>
          <w:sz w:val="22"/>
          <w:lang w:val="en-US" w:eastAsia="en-GB"/>
        </w:rPr>
        <w:t xml:space="preserve">and disproportionate </w:t>
      </w:r>
      <w:r w:rsidR="00EC5512">
        <w:rPr>
          <w:rFonts w:cs="Arial"/>
          <w:i/>
          <w:iCs/>
          <w:sz w:val="22"/>
          <w:lang w:val="en-US" w:eastAsia="en-GB"/>
        </w:rPr>
        <w:t xml:space="preserve">nicotine content </w:t>
      </w:r>
      <w:r w:rsidR="007015CC">
        <w:rPr>
          <w:rFonts w:cs="Arial"/>
          <w:i/>
          <w:iCs/>
          <w:sz w:val="22"/>
          <w:lang w:val="en-US" w:eastAsia="en-GB"/>
        </w:rPr>
        <w:t>limit</w:t>
      </w:r>
    </w:p>
    <w:bookmarkEnd w:id="7"/>
    <w:p w14:paraId="5090DF4F" w14:textId="77777777" w:rsidR="0072167E" w:rsidRPr="001772B8" w:rsidRDefault="0072167E" w:rsidP="001772B8">
      <w:pPr>
        <w:pStyle w:val="ListParagraph"/>
        <w:rPr>
          <w:rFonts w:cs="Arial"/>
          <w:i/>
          <w:iCs/>
          <w:sz w:val="22"/>
          <w:lang w:val="en-US" w:eastAsia="en-GB"/>
        </w:rPr>
      </w:pPr>
    </w:p>
    <w:p w14:paraId="6A767D24" w14:textId="089A441C" w:rsidR="00FC7E7C" w:rsidRPr="00AD77D3" w:rsidRDefault="001630B3" w:rsidP="00B8539A">
      <w:pPr>
        <w:pStyle w:val="ListParagraph"/>
        <w:numPr>
          <w:ilvl w:val="0"/>
          <w:numId w:val="7"/>
        </w:numPr>
        <w:rPr>
          <w:rFonts w:cs="Arial"/>
          <w:sz w:val="22"/>
          <w:lang w:val="en-US" w:eastAsia="en-GB"/>
        </w:rPr>
      </w:pPr>
      <w:r w:rsidRPr="00AD77D3">
        <w:rPr>
          <w:rFonts w:cs="Arial"/>
          <w:i/>
          <w:iCs/>
          <w:sz w:val="22"/>
          <w:lang w:val="en-US" w:eastAsia="en-GB"/>
        </w:rPr>
        <w:t xml:space="preserve">It is obvious to us that </w:t>
      </w:r>
      <w:r w:rsidR="00BB44A3" w:rsidRPr="00AD77D3">
        <w:rPr>
          <w:rFonts w:cs="Arial"/>
          <w:i/>
          <w:iCs/>
          <w:sz w:val="22"/>
          <w:lang w:val="en-US" w:eastAsia="en-GB"/>
        </w:rPr>
        <w:t xml:space="preserve">there are </w:t>
      </w:r>
      <w:r w:rsidR="00C03DA4" w:rsidRPr="00AD77D3">
        <w:rPr>
          <w:rFonts w:cs="Arial"/>
          <w:i/>
          <w:iCs/>
          <w:sz w:val="22"/>
          <w:lang w:val="en-US" w:eastAsia="en-GB"/>
        </w:rPr>
        <w:t>more purposeful</w:t>
      </w:r>
      <w:r w:rsidR="00BB44A3" w:rsidRPr="00AD77D3">
        <w:rPr>
          <w:rFonts w:cs="Arial"/>
          <w:i/>
          <w:iCs/>
          <w:sz w:val="22"/>
          <w:lang w:val="en-US" w:eastAsia="en-GB"/>
        </w:rPr>
        <w:t xml:space="preserve"> measures</w:t>
      </w:r>
      <w:r w:rsidR="00F45E82" w:rsidRPr="00AD77D3">
        <w:rPr>
          <w:rFonts w:cs="Arial"/>
          <w:i/>
          <w:iCs/>
          <w:sz w:val="22"/>
          <w:lang w:val="en-US" w:eastAsia="en-GB"/>
        </w:rPr>
        <w:t xml:space="preserve"> that can </w:t>
      </w:r>
      <w:r w:rsidR="005A0A3F" w:rsidRPr="00AD77D3">
        <w:rPr>
          <w:rFonts w:cs="Arial"/>
          <w:i/>
          <w:iCs/>
          <w:sz w:val="22"/>
          <w:lang w:val="en-US" w:eastAsia="en-GB"/>
        </w:rPr>
        <w:t>be used to tackle real and present issues</w:t>
      </w:r>
      <w:r w:rsidR="004D04DB" w:rsidRPr="00AD77D3">
        <w:rPr>
          <w:rFonts w:cs="Arial"/>
          <w:i/>
          <w:iCs/>
          <w:sz w:val="22"/>
          <w:lang w:val="en-US" w:eastAsia="en-GB"/>
        </w:rPr>
        <w:t xml:space="preserve"> related to the</w:t>
      </w:r>
      <w:r w:rsidR="00C03DA4" w:rsidRPr="00AD77D3">
        <w:rPr>
          <w:rFonts w:cs="Arial"/>
          <w:i/>
          <w:iCs/>
          <w:sz w:val="22"/>
          <w:lang w:val="en-US" w:eastAsia="en-GB"/>
        </w:rPr>
        <w:t xml:space="preserve"> underage</w:t>
      </w:r>
      <w:r w:rsidR="004D04DB" w:rsidRPr="00AD77D3">
        <w:rPr>
          <w:rFonts w:cs="Arial"/>
          <w:i/>
          <w:iCs/>
          <w:sz w:val="22"/>
          <w:lang w:val="en-US" w:eastAsia="en-GB"/>
        </w:rPr>
        <w:t xml:space="preserve"> consumption of tobacco</w:t>
      </w:r>
      <w:r w:rsidR="002077FF" w:rsidRPr="00AD77D3">
        <w:rPr>
          <w:rFonts w:cs="Arial"/>
          <w:i/>
          <w:iCs/>
          <w:sz w:val="22"/>
          <w:lang w:val="en-US" w:eastAsia="en-GB"/>
        </w:rPr>
        <w:t xml:space="preserve"> and/or nicotine</w:t>
      </w:r>
      <w:r w:rsidR="004D04DB" w:rsidRPr="00AD77D3">
        <w:rPr>
          <w:rFonts w:cs="Arial"/>
          <w:i/>
          <w:iCs/>
          <w:sz w:val="22"/>
          <w:lang w:val="en-US" w:eastAsia="en-GB"/>
        </w:rPr>
        <w:t>,</w:t>
      </w:r>
      <w:r w:rsidR="005A0A3F" w:rsidRPr="00AD77D3">
        <w:rPr>
          <w:rFonts w:cs="Arial"/>
          <w:i/>
          <w:iCs/>
          <w:sz w:val="22"/>
          <w:lang w:val="en-US" w:eastAsia="en-GB"/>
        </w:rPr>
        <w:t xml:space="preserve"> </w:t>
      </w:r>
      <w:r w:rsidR="003D4BD9" w:rsidRPr="00AD77D3">
        <w:rPr>
          <w:rFonts w:cs="Arial"/>
          <w:i/>
          <w:iCs/>
          <w:sz w:val="22"/>
          <w:lang w:val="en-US" w:eastAsia="en-GB"/>
        </w:rPr>
        <w:t xml:space="preserve">instead of </w:t>
      </w:r>
      <w:r w:rsidR="009B0357" w:rsidRPr="00AD77D3">
        <w:rPr>
          <w:rFonts w:cs="Arial"/>
          <w:i/>
          <w:iCs/>
          <w:sz w:val="22"/>
          <w:lang w:val="en-US" w:eastAsia="en-GB"/>
        </w:rPr>
        <w:t>an unduly low nicotine content limit</w:t>
      </w:r>
      <w:r w:rsidR="0068083F" w:rsidRPr="00AD77D3">
        <w:rPr>
          <w:rFonts w:cs="Arial"/>
          <w:i/>
          <w:iCs/>
          <w:sz w:val="22"/>
          <w:lang w:val="en-US" w:eastAsia="en-GB"/>
        </w:rPr>
        <w:t>, that by any definition will miss the target of no nicotine to underage persons</w:t>
      </w:r>
      <w:r w:rsidR="00E64871" w:rsidRPr="00AD77D3">
        <w:rPr>
          <w:rFonts w:cs="Arial"/>
          <w:i/>
          <w:iCs/>
          <w:sz w:val="22"/>
          <w:lang w:val="en-US" w:eastAsia="en-GB"/>
        </w:rPr>
        <w:t xml:space="preserve">. </w:t>
      </w:r>
      <w:bookmarkStart w:id="8" w:name="_Hlk183784919"/>
      <w:bookmarkStart w:id="9" w:name="_Hlk181035095"/>
      <w:r w:rsidR="00FC7E7C" w:rsidRPr="00AD77D3">
        <w:rPr>
          <w:rFonts w:cs="Arial"/>
          <w:i/>
          <w:iCs/>
          <w:sz w:val="22"/>
          <w:lang w:val="en-US" w:eastAsia="en-GB"/>
        </w:rPr>
        <w:t xml:space="preserve">The broader Danish prevention package already contain </w:t>
      </w:r>
      <w:proofErr w:type="gramStart"/>
      <w:r w:rsidR="00FC7E7C" w:rsidRPr="00AD77D3">
        <w:rPr>
          <w:rFonts w:cs="Arial"/>
          <w:i/>
          <w:iCs/>
          <w:sz w:val="22"/>
          <w:lang w:val="en-US" w:eastAsia="en-GB"/>
        </w:rPr>
        <w:t>a number of</w:t>
      </w:r>
      <w:proofErr w:type="gramEnd"/>
      <w:r w:rsidR="00FC7E7C" w:rsidRPr="00AD77D3">
        <w:rPr>
          <w:rFonts w:cs="Arial"/>
          <w:i/>
          <w:iCs/>
          <w:sz w:val="22"/>
          <w:lang w:val="en-US" w:eastAsia="en-GB"/>
        </w:rPr>
        <w:t xml:space="preserve"> far more </w:t>
      </w:r>
      <w:r w:rsidR="0068083F" w:rsidRPr="00AD77D3">
        <w:rPr>
          <w:rFonts w:cs="Arial"/>
          <w:i/>
          <w:iCs/>
          <w:sz w:val="22"/>
          <w:lang w:val="en-US" w:eastAsia="en-GB"/>
        </w:rPr>
        <w:t xml:space="preserve">effective and </w:t>
      </w:r>
      <w:r w:rsidR="00B64E4E" w:rsidRPr="00AD77D3">
        <w:rPr>
          <w:rFonts w:cs="Arial"/>
          <w:i/>
          <w:iCs/>
          <w:sz w:val="22"/>
          <w:lang w:val="en-US" w:eastAsia="en-GB"/>
        </w:rPr>
        <w:t xml:space="preserve">targeted </w:t>
      </w:r>
      <w:r w:rsidR="0068083F" w:rsidRPr="00AD77D3">
        <w:rPr>
          <w:rFonts w:cs="Arial"/>
          <w:i/>
          <w:iCs/>
          <w:sz w:val="22"/>
          <w:lang w:val="en-US" w:eastAsia="en-GB"/>
        </w:rPr>
        <w:t>measures</w:t>
      </w:r>
      <w:r w:rsidR="00E8092D" w:rsidRPr="00AD77D3">
        <w:rPr>
          <w:rFonts w:cs="Arial"/>
          <w:i/>
          <w:iCs/>
          <w:sz w:val="22"/>
          <w:lang w:val="en-US" w:eastAsia="en-GB"/>
        </w:rPr>
        <w:t>,</w:t>
      </w:r>
      <w:r w:rsidR="0068083F" w:rsidRPr="00AD77D3">
        <w:rPr>
          <w:rFonts w:cs="Arial"/>
          <w:i/>
          <w:iCs/>
          <w:sz w:val="22"/>
          <w:lang w:val="en-US" w:eastAsia="en-GB"/>
        </w:rPr>
        <w:t xml:space="preserve"> </w:t>
      </w:r>
      <w:r w:rsidR="00EF5E94" w:rsidRPr="00AD77D3">
        <w:rPr>
          <w:rFonts w:cs="Arial"/>
          <w:i/>
          <w:iCs/>
          <w:sz w:val="22"/>
          <w:lang w:val="en-US" w:eastAsia="en-GB"/>
        </w:rPr>
        <w:t>such as improved age verification and supervision</w:t>
      </w:r>
      <w:r w:rsidR="00E8092D" w:rsidRPr="00AD77D3">
        <w:rPr>
          <w:rFonts w:cs="Arial"/>
          <w:i/>
          <w:iCs/>
          <w:sz w:val="22"/>
          <w:lang w:val="en-US" w:eastAsia="en-GB"/>
        </w:rPr>
        <w:t>,</w:t>
      </w:r>
      <w:r w:rsidR="00EF5E94" w:rsidRPr="00AD77D3">
        <w:rPr>
          <w:rFonts w:cs="Arial"/>
          <w:i/>
          <w:iCs/>
          <w:sz w:val="22"/>
          <w:lang w:val="en-US" w:eastAsia="en-GB"/>
        </w:rPr>
        <w:t xml:space="preserve"> </w:t>
      </w:r>
      <w:r w:rsidR="0068083F" w:rsidRPr="00AD77D3">
        <w:rPr>
          <w:rFonts w:cs="Arial"/>
          <w:i/>
          <w:iCs/>
          <w:sz w:val="22"/>
          <w:lang w:val="en-US" w:eastAsia="en-GB"/>
        </w:rPr>
        <w:t xml:space="preserve">that does not have an undue effect </w:t>
      </w:r>
      <w:r w:rsidR="00EF5E94" w:rsidRPr="00AD77D3">
        <w:rPr>
          <w:rFonts w:cs="Arial"/>
          <w:i/>
          <w:iCs/>
          <w:sz w:val="22"/>
          <w:lang w:val="en-US" w:eastAsia="en-GB"/>
        </w:rPr>
        <w:t xml:space="preserve">outside the intended target group </w:t>
      </w:r>
      <w:r w:rsidR="00E8092D" w:rsidRPr="00AD77D3">
        <w:rPr>
          <w:rFonts w:cs="Arial"/>
          <w:i/>
          <w:iCs/>
          <w:sz w:val="22"/>
          <w:lang w:val="en-US" w:eastAsia="en-GB"/>
        </w:rPr>
        <w:t>(</w:t>
      </w:r>
      <w:r w:rsidR="00EF5E94" w:rsidRPr="00AD77D3">
        <w:rPr>
          <w:rFonts w:cs="Arial"/>
          <w:i/>
          <w:iCs/>
          <w:sz w:val="22"/>
          <w:lang w:val="en-US" w:eastAsia="en-GB"/>
        </w:rPr>
        <w:t>i.e. underage persons</w:t>
      </w:r>
      <w:r w:rsidR="00E8092D" w:rsidRPr="00AD77D3">
        <w:rPr>
          <w:rFonts w:cs="Arial"/>
          <w:i/>
          <w:iCs/>
          <w:sz w:val="22"/>
          <w:lang w:val="en-US" w:eastAsia="en-GB"/>
        </w:rPr>
        <w:t xml:space="preserve">) and </w:t>
      </w:r>
      <w:r w:rsidR="00EB79A0" w:rsidRPr="00AD77D3">
        <w:rPr>
          <w:rFonts w:cs="Arial"/>
          <w:i/>
          <w:iCs/>
          <w:sz w:val="22"/>
          <w:lang w:val="en-US" w:eastAsia="en-GB"/>
        </w:rPr>
        <w:t>whose enforcement should be further enhanced</w:t>
      </w:r>
      <w:r w:rsidR="00EF5E94" w:rsidRPr="00AD77D3">
        <w:rPr>
          <w:rFonts w:cs="Arial"/>
          <w:i/>
          <w:iCs/>
          <w:sz w:val="22"/>
          <w:lang w:val="en-US" w:eastAsia="en-GB"/>
        </w:rPr>
        <w:t xml:space="preserve">. </w:t>
      </w:r>
    </w:p>
    <w:bookmarkEnd w:id="8"/>
    <w:p w14:paraId="306FAA2A" w14:textId="77777777" w:rsidR="00FC7E7C" w:rsidRPr="00FC7E7C" w:rsidRDefault="00FC7E7C" w:rsidP="00FC7E7C">
      <w:pPr>
        <w:pStyle w:val="ListParagraph"/>
        <w:rPr>
          <w:rFonts w:cs="Arial"/>
          <w:sz w:val="22"/>
          <w:lang w:val="en-US" w:eastAsia="en-GB"/>
        </w:rPr>
      </w:pPr>
    </w:p>
    <w:p w14:paraId="3E15B463" w14:textId="77777777" w:rsidR="00FC7E7C" w:rsidRPr="00FC7E7C" w:rsidRDefault="00FC7E7C" w:rsidP="00FC7E7C">
      <w:pPr>
        <w:pStyle w:val="ListParagraph"/>
        <w:rPr>
          <w:rFonts w:cs="Arial"/>
          <w:sz w:val="22"/>
          <w:lang w:val="en-US" w:eastAsia="en-GB"/>
        </w:rPr>
      </w:pPr>
    </w:p>
    <w:p w14:paraId="7F8E8B46" w14:textId="22C23898" w:rsidR="00B907FA" w:rsidRPr="00FC7E7C" w:rsidRDefault="003B136C" w:rsidP="00FC7E7C">
      <w:pPr>
        <w:pStyle w:val="ListParagraph"/>
        <w:rPr>
          <w:rFonts w:cs="Arial"/>
          <w:sz w:val="22"/>
          <w:lang w:val="en-US" w:eastAsia="en-GB"/>
        </w:rPr>
      </w:pPr>
      <w:bookmarkStart w:id="10" w:name="_Hlk183785082"/>
      <w:r w:rsidRPr="00FC7E7C">
        <w:rPr>
          <w:rFonts w:cs="Arial"/>
          <w:sz w:val="22"/>
          <w:lang w:val="en-US" w:eastAsia="en-GB"/>
        </w:rPr>
        <w:t>We</w:t>
      </w:r>
      <w:r w:rsidR="00F6116C" w:rsidRPr="00FC7E7C">
        <w:rPr>
          <w:rFonts w:cs="Arial"/>
          <w:sz w:val="22"/>
          <w:lang w:val="en-US" w:eastAsia="en-GB"/>
        </w:rPr>
        <w:t xml:space="preserve"> </w:t>
      </w:r>
      <w:r w:rsidRPr="00FC7E7C">
        <w:rPr>
          <w:rFonts w:cs="Arial"/>
          <w:sz w:val="22"/>
          <w:lang w:val="en-US" w:eastAsia="en-GB"/>
        </w:rPr>
        <w:t>consider th</w:t>
      </w:r>
      <w:r w:rsidR="00F6116C" w:rsidRPr="00FC7E7C">
        <w:rPr>
          <w:rFonts w:cs="Arial"/>
          <w:sz w:val="22"/>
          <w:lang w:val="en-US" w:eastAsia="en-GB"/>
        </w:rPr>
        <w:t xml:space="preserve">at the proposed restrictions </w:t>
      </w:r>
      <w:r w:rsidR="00E06773" w:rsidRPr="00FC7E7C">
        <w:rPr>
          <w:rFonts w:cs="Arial"/>
          <w:sz w:val="22"/>
          <w:lang w:val="en-US" w:eastAsia="en-GB"/>
        </w:rPr>
        <w:t xml:space="preserve">preempt the revision of the </w:t>
      </w:r>
      <w:r w:rsidR="00FA77E2" w:rsidRPr="00FC7E7C">
        <w:rPr>
          <w:rFonts w:cs="Arial"/>
          <w:sz w:val="22"/>
          <w:lang w:val="en-US" w:eastAsia="en-GB"/>
        </w:rPr>
        <w:t xml:space="preserve">Tobacco Products Directive, </w:t>
      </w:r>
      <w:r w:rsidR="00F6116C" w:rsidRPr="00FC7E7C">
        <w:rPr>
          <w:rFonts w:cs="Arial"/>
          <w:sz w:val="22"/>
          <w:lang w:val="en-US" w:eastAsia="en-GB"/>
        </w:rPr>
        <w:t>violate the principle of non-discrimination and the freedom of trade and industry (Article 36 TFEU)</w:t>
      </w:r>
      <w:r w:rsidR="006350BA" w:rsidRPr="00FC7E7C">
        <w:rPr>
          <w:rFonts w:cs="Arial"/>
          <w:sz w:val="22"/>
          <w:lang w:val="en-US" w:eastAsia="en-GB"/>
        </w:rPr>
        <w:t xml:space="preserve">, </w:t>
      </w:r>
      <w:r w:rsidR="00D23540" w:rsidRPr="00FC7E7C">
        <w:rPr>
          <w:rFonts w:cs="Arial"/>
          <w:sz w:val="22"/>
          <w:lang w:val="en-US" w:eastAsia="en-GB"/>
        </w:rPr>
        <w:t xml:space="preserve">and </w:t>
      </w:r>
      <w:r w:rsidR="006350BA" w:rsidRPr="00FC7E7C">
        <w:rPr>
          <w:rFonts w:cs="Arial"/>
          <w:sz w:val="22"/>
          <w:lang w:val="en-US" w:eastAsia="en-GB"/>
        </w:rPr>
        <w:t xml:space="preserve">that they without due justification contradict legislation recently introduced in other EU Member </w:t>
      </w:r>
      <w:r w:rsidR="00EC56F6" w:rsidRPr="00FC7E7C">
        <w:rPr>
          <w:rFonts w:cs="Arial"/>
          <w:sz w:val="22"/>
          <w:lang w:val="en-US" w:eastAsia="en-GB"/>
        </w:rPr>
        <w:t>States.</w:t>
      </w:r>
    </w:p>
    <w:bookmarkEnd w:id="9"/>
    <w:bookmarkEnd w:id="10"/>
    <w:p w14:paraId="20E0798C" w14:textId="77777777" w:rsidR="00E41D07" w:rsidRPr="00E41D07" w:rsidRDefault="00E41D07" w:rsidP="00E41D07">
      <w:pPr>
        <w:rPr>
          <w:rFonts w:cs="Arial"/>
          <w:sz w:val="22"/>
          <w:lang w:val="en-US" w:eastAsia="en-GB"/>
        </w:rPr>
      </w:pPr>
    </w:p>
    <w:p w14:paraId="07B46561" w14:textId="2CE1E0DD" w:rsidR="00B907FA" w:rsidRDefault="00E41D07" w:rsidP="00E41D07">
      <w:pPr>
        <w:rPr>
          <w:rFonts w:cs="Arial"/>
          <w:sz w:val="22"/>
          <w:lang w:val="en-US" w:eastAsia="en-GB"/>
        </w:rPr>
      </w:pPr>
      <w:r w:rsidRPr="00E41D07">
        <w:rPr>
          <w:rFonts w:cs="Arial"/>
          <w:sz w:val="22"/>
          <w:lang w:val="en-US" w:eastAsia="en-GB"/>
        </w:rPr>
        <w:t>In conclusion, we strongly oppose the proposed restrictions</w:t>
      </w:r>
      <w:r>
        <w:rPr>
          <w:rFonts w:cs="Arial"/>
          <w:sz w:val="22"/>
          <w:lang w:val="en-US" w:eastAsia="en-GB"/>
        </w:rPr>
        <w:t xml:space="preserve">. </w:t>
      </w:r>
    </w:p>
    <w:p w14:paraId="14184371" w14:textId="77777777" w:rsidR="00B907FA" w:rsidRDefault="00B907FA" w:rsidP="00737337">
      <w:pPr>
        <w:rPr>
          <w:rFonts w:cs="Arial"/>
          <w:sz w:val="22"/>
          <w:lang w:val="en-US" w:eastAsia="en-GB"/>
        </w:rPr>
      </w:pPr>
    </w:p>
    <w:p w14:paraId="099114EA" w14:textId="77777777" w:rsidR="00B907FA" w:rsidRPr="00384309" w:rsidRDefault="00B907FA" w:rsidP="00737337">
      <w:pPr>
        <w:rPr>
          <w:rFonts w:cs="Arial"/>
          <w:sz w:val="22"/>
          <w:lang w:val="en-US" w:eastAsia="en-GB"/>
        </w:rPr>
      </w:pPr>
    </w:p>
    <w:p w14:paraId="6FF866C7" w14:textId="77777777" w:rsidR="00737337" w:rsidRPr="00384309" w:rsidRDefault="00737337" w:rsidP="00737337">
      <w:pPr>
        <w:rPr>
          <w:rFonts w:cs="Arial"/>
          <w:sz w:val="22"/>
          <w:lang w:val="en-US" w:eastAsia="en-GB"/>
        </w:rPr>
      </w:pPr>
      <w:r w:rsidRPr="00384309">
        <w:rPr>
          <w:rFonts w:cs="Arial"/>
          <w:sz w:val="22"/>
          <w:lang w:val="en-US" w:eastAsia="en-GB"/>
        </w:rPr>
        <w:t>För NNPA, Robert Casinge</w:t>
      </w:r>
    </w:p>
    <w:p w14:paraId="6F059BAC" w14:textId="77777777" w:rsidR="00220949" w:rsidRDefault="00737337" w:rsidP="00737337">
      <w:pPr>
        <w:rPr>
          <w:rFonts w:cs="Arial"/>
          <w:b/>
          <w:bCs/>
          <w:sz w:val="22"/>
        </w:rPr>
      </w:pPr>
      <w:r w:rsidRPr="003F70D6">
        <w:rPr>
          <w:rFonts w:cs="Arial"/>
          <w:sz w:val="22"/>
          <w:lang w:eastAsia="en-GB"/>
        </w:rPr>
        <w:t>Senior partner, regulatory affairs</w:t>
      </w:r>
      <w:r w:rsidR="00220949" w:rsidRPr="00220949">
        <w:rPr>
          <w:rFonts w:cs="Arial"/>
          <w:b/>
          <w:bCs/>
          <w:sz w:val="22"/>
        </w:rPr>
        <w:t xml:space="preserve"> </w:t>
      </w:r>
    </w:p>
    <w:p w14:paraId="26889BF9" w14:textId="02B8BF04" w:rsidR="005001C5" w:rsidRPr="003F70D6" w:rsidRDefault="00220949" w:rsidP="00737337">
      <w:pPr>
        <w:rPr>
          <w:rFonts w:cs="Arial"/>
          <w:sz w:val="22"/>
          <w:lang w:eastAsia="en-GB"/>
        </w:rPr>
      </w:pPr>
      <w:r w:rsidRPr="003F70D6">
        <w:rPr>
          <w:rFonts w:cs="Arial"/>
          <w:b/>
          <w:bCs/>
          <w:sz w:val="22"/>
        </w:rPr>
        <w:t>Brussels 2024-</w:t>
      </w:r>
      <w:r w:rsidR="00AD77D3">
        <w:rPr>
          <w:rFonts w:cs="Arial"/>
          <w:b/>
          <w:bCs/>
          <w:sz w:val="22"/>
        </w:rPr>
        <w:t>12-02</w:t>
      </w:r>
    </w:p>
    <w:sectPr w:rsidR="005001C5" w:rsidRPr="003F70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8E49" w14:textId="77777777" w:rsidR="002E1B40" w:rsidRDefault="002E1B40" w:rsidP="008E4FDB">
      <w:pPr>
        <w:spacing w:before="0" w:after="0"/>
      </w:pPr>
      <w:r>
        <w:separator/>
      </w:r>
    </w:p>
  </w:endnote>
  <w:endnote w:type="continuationSeparator" w:id="0">
    <w:p w14:paraId="71C28052" w14:textId="77777777" w:rsidR="002E1B40" w:rsidRDefault="002E1B40" w:rsidP="008E4FDB">
      <w:pPr>
        <w:spacing w:before="0" w:after="0"/>
      </w:pPr>
      <w:r>
        <w:continuationSeparator/>
      </w:r>
    </w:p>
  </w:endnote>
  <w:endnote w:type="continuationNotice" w:id="1">
    <w:p w14:paraId="1D01D75F" w14:textId="77777777" w:rsidR="002E1B40" w:rsidRDefault="002E1B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32B4" w14:textId="77777777" w:rsidR="002E1B40" w:rsidRDefault="002E1B40" w:rsidP="008E4FDB">
      <w:pPr>
        <w:spacing w:before="0" w:after="0"/>
      </w:pPr>
      <w:r>
        <w:separator/>
      </w:r>
    </w:p>
  </w:footnote>
  <w:footnote w:type="continuationSeparator" w:id="0">
    <w:p w14:paraId="1489EA1B" w14:textId="77777777" w:rsidR="002E1B40" w:rsidRDefault="002E1B40" w:rsidP="008E4FDB">
      <w:pPr>
        <w:spacing w:before="0" w:after="0"/>
      </w:pPr>
      <w:r>
        <w:continuationSeparator/>
      </w:r>
    </w:p>
  </w:footnote>
  <w:footnote w:type="continuationNotice" w:id="1">
    <w:p w14:paraId="77749DF4" w14:textId="77777777" w:rsidR="002E1B40" w:rsidRDefault="002E1B40">
      <w:pPr>
        <w:spacing w:before="0" w:after="0"/>
      </w:pPr>
    </w:p>
  </w:footnote>
  <w:footnote w:id="2">
    <w:p w14:paraId="4A261FB4" w14:textId="77777777" w:rsidR="00152B70" w:rsidRPr="001772B8" w:rsidRDefault="00152B70" w:rsidP="00152B70">
      <w:pPr>
        <w:pStyle w:val="FootnoteText"/>
        <w:rPr>
          <w:lang w:val="en-US"/>
        </w:rPr>
      </w:pPr>
      <w:r>
        <w:rPr>
          <w:rStyle w:val="FootnoteReference"/>
        </w:rPr>
        <w:footnoteRef/>
      </w:r>
      <w:r>
        <w:t xml:space="preserve"> </w:t>
      </w:r>
      <w:r w:rsidRPr="00E85858">
        <w:t>Global Burden o</w:t>
      </w:r>
      <w:r>
        <w:t>f</w:t>
      </w:r>
      <w:r w:rsidRPr="00E85858">
        <w:t xml:space="preserve"> Disease, survey:</w:t>
      </w:r>
      <w:r>
        <w:t xml:space="preserve"> </w:t>
      </w:r>
      <w:hyperlink r:id="rId1" w:history="1">
        <w:proofErr w:type="spellStart"/>
        <w:r w:rsidRPr="00E85858">
          <w:rPr>
            <w:rStyle w:val="Hyperlink"/>
          </w:rPr>
          <w:t>VizHub</w:t>
        </w:r>
        <w:proofErr w:type="spellEnd"/>
        <w:r w:rsidRPr="00E85858">
          <w:rPr>
            <w:rStyle w:val="Hyperlink"/>
          </w:rPr>
          <w:t xml:space="preserve"> - GBD Compare</w:t>
        </w:r>
      </w:hyperlink>
      <w:r>
        <w:t xml:space="preserve"> </w:t>
      </w:r>
    </w:p>
  </w:footnote>
  <w:footnote w:id="3">
    <w:p w14:paraId="636566EE" w14:textId="77777777" w:rsidR="00A40028" w:rsidRPr="00D00722" w:rsidRDefault="00A40028" w:rsidP="00A40028">
      <w:pPr>
        <w:pStyle w:val="FootnoteText"/>
        <w:rPr>
          <w:lang w:val="en-US"/>
        </w:rPr>
      </w:pPr>
      <w:r>
        <w:rPr>
          <w:rStyle w:val="FootnoteReference"/>
        </w:rPr>
        <w:footnoteRef/>
      </w:r>
      <w:r>
        <w:t xml:space="preserve"> </w:t>
      </w:r>
      <w:r w:rsidRPr="00AF6FE3">
        <w:rPr>
          <w:rFonts w:cs="Arial"/>
          <w:sz w:val="12"/>
          <w:szCs w:val="12"/>
          <w:lang w:val="en-US"/>
        </w:rPr>
        <w:t>TobaccoIntelligence.com</w:t>
      </w:r>
    </w:p>
  </w:footnote>
  <w:footnote w:id="4">
    <w:p w14:paraId="7265ACD7" w14:textId="0D2FD5FD" w:rsidR="003C45A3" w:rsidRPr="003C45A3" w:rsidRDefault="003C45A3">
      <w:pPr>
        <w:pStyle w:val="FootnoteText"/>
      </w:pPr>
      <w:r>
        <w:rPr>
          <w:rStyle w:val="FootnoteReference"/>
        </w:rPr>
        <w:footnoteRef/>
      </w:r>
      <w:r>
        <w:t xml:space="preserve"> </w:t>
      </w:r>
      <w:r w:rsidR="00EC63B6">
        <w:t>According to</w:t>
      </w:r>
      <w:r w:rsidR="00390935">
        <w:t xml:space="preserve"> 2023</w:t>
      </w:r>
      <w:r w:rsidR="00EC63B6">
        <w:t xml:space="preserve"> EU market</w:t>
      </w:r>
      <w:r w:rsidR="00390935">
        <w:t xml:space="preserve"> sales</w:t>
      </w:r>
      <w:r w:rsidR="00EC63B6">
        <w:t xml:space="preserve"> data </w:t>
      </w:r>
      <w:r w:rsidR="00D24548">
        <w:t>from</w:t>
      </w:r>
      <w:r w:rsidR="00F57006">
        <w:t xml:space="preserve"> </w:t>
      </w:r>
      <w:r w:rsidR="00B30EBD">
        <w:t>leading</w:t>
      </w:r>
      <w:r w:rsidR="00F57006">
        <w:t xml:space="preserve"> 15 </w:t>
      </w:r>
      <w:r w:rsidR="00105FC8">
        <w:t>nicotine pouch online retailers</w:t>
      </w:r>
      <w:r w:rsidR="00285D49">
        <w:t>,</w:t>
      </w:r>
      <w:r w:rsidR="00D24548">
        <w:t xml:space="preserve"> </w:t>
      </w:r>
      <w:r w:rsidR="009A0DDB">
        <w:t xml:space="preserve">Tobacco Intelligence </w:t>
      </w:r>
    </w:p>
  </w:footnote>
  <w:footnote w:id="5">
    <w:p w14:paraId="75CD7B56" w14:textId="77777777" w:rsidR="004F59BB" w:rsidRPr="001772B8" w:rsidRDefault="004F59BB" w:rsidP="004F59BB">
      <w:pPr>
        <w:pStyle w:val="FootnoteText"/>
        <w:rPr>
          <w:lang w:val="en-US"/>
        </w:rPr>
      </w:pPr>
      <w:r>
        <w:rPr>
          <w:rStyle w:val="FootnoteReference"/>
        </w:rPr>
        <w:footnoteRef/>
      </w:r>
      <w:r>
        <w:t xml:space="preserve"> </w:t>
      </w:r>
      <w:hyperlink r:id="rId2" w:history="1">
        <w:r w:rsidRPr="001772B8">
          <w:rPr>
            <w:rStyle w:val="Hyperlink"/>
            <w:rFonts w:cs="Arial"/>
            <w:sz w:val="12"/>
            <w:szCs w:val="12"/>
          </w:rPr>
          <w:t>https://www.bfr.bund.de/cm/349/health-risk-assessment-of-nicotine-pouches.pdf</w:t>
        </w:r>
      </w:hyperlink>
    </w:p>
  </w:footnote>
  <w:footnote w:id="6">
    <w:p w14:paraId="67017BE4" w14:textId="77777777" w:rsidR="004F59BB" w:rsidRPr="001772B8" w:rsidRDefault="004F59BB" w:rsidP="004F59BB">
      <w:pPr>
        <w:pStyle w:val="FootnoteText"/>
        <w:rPr>
          <w:rFonts w:ascii="Montserrat" w:hAnsi="Montserrat"/>
          <w:sz w:val="12"/>
          <w:szCs w:val="12"/>
          <w:lang w:val="en-US"/>
        </w:rPr>
      </w:pPr>
      <w:r>
        <w:rPr>
          <w:rStyle w:val="FootnoteReference"/>
        </w:rPr>
        <w:footnoteRef/>
      </w:r>
      <w:r>
        <w:t xml:space="preserve"> </w:t>
      </w:r>
      <w:bookmarkStart w:id="4" w:name="_Hlk183784552"/>
      <w:r>
        <w:fldChar w:fldCharType="begin"/>
      </w:r>
      <w:r>
        <w:instrText>HYPERLINK "https://cot.food.gov.uk/sites/default/files/2023-04/Publishable%20%20COT%20Oral%20nicotine%20pouches%20-%20final%20v1-0%20Acc%20V.pdf"</w:instrText>
      </w:r>
      <w:r>
        <w:fldChar w:fldCharType="separate"/>
      </w:r>
      <w:r w:rsidRPr="001772B8">
        <w:rPr>
          <w:rStyle w:val="Hyperlink"/>
          <w:rFonts w:cs="Arial"/>
          <w:sz w:val="12"/>
          <w:szCs w:val="12"/>
          <w:lang w:val="en-US"/>
        </w:rPr>
        <w:t>https://cot.food.gov.uk/sites/default/files/2023-04/Publishable%20%20COT%20Oral%20nicotine%20pouches%20-%20final%20v1-0%20Acc%20V.pdf</w:t>
      </w:r>
      <w:r>
        <w:rPr>
          <w:rStyle w:val="Hyperlink"/>
          <w:rFonts w:cs="Arial"/>
          <w:sz w:val="12"/>
          <w:szCs w:val="12"/>
          <w:lang w:val="en-US"/>
        </w:rPr>
        <w:fldChar w:fldCharType="end"/>
      </w:r>
      <w:r w:rsidRPr="001772B8">
        <w:rPr>
          <w:sz w:val="12"/>
          <w:szCs w:val="12"/>
          <w:lang w:val="en-US"/>
        </w:rPr>
        <w:t xml:space="preserve"> </w:t>
      </w:r>
      <w:bookmarkEnd w:id="4"/>
    </w:p>
  </w:footnote>
  <w:footnote w:id="7">
    <w:p w14:paraId="3EFAB82A" w14:textId="77777777" w:rsidR="004F59BB" w:rsidRPr="001772B8" w:rsidRDefault="004F59BB" w:rsidP="004F59BB">
      <w:pPr>
        <w:pStyle w:val="FootnoteText"/>
        <w:rPr>
          <w:lang w:val="en-US"/>
        </w:rPr>
      </w:pPr>
      <w:r>
        <w:rPr>
          <w:rStyle w:val="FootnoteReference"/>
        </w:rPr>
        <w:footnoteRef/>
      </w:r>
      <w:bookmarkStart w:id="5" w:name="_Hlk183784569"/>
      <w:r w:rsidRPr="001772B8">
        <w:rPr>
          <w:lang w:val="en-US"/>
        </w:rPr>
        <w:t xml:space="preserve"> </w:t>
      </w:r>
      <w:hyperlink r:id="rId3" w:history="1">
        <w:r w:rsidRPr="001772B8">
          <w:rPr>
            <w:rStyle w:val="Hyperlink"/>
            <w:rFonts w:cs="Arial"/>
            <w:sz w:val="12"/>
            <w:szCs w:val="12"/>
            <w:lang w:val="en-US"/>
          </w:rPr>
          <w:t>https://www.rivm.nl/publicaties/nicotineproducten-zonder-tabak-voor-recreatief-gebruik</w:t>
        </w:r>
      </w:hyperlink>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69AC"/>
    <w:multiLevelType w:val="hybridMultilevel"/>
    <w:tmpl w:val="B492C4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15222B"/>
    <w:multiLevelType w:val="hybridMultilevel"/>
    <w:tmpl w:val="1988F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0E4C3E"/>
    <w:multiLevelType w:val="hybridMultilevel"/>
    <w:tmpl w:val="5B52C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734038"/>
    <w:multiLevelType w:val="hybridMultilevel"/>
    <w:tmpl w:val="67CC5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757D05"/>
    <w:multiLevelType w:val="hybridMultilevel"/>
    <w:tmpl w:val="FC3E9548"/>
    <w:lvl w:ilvl="0" w:tplc="82BE4DA0">
      <w:start w:val="1"/>
      <w:numFmt w:val="bullet"/>
      <w:lvlText w:val=""/>
      <w:lvlJc w:val="left"/>
      <w:pPr>
        <w:ind w:left="720" w:hanging="360"/>
      </w:pPr>
      <w:rPr>
        <w:rFonts w:ascii="Symbol" w:hAnsi="Symbol"/>
      </w:rPr>
    </w:lvl>
    <w:lvl w:ilvl="1" w:tplc="6CEC1D6A">
      <w:start w:val="1"/>
      <w:numFmt w:val="bullet"/>
      <w:lvlText w:val=""/>
      <w:lvlJc w:val="left"/>
      <w:pPr>
        <w:ind w:left="720" w:hanging="360"/>
      </w:pPr>
      <w:rPr>
        <w:rFonts w:ascii="Symbol" w:hAnsi="Symbol"/>
      </w:rPr>
    </w:lvl>
    <w:lvl w:ilvl="2" w:tplc="BDDA0E2C">
      <w:start w:val="1"/>
      <w:numFmt w:val="bullet"/>
      <w:lvlText w:val=""/>
      <w:lvlJc w:val="left"/>
      <w:pPr>
        <w:ind w:left="720" w:hanging="360"/>
      </w:pPr>
      <w:rPr>
        <w:rFonts w:ascii="Symbol" w:hAnsi="Symbol"/>
      </w:rPr>
    </w:lvl>
    <w:lvl w:ilvl="3" w:tplc="F15E3090">
      <w:start w:val="1"/>
      <w:numFmt w:val="bullet"/>
      <w:lvlText w:val=""/>
      <w:lvlJc w:val="left"/>
      <w:pPr>
        <w:ind w:left="720" w:hanging="360"/>
      </w:pPr>
      <w:rPr>
        <w:rFonts w:ascii="Symbol" w:hAnsi="Symbol"/>
      </w:rPr>
    </w:lvl>
    <w:lvl w:ilvl="4" w:tplc="4A448E6C">
      <w:start w:val="1"/>
      <w:numFmt w:val="bullet"/>
      <w:lvlText w:val=""/>
      <w:lvlJc w:val="left"/>
      <w:pPr>
        <w:ind w:left="720" w:hanging="360"/>
      </w:pPr>
      <w:rPr>
        <w:rFonts w:ascii="Symbol" w:hAnsi="Symbol"/>
      </w:rPr>
    </w:lvl>
    <w:lvl w:ilvl="5" w:tplc="6E949752">
      <w:start w:val="1"/>
      <w:numFmt w:val="bullet"/>
      <w:lvlText w:val=""/>
      <w:lvlJc w:val="left"/>
      <w:pPr>
        <w:ind w:left="720" w:hanging="360"/>
      </w:pPr>
      <w:rPr>
        <w:rFonts w:ascii="Symbol" w:hAnsi="Symbol"/>
      </w:rPr>
    </w:lvl>
    <w:lvl w:ilvl="6" w:tplc="C06A4D96">
      <w:start w:val="1"/>
      <w:numFmt w:val="bullet"/>
      <w:lvlText w:val=""/>
      <w:lvlJc w:val="left"/>
      <w:pPr>
        <w:ind w:left="720" w:hanging="360"/>
      </w:pPr>
      <w:rPr>
        <w:rFonts w:ascii="Symbol" w:hAnsi="Symbol"/>
      </w:rPr>
    </w:lvl>
    <w:lvl w:ilvl="7" w:tplc="DD2803E2">
      <w:start w:val="1"/>
      <w:numFmt w:val="bullet"/>
      <w:lvlText w:val=""/>
      <w:lvlJc w:val="left"/>
      <w:pPr>
        <w:ind w:left="720" w:hanging="360"/>
      </w:pPr>
      <w:rPr>
        <w:rFonts w:ascii="Symbol" w:hAnsi="Symbol"/>
      </w:rPr>
    </w:lvl>
    <w:lvl w:ilvl="8" w:tplc="668EE3D6">
      <w:start w:val="1"/>
      <w:numFmt w:val="bullet"/>
      <w:lvlText w:val=""/>
      <w:lvlJc w:val="left"/>
      <w:pPr>
        <w:ind w:left="720" w:hanging="360"/>
      </w:pPr>
      <w:rPr>
        <w:rFonts w:ascii="Symbol" w:hAnsi="Symbol"/>
      </w:rPr>
    </w:lvl>
  </w:abstractNum>
  <w:abstractNum w:abstractNumId="5" w15:restartNumberingAfterBreak="0">
    <w:nsid w:val="661803A2"/>
    <w:multiLevelType w:val="multilevel"/>
    <w:tmpl w:val="C678615C"/>
    <w:lvl w:ilvl="0">
      <w:start w:val="1"/>
      <w:numFmt w:val="decimal"/>
      <w:pStyle w:val="FWBL1"/>
      <w:lvlText w:val="%1."/>
      <w:lvlJc w:val="left"/>
      <w:pPr>
        <w:tabs>
          <w:tab w:val="num" w:pos="720"/>
        </w:tabs>
        <w:ind w:left="0" w:firstLine="0"/>
      </w:pPr>
      <w:rPr>
        <w:rFonts w:ascii="Arial" w:hAnsi="Arial" w:cs="Arial" w:hint="default"/>
        <w:b/>
        <w:i w:val="0"/>
        <w:caps w:val="0"/>
        <w:strike w:val="0"/>
        <w:dstrike w:val="0"/>
        <w:color w:val="auto"/>
        <w:u w:val="none"/>
        <w:effect w:val="none"/>
      </w:rPr>
    </w:lvl>
    <w:lvl w:ilvl="1">
      <w:start w:val="1"/>
      <w:numFmt w:val="decimal"/>
      <w:pStyle w:val="FWBL2"/>
      <w:lvlText w:val="%1.%2"/>
      <w:lvlJc w:val="left"/>
      <w:pPr>
        <w:tabs>
          <w:tab w:val="num" w:pos="1995"/>
        </w:tabs>
        <w:ind w:left="1275" w:firstLine="0"/>
      </w:pPr>
      <w:rPr>
        <w:rFonts w:ascii="Arial" w:hAnsi="Arial" w:cs="Arial" w:hint="default"/>
        <w:b/>
        <w:i w:val="0"/>
        <w:caps w:val="0"/>
        <w:strike w:val="0"/>
        <w:dstrike w:val="0"/>
        <w:color w:val="auto"/>
        <w:sz w:val="28"/>
        <w:szCs w:val="28"/>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216"/>
        </w:tabs>
        <w:ind w:left="216" w:hanging="216"/>
      </w:pPr>
      <w:rPr>
        <w:rFonts w:ascii="Times New Roman" w:hAnsi="Times New Roman" w:cs="Times New Roman"/>
        <w:b w:val="0"/>
        <w:i w:val="0"/>
        <w:caps w:val="0"/>
        <w:strike w:val="0"/>
        <w:dstrike w:val="0"/>
        <w:color w:val="auto"/>
        <w:u w:val="none"/>
        <w:effect w:val="none"/>
      </w:rPr>
    </w:lvl>
    <w:lvl w:ilvl="4">
      <w:start w:val="1"/>
      <w:numFmt w:val="lowerLetter"/>
      <w:pStyle w:val="FWBL5"/>
      <w:lvlText w:val="%5)"/>
      <w:lvlJc w:val="left"/>
      <w:pPr>
        <w:tabs>
          <w:tab w:val="num" w:pos="2160"/>
        </w:tabs>
        <w:ind w:left="2160" w:hanging="720"/>
      </w:pPr>
      <w:rPr>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num w:numId="1" w16cid:durableId="1546331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 w16cid:durableId="529103164">
    <w:abstractNumId w:val="3"/>
  </w:num>
  <w:num w:numId="3" w16cid:durableId="575432839">
    <w:abstractNumId w:val="4"/>
  </w:num>
  <w:num w:numId="4" w16cid:durableId="589047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457417">
    <w:abstractNumId w:val="2"/>
  </w:num>
  <w:num w:numId="6" w16cid:durableId="50159060">
    <w:abstractNumId w:val="0"/>
  </w:num>
  <w:num w:numId="7" w16cid:durableId="30782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B"/>
    <w:rsid w:val="00000E0F"/>
    <w:rsid w:val="00002113"/>
    <w:rsid w:val="0000645F"/>
    <w:rsid w:val="00010288"/>
    <w:rsid w:val="00011E84"/>
    <w:rsid w:val="00013A5F"/>
    <w:rsid w:val="0001513D"/>
    <w:rsid w:val="00017ED9"/>
    <w:rsid w:val="0002148A"/>
    <w:rsid w:val="00023BA2"/>
    <w:rsid w:val="00025F07"/>
    <w:rsid w:val="000319A9"/>
    <w:rsid w:val="000321AF"/>
    <w:rsid w:val="00033163"/>
    <w:rsid w:val="00040A55"/>
    <w:rsid w:val="00041EA8"/>
    <w:rsid w:val="00043320"/>
    <w:rsid w:val="0004343A"/>
    <w:rsid w:val="000441EC"/>
    <w:rsid w:val="00044811"/>
    <w:rsid w:val="00045436"/>
    <w:rsid w:val="00046A6B"/>
    <w:rsid w:val="0005238C"/>
    <w:rsid w:val="00060C15"/>
    <w:rsid w:val="0006159C"/>
    <w:rsid w:val="000642B9"/>
    <w:rsid w:val="000654FA"/>
    <w:rsid w:val="0006701D"/>
    <w:rsid w:val="00067882"/>
    <w:rsid w:val="00067ACC"/>
    <w:rsid w:val="00071493"/>
    <w:rsid w:val="00072157"/>
    <w:rsid w:val="00076BA6"/>
    <w:rsid w:val="000779BE"/>
    <w:rsid w:val="00082657"/>
    <w:rsid w:val="00082D6E"/>
    <w:rsid w:val="00082E5F"/>
    <w:rsid w:val="00083F56"/>
    <w:rsid w:val="00086959"/>
    <w:rsid w:val="00086BB3"/>
    <w:rsid w:val="00093D72"/>
    <w:rsid w:val="00094DF1"/>
    <w:rsid w:val="00095B5C"/>
    <w:rsid w:val="00096830"/>
    <w:rsid w:val="000971AF"/>
    <w:rsid w:val="000A7CE3"/>
    <w:rsid w:val="000B1632"/>
    <w:rsid w:val="000B2194"/>
    <w:rsid w:val="000B313B"/>
    <w:rsid w:val="000B52CC"/>
    <w:rsid w:val="000B72D3"/>
    <w:rsid w:val="000C24E0"/>
    <w:rsid w:val="000D3868"/>
    <w:rsid w:val="000D6B05"/>
    <w:rsid w:val="000F4ADF"/>
    <w:rsid w:val="000F5823"/>
    <w:rsid w:val="000F6220"/>
    <w:rsid w:val="0010058C"/>
    <w:rsid w:val="0010176F"/>
    <w:rsid w:val="00101777"/>
    <w:rsid w:val="00101B32"/>
    <w:rsid w:val="00101CF8"/>
    <w:rsid w:val="0010452C"/>
    <w:rsid w:val="00105152"/>
    <w:rsid w:val="00105FC8"/>
    <w:rsid w:val="001157A6"/>
    <w:rsid w:val="00115F23"/>
    <w:rsid w:val="0011748D"/>
    <w:rsid w:val="00117FC3"/>
    <w:rsid w:val="00120837"/>
    <w:rsid w:val="00121B12"/>
    <w:rsid w:val="00122663"/>
    <w:rsid w:val="001246F4"/>
    <w:rsid w:val="00125263"/>
    <w:rsid w:val="001266A0"/>
    <w:rsid w:val="0013437E"/>
    <w:rsid w:val="00142C77"/>
    <w:rsid w:val="001454FD"/>
    <w:rsid w:val="00145CA7"/>
    <w:rsid w:val="001501E9"/>
    <w:rsid w:val="00152B70"/>
    <w:rsid w:val="001540AD"/>
    <w:rsid w:val="00155CD2"/>
    <w:rsid w:val="00156A4F"/>
    <w:rsid w:val="00157905"/>
    <w:rsid w:val="001630B3"/>
    <w:rsid w:val="00163895"/>
    <w:rsid w:val="00164A7C"/>
    <w:rsid w:val="00172A5F"/>
    <w:rsid w:val="00174849"/>
    <w:rsid w:val="001752C4"/>
    <w:rsid w:val="00176F6C"/>
    <w:rsid w:val="001772B8"/>
    <w:rsid w:val="00177EC8"/>
    <w:rsid w:val="00184962"/>
    <w:rsid w:val="00186A19"/>
    <w:rsid w:val="00191767"/>
    <w:rsid w:val="001968A0"/>
    <w:rsid w:val="001A1BCD"/>
    <w:rsid w:val="001A26BD"/>
    <w:rsid w:val="001A2770"/>
    <w:rsid w:val="001A3714"/>
    <w:rsid w:val="001A4247"/>
    <w:rsid w:val="001A4ABD"/>
    <w:rsid w:val="001A53D2"/>
    <w:rsid w:val="001B08C4"/>
    <w:rsid w:val="001B0DFC"/>
    <w:rsid w:val="001B1600"/>
    <w:rsid w:val="001B1DB2"/>
    <w:rsid w:val="001B4AD9"/>
    <w:rsid w:val="001B626F"/>
    <w:rsid w:val="001C313D"/>
    <w:rsid w:val="001D36D9"/>
    <w:rsid w:val="001E1BE0"/>
    <w:rsid w:val="001E2648"/>
    <w:rsid w:val="001E5B6B"/>
    <w:rsid w:val="001F2518"/>
    <w:rsid w:val="001F4665"/>
    <w:rsid w:val="001F5B45"/>
    <w:rsid w:val="001F7FD3"/>
    <w:rsid w:val="002001D6"/>
    <w:rsid w:val="00204392"/>
    <w:rsid w:val="00207182"/>
    <w:rsid w:val="002074D2"/>
    <w:rsid w:val="002077FF"/>
    <w:rsid w:val="002136D0"/>
    <w:rsid w:val="002164A0"/>
    <w:rsid w:val="002200DF"/>
    <w:rsid w:val="002208D4"/>
    <w:rsid w:val="00220949"/>
    <w:rsid w:val="002215FC"/>
    <w:rsid w:val="00222741"/>
    <w:rsid w:val="00222B23"/>
    <w:rsid w:val="002263A7"/>
    <w:rsid w:val="002269C7"/>
    <w:rsid w:val="002279E7"/>
    <w:rsid w:val="00227B28"/>
    <w:rsid w:val="00227F7E"/>
    <w:rsid w:val="00233E27"/>
    <w:rsid w:val="0023708E"/>
    <w:rsid w:val="00237C94"/>
    <w:rsid w:val="00237CAB"/>
    <w:rsid w:val="0024182F"/>
    <w:rsid w:val="00246575"/>
    <w:rsid w:val="00246579"/>
    <w:rsid w:val="002475D6"/>
    <w:rsid w:val="0025366D"/>
    <w:rsid w:val="00253B08"/>
    <w:rsid w:val="002545F3"/>
    <w:rsid w:val="00260A9B"/>
    <w:rsid w:val="00261ACA"/>
    <w:rsid w:val="00263BCC"/>
    <w:rsid w:val="00265092"/>
    <w:rsid w:val="00266968"/>
    <w:rsid w:val="00266F28"/>
    <w:rsid w:val="00276EE7"/>
    <w:rsid w:val="00277450"/>
    <w:rsid w:val="00277FE4"/>
    <w:rsid w:val="00281391"/>
    <w:rsid w:val="00285D49"/>
    <w:rsid w:val="00285D93"/>
    <w:rsid w:val="00286B3E"/>
    <w:rsid w:val="00290485"/>
    <w:rsid w:val="002963F2"/>
    <w:rsid w:val="002A137A"/>
    <w:rsid w:val="002A5450"/>
    <w:rsid w:val="002B290C"/>
    <w:rsid w:val="002B50B5"/>
    <w:rsid w:val="002B6D67"/>
    <w:rsid w:val="002B7F84"/>
    <w:rsid w:val="002C4AA9"/>
    <w:rsid w:val="002C7CAD"/>
    <w:rsid w:val="002D37DA"/>
    <w:rsid w:val="002D3968"/>
    <w:rsid w:val="002D5784"/>
    <w:rsid w:val="002E1B40"/>
    <w:rsid w:val="002E3C76"/>
    <w:rsid w:val="002F3D1A"/>
    <w:rsid w:val="002F3E78"/>
    <w:rsid w:val="002F401D"/>
    <w:rsid w:val="002F5379"/>
    <w:rsid w:val="00302A41"/>
    <w:rsid w:val="00303085"/>
    <w:rsid w:val="0030485C"/>
    <w:rsid w:val="00304C50"/>
    <w:rsid w:val="00304D97"/>
    <w:rsid w:val="00306A2C"/>
    <w:rsid w:val="00307C49"/>
    <w:rsid w:val="003134DE"/>
    <w:rsid w:val="00320102"/>
    <w:rsid w:val="0032058B"/>
    <w:rsid w:val="0032264B"/>
    <w:rsid w:val="00324B1B"/>
    <w:rsid w:val="00325E25"/>
    <w:rsid w:val="0033379F"/>
    <w:rsid w:val="0033427B"/>
    <w:rsid w:val="003349EF"/>
    <w:rsid w:val="00342538"/>
    <w:rsid w:val="003428E5"/>
    <w:rsid w:val="00342B41"/>
    <w:rsid w:val="00343786"/>
    <w:rsid w:val="00343E6E"/>
    <w:rsid w:val="00350848"/>
    <w:rsid w:val="0035393D"/>
    <w:rsid w:val="003549E0"/>
    <w:rsid w:val="00354B4B"/>
    <w:rsid w:val="00360ABD"/>
    <w:rsid w:val="00361338"/>
    <w:rsid w:val="00361C37"/>
    <w:rsid w:val="00367838"/>
    <w:rsid w:val="00370031"/>
    <w:rsid w:val="00372698"/>
    <w:rsid w:val="00377F06"/>
    <w:rsid w:val="0038380F"/>
    <w:rsid w:val="00384309"/>
    <w:rsid w:val="003869A7"/>
    <w:rsid w:val="00390935"/>
    <w:rsid w:val="003929EE"/>
    <w:rsid w:val="003935AD"/>
    <w:rsid w:val="003A063C"/>
    <w:rsid w:val="003A228A"/>
    <w:rsid w:val="003A2550"/>
    <w:rsid w:val="003A2F7B"/>
    <w:rsid w:val="003A5BCE"/>
    <w:rsid w:val="003A6008"/>
    <w:rsid w:val="003A605A"/>
    <w:rsid w:val="003B0CEA"/>
    <w:rsid w:val="003B136C"/>
    <w:rsid w:val="003B3D87"/>
    <w:rsid w:val="003C035A"/>
    <w:rsid w:val="003C1426"/>
    <w:rsid w:val="003C45A3"/>
    <w:rsid w:val="003C54FA"/>
    <w:rsid w:val="003D14DD"/>
    <w:rsid w:val="003D27D9"/>
    <w:rsid w:val="003D4495"/>
    <w:rsid w:val="003D4BD9"/>
    <w:rsid w:val="003D4F15"/>
    <w:rsid w:val="003D64AB"/>
    <w:rsid w:val="003D6987"/>
    <w:rsid w:val="003E0D63"/>
    <w:rsid w:val="003E225D"/>
    <w:rsid w:val="003E2EEB"/>
    <w:rsid w:val="003E3B79"/>
    <w:rsid w:val="003E465F"/>
    <w:rsid w:val="003F1959"/>
    <w:rsid w:val="003F70D6"/>
    <w:rsid w:val="003F7896"/>
    <w:rsid w:val="00404846"/>
    <w:rsid w:val="00410190"/>
    <w:rsid w:val="00413A4D"/>
    <w:rsid w:val="004168F0"/>
    <w:rsid w:val="00416FAD"/>
    <w:rsid w:val="00427190"/>
    <w:rsid w:val="00427EF2"/>
    <w:rsid w:val="00430FD5"/>
    <w:rsid w:val="0043195E"/>
    <w:rsid w:val="004332EA"/>
    <w:rsid w:val="00435530"/>
    <w:rsid w:val="00436305"/>
    <w:rsid w:val="00441774"/>
    <w:rsid w:val="00442576"/>
    <w:rsid w:val="0044551D"/>
    <w:rsid w:val="00452932"/>
    <w:rsid w:val="00456212"/>
    <w:rsid w:val="00456861"/>
    <w:rsid w:val="00456918"/>
    <w:rsid w:val="0045748D"/>
    <w:rsid w:val="00460B99"/>
    <w:rsid w:val="0046169C"/>
    <w:rsid w:val="004634A4"/>
    <w:rsid w:val="00463F3B"/>
    <w:rsid w:val="004731A3"/>
    <w:rsid w:val="00476FD1"/>
    <w:rsid w:val="00480409"/>
    <w:rsid w:val="00480AE7"/>
    <w:rsid w:val="0048591C"/>
    <w:rsid w:val="0049093E"/>
    <w:rsid w:val="00493EBB"/>
    <w:rsid w:val="00497A61"/>
    <w:rsid w:val="004A058D"/>
    <w:rsid w:val="004A1B61"/>
    <w:rsid w:val="004A3780"/>
    <w:rsid w:val="004B0BDF"/>
    <w:rsid w:val="004B3E12"/>
    <w:rsid w:val="004B59D3"/>
    <w:rsid w:val="004C08AB"/>
    <w:rsid w:val="004C3981"/>
    <w:rsid w:val="004C3DD5"/>
    <w:rsid w:val="004C49CA"/>
    <w:rsid w:val="004C5804"/>
    <w:rsid w:val="004D04DB"/>
    <w:rsid w:val="004E0C0A"/>
    <w:rsid w:val="004E23A1"/>
    <w:rsid w:val="004E2B2C"/>
    <w:rsid w:val="004F1705"/>
    <w:rsid w:val="004F1820"/>
    <w:rsid w:val="004F1AE1"/>
    <w:rsid w:val="004F59BB"/>
    <w:rsid w:val="004F70D4"/>
    <w:rsid w:val="005001C5"/>
    <w:rsid w:val="00503C5A"/>
    <w:rsid w:val="00503E02"/>
    <w:rsid w:val="00510268"/>
    <w:rsid w:val="0051171C"/>
    <w:rsid w:val="005143F6"/>
    <w:rsid w:val="005175B9"/>
    <w:rsid w:val="00517D64"/>
    <w:rsid w:val="00522ADD"/>
    <w:rsid w:val="005237FF"/>
    <w:rsid w:val="005275CF"/>
    <w:rsid w:val="005320BF"/>
    <w:rsid w:val="0054174D"/>
    <w:rsid w:val="0055010F"/>
    <w:rsid w:val="005512EB"/>
    <w:rsid w:val="00553B63"/>
    <w:rsid w:val="00553D02"/>
    <w:rsid w:val="00556438"/>
    <w:rsid w:val="00577515"/>
    <w:rsid w:val="005777E1"/>
    <w:rsid w:val="00583F99"/>
    <w:rsid w:val="00584491"/>
    <w:rsid w:val="00587C24"/>
    <w:rsid w:val="005910C0"/>
    <w:rsid w:val="00591AA7"/>
    <w:rsid w:val="0059616B"/>
    <w:rsid w:val="005973DC"/>
    <w:rsid w:val="005A0A3F"/>
    <w:rsid w:val="005A0BFA"/>
    <w:rsid w:val="005A1C08"/>
    <w:rsid w:val="005A37E3"/>
    <w:rsid w:val="005B0991"/>
    <w:rsid w:val="005B1C36"/>
    <w:rsid w:val="005C05A5"/>
    <w:rsid w:val="005C4222"/>
    <w:rsid w:val="005D0467"/>
    <w:rsid w:val="005D434B"/>
    <w:rsid w:val="005D4C60"/>
    <w:rsid w:val="005D54A5"/>
    <w:rsid w:val="005D6F31"/>
    <w:rsid w:val="005D79C1"/>
    <w:rsid w:val="005E0B3C"/>
    <w:rsid w:val="005E44AE"/>
    <w:rsid w:val="005E7369"/>
    <w:rsid w:val="005F0245"/>
    <w:rsid w:val="005F29CB"/>
    <w:rsid w:val="005F4B13"/>
    <w:rsid w:val="0060169F"/>
    <w:rsid w:val="006027FC"/>
    <w:rsid w:val="00605636"/>
    <w:rsid w:val="0060576C"/>
    <w:rsid w:val="00615FF8"/>
    <w:rsid w:val="0062392F"/>
    <w:rsid w:val="0062690E"/>
    <w:rsid w:val="00627541"/>
    <w:rsid w:val="006308D8"/>
    <w:rsid w:val="00630ECA"/>
    <w:rsid w:val="006310C7"/>
    <w:rsid w:val="0063465B"/>
    <w:rsid w:val="006350BA"/>
    <w:rsid w:val="006354DD"/>
    <w:rsid w:val="00645A4E"/>
    <w:rsid w:val="0064711F"/>
    <w:rsid w:val="006510AA"/>
    <w:rsid w:val="0065161E"/>
    <w:rsid w:val="00652B56"/>
    <w:rsid w:val="006534DC"/>
    <w:rsid w:val="00653A07"/>
    <w:rsid w:val="006543B1"/>
    <w:rsid w:val="00657334"/>
    <w:rsid w:val="00661A0F"/>
    <w:rsid w:val="00663033"/>
    <w:rsid w:val="00663E5F"/>
    <w:rsid w:val="006724ED"/>
    <w:rsid w:val="00674314"/>
    <w:rsid w:val="0068083F"/>
    <w:rsid w:val="00680F4C"/>
    <w:rsid w:val="00682B87"/>
    <w:rsid w:val="006845D9"/>
    <w:rsid w:val="00684D9D"/>
    <w:rsid w:val="00685743"/>
    <w:rsid w:val="0068640C"/>
    <w:rsid w:val="006A1B23"/>
    <w:rsid w:val="006A4B85"/>
    <w:rsid w:val="006A7BAA"/>
    <w:rsid w:val="006B2B76"/>
    <w:rsid w:val="006B3FF9"/>
    <w:rsid w:val="006B40CF"/>
    <w:rsid w:val="006C4EC7"/>
    <w:rsid w:val="006C5BA6"/>
    <w:rsid w:val="006C5CB0"/>
    <w:rsid w:val="006D536D"/>
    <w:rsid w:val="006E0C2E"/>
    <w:rsid w:val="006E3303"/>
    <w:rsid w:val="006E7127"/>
    <w:rsid w:val="006F1099"/>
    <w:rsid w:val="006F1C38"/>
    <w:rsid w:val="006F2732"/>
    <w:rsid w:val="006F3CDA"/>
    <w:rsid w:val="006F3F75"/>
    <w:rsid w:val="006F71D8"/>
    <w:rsid w:val="007015CC"/>
    <w:rsid w:val="00705804"/>
    <w:rsid w:val="0071698E"/>
    <w:rsid w:val="007175AE"/>
    <w:rsid w:val="00720A8D"/>
    <w:rsid w:val="0072167E"/>
    <w:rsid w:val="0072389E"/>
    <w:rsid w:val="00733408"/>
    <w:rsid w:val="00734500"/>
    <w:rsid w:val="00737337"/>
    <w:rsid w:val="00740941"/>
    <w:rsid w:val="00740973"/>
    <w:rsid w:val="00745C1B"/>
    <w:rsid w:val="007472EE"/>
    <w:rsid w:val="0075021E"/>
    <w:rsid w:val="00753330"/>
    <w:rsid w:val="00753A20"/>
    <w:rsid w:val="0075776C"/>
    <w:rsid w:val="0076071B"/>
    <w:rsid w:val="00760756"/>
    <w:rsid w:val="00764151"/>
    <w:rsid w:val="00764D79"/>
    <w:rsid w:val="00765950"/>
    <w:rsid w:val="00766DB8"/>
    <w:rsid w:val="007756CE"/>
    <w:rsid w:val="00776D78"/>
    <w:rsid w:val="00777D8F"/>
    <w:rsid w:val="00783B0C"/>
    <w:rsid w:val="007841B9"/>
    <w:rsid w:val="00784A41"/>
    <w:rsid w:val="0079378A"/>
    <w:rsid w:val="007946AC"/>
    <w:rsid w:val="00795D96"/>
    <w:rsid w:val="007A1024"/>
    <w:rsid w:val="007A4031"/>
    <w:rsid w:val="007A4C23"/>
    <w:rsid w:val="007A728A"/>
    <w:rsid w:val="007A7C85"/>
    <w:rsid w:val="007B1C33"/>
    <w:rsid w:val="007B5EAB"/>
    <w:rsid w:val="007C061A"/>
    <w:rsid w:val="007C2334"/>
    <w:rsid w:val="007D1180"/>
    <w:rsid w:val="007D1449"/>
    <w:rsid w:val="007D1A87"/>
    <w:rsid w:val="007D4D72"/>
    <w:rsid w:val="007D784F"/>
    <w:rsid w:val="007E731D"/>
    <w:rsid w:val="007F0199"/>
    <w:rsid w:val="007F20E2"/>
    <w:rsid w:val="007F3456"/>
    <w:rsid w:val="007F44D5"/>
    <w:rsid w:val="007F471F"/>
    <w:rsid w:val="00802E15"/>
    <w:rsid w:val="008104F8"/>
    <w:rsid w:val="0081098D"/>
    <w:rsid w:val="008114FC"/>
    <w:rsid w:val="00813ADE"/>
    <w:rsid w:val="00813D8A"/>
    <w:rsid w:val="008202DA"/>
    <w:rsid w:val="00820D80"/>
    <w:rsid w:val="00822EF1"/>
    <w:rsid w:val="00822FE4"/>
    <w:rsid w:val="008259CE"/>
    <w:rsid w:val="00826517"/>
    <w:rsid w:val="00826943"/>
    <w:rsid w:val="00833B6C"/>
    <w:rsid w:val="00833CF1"/>
    <w:rsid w:val="00840426"/>
    <w:rsid w:val="0084200D"/>
    <w:rsid w:val="0084509A"/>
    <w:rsid w:val="008460B5"/>
    <w:rsid w:val="00846437"/>
    <w:rsid w:val="00846A50"/>
    <w:rsid w:val="00846FBE"/>
    <w:rsid w:val="00853515"/>
    <w:rsid w:val="0085544E"/>
    <w:rsid w:val="00856B77"/>
    <w:rsid w:val="00860848"/>
    <w:rsid w:val="008618C4"/>
    <w:rsid w:val="00863BBE"/>
    <w:rsid w:val="008671C6"/>
    <w:rsid w:val="0087178A"/>
    <w:rsid w:val="00871DCC"/>
    <w:rsid w:val="00881AFD"/>
    <w:rsid w:val="00884159"/>
    <w:rsid w:val="00884ECD"/>
    <w:rsid w:val="00885760"/>
    <w:rsid w:val="00886DDC"/>
    <w:rsid w:val="00892378"/>
    <w:rsid w:val="00894559"/>
    <w:rsid w:val="008959E5"/>
    <w:rsid w:val="008969E9"/>
    <w:rsid w:val="00897EBD"/>
    <w:rsid w:val="008A18DB"/>
    <w:rsid w:val="008A5642"/>
    <w:rsid w:val="008A60DF"/>
    <w:rsid w:val="008B224D"/>
    <w:rsid w:val="008C0D29"/>
    <w:rsid w:val="008C28BE"/>
    <w:rsid w:val="008C44B6"/>
    <w:rsid w:val="008C6AFE"/>
    <w:rsid w:val="008D05C1"/>
    <w:rsid w:val="008D0797"/>
    <w:rsid w:val="008D2B34"/>
    <w:rsid w:val="008D45D6"/>
    <w:rsid w:val="008E234B"/>
    <w:rsid w:val="008E4274"/>
    <w:rsid w:val="008E4FDB"/>
    <w:rsid w:val="008F3452"/>
    <w:rsid w:val="008F3CB5"/>
    <w:rsid w:val="008F414F"/>
    <w:rsid w:val="008F576D"/>
    <w:rsid w:val="008F7957"/>
    <w:rsid w:val="008F7CF7"/>
    <w:rsid w:val="00901C85"/>
    <w:rsid w:val="009116C6"/>
    <w:rsid w:val="00912553"/>
    <w:rsid w:val="009132A4"/>
    <w:rsid w:val="00913708"/>
    <w:rsid w:val="00913A70"/>
    <w:rsid w:val="00913E06"/>
    <w:rsid w:val="009160FD"/>
    <w:rsid w:val="0091757D"/>
    <w:rsid w:val="00922AD6"/>
    <w:rsid w:val="009238A1"/>
    <w:rsid w:val="0092548E"/>
    <w:rsid w:val="00925971"/>
    <w:rsid w:val="00927CE7"/>
    <w:rsid w:val="009300D0"/>
    <w:rsid w:val="00933455"/>
    <w:rsid w:val="00933858"/>
    <w:rsid w:val="009346BB"/>
    <w:rsid w:val="00934E35"/>
    <w:rsid w:val="0094021E"/>
    <w:rsid w:val="009404E6"/>
    <w:rsid w:val="00947845"/>
    <w:rsid w:val="00951F0B"/>
    <w:rsid w:val="009542AA"/>
    <w:rsid w:val="00954E4F"/>
    <w:rsid w:val="00956CBB"/>
    <w:rsid w:val="009612A6"/>
    <w:rsid w:val="0096153A"/>
    <w:rsid w:val="00964300"/>
    <w:rsid w:val="00964D08"/>
    <w:rsid w:val="0097291D"/>
    <w:rsid w:val="00972E04"/>
    <w:rsid w:val="009735FF"/>
    <w:rsid w:val="009766DA"/>
    <w:rsid w:val="00976ABA"/>
    <w:rsid w:val="00983556"/>
    <w:rsid w:val="009861C3"/>
    <w:rsid w:val="00987867"/>
    <w:rsid w:val="00990197"/>
    <w:rsid w:val="009903F3"/>
    <w:rsid w:val="00990A75"/>
    <w:rsid w:val="00994A5C"/>
    <w:rsid w:val="009970E4"/>
    <w:rsid w:val="00997542"/>
    <w:rsid w:val="009A0DDB"/>
    <w:rsid w:val="009A0EB0"/>
    <w:rsid w:val="009B0357"/>
    <w:rsid w:val="009B04D6"/>
    <w:rsid w:val="009B26B9"/>
    <w:rsid w:val="009B38BE"/>
    <w:rsid w:val="009B5429"/>
    <w:rsid w:val="009B6683"/>
    <w:rsid w:val="009C0071"/>
    <w:rsid w:val="009C0393"/>
    <w:rsid w:val="009C200E"/>
    <w:rsid w:val="009C2211"/>
    <w:rsid w:val="009C422B"/>
    <w:rsid w:val="009C5857"/>
    <w:rsid w:val="009C5D27"/>
    <w:rsid w:val="009D37B6"/>
    <w:rsid w:val="009D7329"/>
    <w:rsid w:val="009E0EAE"/>
    <w:rsid w:val="009E20E8"/>
    <w:rsid w:val="009E26F1"/>
    <w:rsid w:val="009E4F9A"/>
    <w:rsid w:val="009F11B7"/>
    <w:rsid w:val="009F2751"/>
    <w:rsid w:val="009F3A52"/>
    <w:rsid w:val="009F5788"/>
    <w:rsid w:val="00A0040C"/>
    <w:rsid w:val="00A027F3"/>
    <w:rsid w:val="00A0307D"/>
    <w:rsid w:val="00A05DE9"/>
    <w:rsid w:val="00A0618C"/>
    <w:rsid w:val="00A108CD"/>
    <w:rsid w:val="00A1273C"/>
    <w:rsid w:val="00A135F5"/>
    <w:rsid w:val="00A1510D"/>
    <w:rsid w:val="00A165C4"/>
    <w:rsid w:val="00A17FA2"/>
    <w:rsid w:val="00A2055D"/>
    <w:rsid w:val="00A21968"/>
    <w:rsid w:val="00A21B77"/>
    <w:rsid w:val="00A21BF8"/>
    <w:rsid w:val="00A2435D"/>
    <w:rsid w:val="00A24FA3"/>
    <w:rsid w:val="00A30917"/>
    <w:rsid w:val="00A34F37"/>
    <w:rsid w:val="00A35686"/>
    <w:rsid w:val="00A35DEC"/>
    <w:rsid w:val="00A36701"/>
    <w:rsid w:val="00A40028"/>
    <w:rsid w:val="00A40378"/>
    <w:rsid w:val="00A46043"/>
    <w:rsid w:val="00A464B7"/>
    <w:rsid w:val="00A5213F"/>
    <w:rsid w:val="00A53544"/>
    <w:rsid w:val="00A60862"/>
    <w:rsid w:val="00A62EFB"/>
    <w:rsid w:val="00A652D7"/>
    <w:rsid w:val="00A66C1C"/>
    <w:rsid w:val="00A715C7"/>
    <w:rsid w:val="00A7256D"/>
    <w:rsid w:val="00A72859"/>
    <w:rsid w:val="00A75513"/>
    <w:rsid w:val="00A86774"/>
    <w:rsid w:val="00A93559"/>
    <w:rsid w:val="00A93C1C"/>
    <w:rsid w:val="00A93D84"/>
    <w:rsid w:val="00A944D6"/>
    <w:rsid w:val="00A95EE9"/>
    <w:rsid w:val="00A965CA"/>
    <w:rsid w:val="00AA4342"/>
    <w:rsid w:val="00AA4A6C"/>
    <w:rsid w:val="00AA4D43"/>
    <w:rsid w:val="00AA76EA"/>
    <w:rsid w:val="00AB121D"/>
    <w:rsid w:val="00AB247E"/>
    <w:rsid w:val="00AB5F9B"/>
    <w:rsid w:val="00AC0F07"/>
    <w:rsid w:val="00AC13EA"/>
    <w:rsid w:val="00AC29A3"/>
    <w:rsid w:val="00AC3765"/>
    <w:rsid w:val="00AD3285"/>
    <w:rsid w:val="00AD5A3C"/>
    <w:rsid w:val="00AD7743"/>
    <w:rsid w:val="00AD77D3"/>
    <w:rsid w:val="00AE0ED8"/>
    <w:rsid w:val="00AE2667"/>
    <w:rsid w:val="00AE4B99"/>
    <w:rsid w:val="00AE6C14"/>
    <w:rsid w:val="00AF6758"/>
    <w:rsid w:val="00AF6FE3"/>
    <w:rsid w:val="00AF7B18"/>
    <w:rsid w:val="00B001C3"/>
    <w:rsid w:val="00B00DDE"/>
    <w:rsid w:val="00B034BA"/>
    <w:rsid w:val="00B04AB0"/>
    <w:rsid w:val="00B06289"/>
    <w:rsid w:val="00B07529"/>
    <w:rsid w:val="00B07C69"/>
    <w:rsid w:val="00B108E2"/>
    <w:rsid w:val="00B118C8"/>
    <w:rsid w:val="00B120C7"/>
    <w:rsid w:val="00B159B9"/>
    <w:rsid w:val="00B2107B"/>
    <w:rsid w:val="00B2142C"/>
    <w:rsid w:val="00B21DFB"/>
    <w:rsid w:val="00B22C9C"/>
    <w:rsid w:val="00B22DA2"/>
    <w:rsid w:val="00B25BCD"/>
    <w:rsid w:val="00B27E9D"/>
    <w:rsid w:val="00B27F16"/>
    <w:rsid w:val="00B30EBD"/>
    <w:rsid w:val="00B30EFF"/>
    <w:rsid w:val="00B31CD8"/>
    <w:rsid w:val="00B43051"/>
    <w:rsid w:val="00B439DA"/>
    <w:rsid w:val="00B44ECB"/>
    <w:rsid w:val="00B45D14"/>
    <w:rsid w:val="00B46471"/>
    <w:rsid w:val="00B47AF5"/>
    <w:rsid w:val="00B5103E"/>
    <w:rsid w:val="00B51686"/>
    <w:rsid w:val="00B53181"/>
    <w:rsid w:val="00B53748"/>
    <w:rsid w:val="00B54733"/>
    <w:rsid w:val="00B56045"/>
    <w:rsid w:val="00B56D71"/>
    <w:rsid w:val="00B57FD0"/>
    <w:rsid w:val="00B612B3"/>
    <w:rsid w:val="00B61414"/>
    <w:rsid w:val="00B63AE2"/>
    <w:rsid w:val="00B64E4E"/>
    <w:rsid w:val="00B6618F"/>
    <w:rsid w:val="00B67D39"/>
    <w:rsid w:val="00B769A4"/>
    <w:rsid w:val="00B80705"/>
    <w:rsid w:val="00B80D88"/>
    <w:rsid w:val="00B83E93"/>
    <w:rsid w:val="00B84FF1"/>
    <w:rsid w:val="00B86364"/>
    <w:rsid w:val="00B907FA"/>
    <w:rsid w:val="00B96103"/>
    <w:rsid w:val="00B97513"/>
    <w:rsid w:val="00BA3097"/>
    <w:rsid w:val="00BB44A3"/>
    <w:rsid w:val="00BB64A2"/>
    <w:rsid w:val="00BC5DE8"/>
    <w:rsid w:val="00BD0764"/>
    <w:rsid w:val="00BD09A2"/>
    <w:rsid w:val="00BD5375"/>
    <w:rsid w:val="00BD5A16"/>
    <w:rsid w:val="00BD6C41"/>
    <w:rsid w:val="00BE10DB"/>
    <w:rsid w:val="00BE2172"/>
    <w:rsid w:val="00BE62B4"/>
    <w:rsid w:val="00BF09C3"/>
    <w:rsid w:val="00BF1A6D"/>
    <w:rsid w:val="00BF59AF"/>
    <w:rsid w:val="00BF5FCF"/>
    <w:rsid w:val="00C00FD3"/>
    <w:rsid w:val="00C03DA4"/>
    <w:rsid w:val="00C04355"/>
    <w:rsid w:val="00C10BBB"/>
    <w:rsid w:val="00C12B56"/>
    <w:rsid w:val="00C133A4"/>
    <w:rsid w:val="00C20727"/>
    <w:rsid w:val="00C24255"/>
    <w:rsid w:val="00C2664C"/>
    <w:rsid w:val="00C348F6"/>
    <w:rsid w:val="00C35108"/>
    <w:rsid w:val="00C36ACD"/>
    <w:rsid w:val="00C41B69"/>
    <w:rsid w:val="00C575F2"/>
    <w:rsid w:val="00C60EFC"/>
    <w:rsid w:val="00C63739"/>
    <w:rsid w:val="00C67242"/>
    <w:rsid w:val="00C67BDA"/>
    <w:rsid w:val="00C72942"/>
    <w:rsid w:val="00C743A3"/>
    <w:rsid w:val="00C752F9"/>
    <w:rsid w:val="00C7654A"/>
    <w:rsid w:val="00C81FBB"/>
    <w:rsid w:val="00C83EFB"/>
    <w:rsid w:val="00C83F33"/>
    <w:rsid w:val="00C87AEC"/>
    <w:rsid w:val="00C95843"/>
    <w:rsid w:val="00C96FF6"/>
    <w:rsid w:val="00C97E0C"/>
    <w:rsid w:val="00CA1392"/>
    <w:rsid w:val="00CA13D0"/>
    <w:rsid w:val="00CA20D6"/>
    <w:rsid w:val="00CA2BF0"/>
    <w:rsid w:val="00CA3004"/>
    <w:rsid w:val="00CA622F"/>
    <w:rsid w:val="00CB3CC5"/>
    <w:rsid w:val="00CB73E1"/>
    <w:rsid w:val="00CC155B"/>
    <w:rsid w:val="00CC1A23"/>
    <w:rsid w:val="00CC3141"/>
    <w:rsid w:val="00CC3D13"/>
    <w:rsid w:val="00CD107C"/>
    <w:rsid w:val="00CD1AFC"/>
    <w:rsid w:val="00CD2DC9"/>
    <w:rsid w:val="00CD595C"/>
    <w:rsid w:val="00CD6F32"/>
    <w:rsid w:val="00CE09E2"/>
    <w:rsid w:val="00CE1D3C"/>
    <w:rsid w:val="00CE31AB"/>
    <w:rsid w:val="00CE35BE"/>
    <w:rsid w:val="00CE5B23"/>
    <w:rsid w:val="00CF3FE3"/>
    <w:rsid w:val="00D01849"/>
    <w:rsid w:val="00D01B58"/>
    <w:rsid w:val="00D01DA4"/>
    <w:rsid w:val="00D01E50"/>
    <w:rsid w:val="00D159F5"/>
    <w:rsid w:val="00D161F3"/>
    <w:rsid w:val="00D165F2"/>
    <w:rsid w:val="00D17D9D"/>
    <w:rsid w:val="00D23540"/>
    <w:rsid w:val="00D24548"/>
    <w:rsid w:val="00D24A14"/>
    <w:rsid w:val="00D303AD"/>
    <w:rsid w:val="00D31471"/>
    <w:rsid w:val="00D37F7B"/>
    <w:rsid w:val="00D40CF7"/>
    <w:rsid w:val="00D421B1"/>
    <w:rsid w:val="00D42746"/>
    <w:rsid w:val="00D4289D"/>
    <w:rsid w:val="00D44233"/>
    <w:rsid w:val="00D44619"/>
    <w:rsid w:val="00D45741"/>
    <w:rsid w:val="00D458A0"/>
    <w:rsid w:val="00D475B0"/>
    <w:rsid w:val="00D50C88"/>
    <w:rsid w:val="00D52DC7"/>
    <w:rsid w:val="00D54ADD"/>
    <w:rsid w:val="00D57893"/>
    <w:rsid w:val="00D603F3"/>
    <w:rsid w:val="00D60AAE"/>
    <w:rsid w:val="00D635C1"/>
    <w:rsid w:val="00D63D05"/>
    <w:rsid w:val="00D65896"/>
    <w:rsid w:val="00D70809"/>
    <w:rsid w:val="00D71660"/>
    <w:rsid w:val="00D723D0"/>
    <w:rsid w:val="00D752CA"/>
    <w:rsid w:val="00D75F91"/>
    <w:rsid w:val="00D937CD"/>
    <w:rsid w:val="00D968FD"/>
    <w:rsid w:val="00DA426F"/>
    <w:rsid w:val="00DA5FE0"/>
    <w:rsid w:val="00DA78AB"/>
    <w:rsid w:val="00DB38F2"/>
    <w:rsid w:val="00DB3C85"/>
    <w:rsid w:val="00DB5F83"/>
    <w:rsid w:val="00DC2390"/>
    <w:rsid w:val="00DC3FAA"/>
    <w:rsid w:val="00DC3FF2"/>
    <w:rsid w:val="00DC669D"/>
    <w:rsid w:val="00DD350C"/>
    <w:rsid w:val="00DD353F"/>
    <w:rsid w:val="00DD460B"/>
    <w:rsid w:val="00DD485C"/>
    <w:rsid w:val="00DE576E"/>
    <w:rsid w:val="00DE7592"/>
    <w:rsid w:val="00DF18E8"/>
    <w:rsid w:val="00DF236D"/>
    <w:rsid w:val="00DF2A3C"/>
    <w:rsid w:val="00DF3946"/>
    <w:rsid w:val="00DF599E"/>
    <w:rsid w:val="00DF5B69"/>
    <w:rsid w:val="00E00E5D"/>
    <w:rsid w:val="00E014D4"/>
    <w:rsid w:val="00E01E7E"/>
    <w:rsid w:val="00E06773"/>
    <w:rsid w:val="00E107A5"/>
    <w:rsid w:val="00E173B8"/>
    <w:rsid w:val="00E2070F"/>
    <w:rsid w:val="00E254B2"/>
    <w:rsid w:val="00E25680"/>
    <w:rsid w:val="00E2580D"/>
    <w:rsid w:val="00E31580"/>
    <w:rsid w:val="00E31DB6"/>
    <w:rsid w:val="00E3256F"/>
    <w:rsid w:val="00E3271A"/>
    <w:rsid w:val="00E34AB6"/>
    <w:rsid w:val="00E37863"/>
    <w:rsid w:val="00E41D07"/>
    <w:rsid w:val="00E4433F"/>
    <w:rsid w:val="00E45E68"/>
    <w:rsid w:val="00E474A8"/>
    <w:rsid w:val="00E47A00"/>
    <w:rsid w:val="00E47F31"/>
    <w:rsid w:val="00E5226E"/>
    <w:rsid w:val="00E55714"/>
    <w:rsid w:val="00E57B82"/>
    <w:rsid w:val="00E57D4D"/>
    <w:rsid w:val="00E60CCF"/>
    <w:rsid w:val="00E64871"/>
    <w:rsid w:val="00E70A1C"/>
    <w:rsid w:val="00E71689"/>
    <w:rsid w:val="00E7330F"/>
    <w:rsid w:val="00E7386F"/>
    <w:rsid w:val="00E73B0C"/>
    <w:rsid w:val="00E74427"/>
    <w:rsid w:val="00E74670"/>
    <w:rsid w:val="00E75FEE"/>
    <w:rsid w:val="00E807B0"/>
    <w:rsid w:val="00E8092D"/>
    <w:rsid w:val="00E82C86"/>
    <w:rsid w:val="00E83761"/>
    <w:rsid w:val="00E84107"/>
    <w:rsid w:val="00E84C33"/>
    <w:rsid w:val="00E85858"/>
    <w:rsid w:val="00E861FD"/>
    <w:rsid w:val="00E8662F"/>
    <w:rsid w:val="00E90449"/>
    <w:rsid w:val="00E925E9"/>
    <w:rsid w:val="00E959A2"/>
    <w:rsid w:val="00E95B6A"/>
    <w:rsid w:val="00E966B0"/>
    <w:rsid w:val="00E97C40"/>
    <w:rsid w:val="00EA37E2"/>
    <w:rsid w:val="00EB213E"/>
    <w:rsid w:val="00EB347C"/>
    <w:rsid w:val="00EB6DC4"/>
    <w:rsid w:val="00EB79A0"/>
    <w:rsid w:val="00EC0339"/>
    <w:rsid w:val="00EC1536"/>
    <w:rsid w:val="00EC1D13"/>
    <w:rsid w:val="00EC1E87"/>
    <w:rsid w:val="00EC5512"/>
    <w:rsid w:val="00EC56F6"/>
    <w:rsid w:val="00EC63B6"/>
    <w:rsid w:val="00EC7858"/>
    <w:rsid w:val="00ED04A4"/>
    <w:rsid w:val="00ED0801"/>
    <w:rsid w:val="00ED169C"/>
    <w:rsid w:val="00ED3987"/>
    <w:rsid w:val="00ED43B0"/>
    <w:rsid w:val="00ED779C"/>
    <w:rsid w:val="00EE17F2"/>
    <w:rsid w:val="00EE617B"/>
    <w:rsid w:val="00EF0760"/>
    <w:rsid w:val="00EF4AEA"/>
    <w:rsid w:val="00EF5E94"/>
    <w:rsid w:val="00F02382"/>
    <w:rsid w:val="00F0561C"/>
    <w:rsid w:val="00F05F61"/>
    <w:rsid w:val="00F0759D"/>
    <w:rsid w:val="00F10288"/>
    <w:rsid w:val="00F1371A"/>
    <w:rsid w:val="00F141F4"/>
    <w:rsid w:val="00F14598"/>
    <w:rsid w:val="00F15EAD"/>
    <w:rsid w:val="00F16379"/>
    <w:rsid w:val="00F20A65"/>
    <w:rsid w:val="00F213F8"/>
    <w:rsid w:val="00F24080"/>
    <w:rsid w:val="00F27691"/>
    <w:rsid w:val="00F3707E"/>
    <w:rsid w:val="00F406B3"/>
    <w:rsid w:val="00F40B45"/>
    <w:rsid w:val="00F40B47"/>
    <w:rsid w:val="00F447A4"/>
    <w:rsid w:val="00F44866"/>
    <w:rsid w:val="00F44CE1"/>
    <w:rsid w:val="00F45E82"/>
    <w:rsid w:val="00F472DE"/>
    <w:rsid w:val="00F55AB1"/>
    <w:rsid w:val="00F57006"/>
    <w:rsid w:val="00F5756E"/>
    <w:rsid w:val="00F6116C"/>
    <w:rsid w:val="00F61B1E"/>
    <w:rsid w:val="00F64C9F"/>
    <w:rsid w:val="00F76F69"/>
    <w:rsid w:val="00F77514"/>
    <w:rsid w:val="00F77A17"/>
    <w:rsid w:val="00F81339"/>
    <w:rsid w:val="00F83392"/>
    <w:rsid w:val="00F84E77"/>
    <w:rsid w:val="00F91138"/>
    <w:rsid w:val="00F92FAD"/>
    <w:rsid w:val="00F94A48"/>
    <w:rsid w:val="00F95BCA"/>
    <w:rsid w:val="00F97710"/>
    <w:rsid w:val="00F97C23"/>
    <w:rsid w:val="00F97E86"/>
    <w:rsid w:val="00FA2A3B"/>
    <w:rsid w:val="00FA596A"/>
    <w:rsid w:val="00FA7158"/>
    <w:rsid w:val="00FA730B"/>
    <w:rsid w:val="00FA77E2"/>
    <w:rsid w:val="00FB2150"/>
    <w:rsid w:val="00FB6E55"/>
    <w:rsid w:val="00FC4569"/>
    <w:rsid w:val="00FC5C6B"/>
    <w:rsid w:val="00FC75C8"/>
    <w:rsid w:val="00FC7E7C"/>
    <w:rsid w:val="00FD28BD"/>
    <w:rsid w:val="00FD32D3"/>
    <w:rsid w:val="00FD386D"/>
    <w:rsid w:val="00FD3FEE"/>
    <w:rsid w:val="00FD417A"/>
    <w:rsid w:val="00FE1462"/>
    <w:rsid w:val="00FE1CCC"/>
    <w:rsid w:val="00FE5B26"/>
    <w:rsid w:val="00FF0027"/>
    <w:rsid w:val="00FF11B7"/>
    <w:rsid w:val="00FF4D7F"/>
    <w:rsid w:val="00FF4F1B"/>
    <w:rsid w:val="026D765A"/>
    <w:rsid w:val="02BDE2F2"/>
    <w:rsid w:val="03D5CD18"/>
    <w:rsid w:val="0A7692D7"/>
    <w:rsid w:val="0AF373D3"/>
    <w:rsid w:val="0E6939BD"/>
    <w:rsid w:val="1531872A"/>
    <w:rsid w:val="1D7C04C1"/>
    <w:rsid w:val="1F346B41"/>
    <w:rsid w:val="2287EA93"/>
    <w:rsid w:val="2DB9BAE6"/>
    <w:rsid w:val="3301165B"/>
    <w:rsid w:val="3FC00564"/>
    <w:rsid w:val="47AFFE87"/>
    <w:rsid w:val="516CD7CD"/>
    <w:rsid w:val="562EDA45"/>
    <w:rsid w:val="58A5AEB8"/>
    <w:rsid w:val="5F6D5230"/>
    <w:rsid w:val="675DEC71"/>
    <w:rsid w:val="6BFB3087"/>
    <w:rsid w:val="7071E8DF"/>
    <w:rsid w:val="778A3B1B"/>
    <w:rsid w:val="77E620C3"/>
    <w:rsid w:val="783F3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6C8A"/>
  <w15:chartTrackingRefBased/>
  <w15:docId w15:val="{1B1A56F6-CD31-4743-8A91-ECF67BD9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6B"/>
    <w:pPr>
      <w:spacing w:before="100" w:beforeAutospacing="1" w:after="100" w:afterAutospacing="1" w:line="240" w:lineRule="auto"/>
    </w:pPr>
    <w:rPr>
      <w:rFonts w:ascii="Arial" w:hAnsi="Arial"/>
      <w:kern w:val="0"/>
      <w:sz w:val="18"/>
      <w:lang w:val="en-GB"/>
      <w14:ligatures w14:val="none"/>
    </w:rPr>
  </w:style>
  <w:style w:type="paragraph" w:styleId="Heading1">
    <w:name w:val="heading 1"/>
    <w:basedOn w:val="Normal"/>
    <w:next w:val="Normal"/>
    <w:link w:val="Heading1Char"/>
    <w:uiPriority w:val="9"/>
    <w:qFormat/>
    <w:rsid w:val="00046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6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6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6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6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6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6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6B"/>
    <w:rPr>
      <w:rFonts w:eastAsiaTheme="majorEastAsia" w:cstheme="majorBidi"/>
      <w:color w:val="272727" w:themeColor="text1" w:themeTint="D8"/>
    </w:rPr>
  </w:style>
  <w:style w:type="paragraph" w:styleId="Title">
    <w:name w:val="Title"/>
    <w:basedOn w:val="Normal"/>
    <w:next w:val="Normal"/>
    <w:link w:val="TitleChar"/>
    <w:uiPriority w:val="10"/>
    <w:qFormat/>
    <w:rsid w:val="00046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6B"/>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046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6B"/>
    <w:pPr>
      <w:spacing w:before="160"/>
      <w:jc w:val="center"/>
    </w:pPr>
    <w:rPr>
      <w:i/>
      <w:iCs/>
      <w:color w:val="404040" w:themeColor="text1" w:themeTint="BF"/>
    </w:rPr>
  </w:style>
  <w:style w:type="character" w:customStyle="1" w:styleId="QuoteChar">
    <w:name w:val="Quote Char"/>
    <w:basedOn w:val="DefaultParagraphFont"/>
    <w:link w:val="Quote"/>
    <w:uiPriority w:val="29"/>
    <w:rsid w:val="00046A6B"/>
    <w:rPr>
      <w:i/>
      <w:iCs/>
      <w:color w:val="404040" w:themeColor="text1" w:themeTint="BF"/>
    </w:rPr>
  </w:style>
  <w:style w:type="paragraph" w:styleId="ListParagraph">
    <w:name w:val="List Paragraph"/>
    <w:basedOn w:val="Normal"/>
    <w:uiPriority w:val="34"/>
    <w:qFormat/>
    <w:rsid w:val="00046A6B"/>
    <w:pPr>
      <w:ind w:left="720"/>
      <w:contextualSpacing/>
    </w:pPr>
  </w:style>
  <w:style w:type="character" w:styleId="IntenseEmphasis">
    <w:name w:val="Intense Emphasis"/>
    <w:basedOn w:val="DefaultParagraphFont"/>
    <w:uiPriority w:val="21"/>
    <w:qFormat/>
    <w:rsid w:val="00046A6B"/>
    <w:rPr>
      <w:i/>
      <w:iCs/>
      <w:color w:val="0F4761" w:themeColor="accent1" w:themeShade="BF"/>
    </w:rPr>
  </w:style>
  <w:style w:type="paragraph" w:styleId="IntenseQuote">
    <w:name w:val="Intense Quote"/>
    <w:basedOn w:val="Normal"/>
    <w:next w:val="Normal"/>
    <w:link w:val="IntenseQuoteChar"/>
    <w:uiPriority w:val="30"/>
    <w:qFormat/>
    <w:rsid w:val="00046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6B"/>
    <w:rPr>
      <w:i/>
      <w:iCs/>
      <w:color w:val="0F4761" w:themeColor="accent1" w:themeShade="BF"/>
    </w:rPr>
  </w:style>
  <w:style w:type="character" w:styleId="IntenseReference">
    <w:name w:val="Intense Reference"/>
    <w:basedOn w:val="DefaultParagraphFont"/>
    <w:uiPriority w:val="32"/>
    <w:qFormat/>
    <w:rsid w:val="00046A6B"/>
    <w:rPr>
      <w:b/>
      <w:bCs/>
      <w:smallCaps/>
      <w:color w:val="0F4761" w:themeColor="accent1" w:themeShade="BF"/>
      <w:spacing w:val="5"/>
    </w:rPr>
  </w:style>
  <w:style w:type="character" w:styleId="Hyperlink">
    <w:name w:val="Hyperlink"/>
    <w:basedOn w:val="DefaultParagraphFont"/>
    <w:uiPriority w:val="99"/>
    <w:unhideWhenUsed/>
    <w:rsid w:val="00046A6B"/>
    <w:rPr>
      <w:color w:val="467886" w:themeColor="hyperlink"/>
      <w:u w:val="single"/>
    </w:rPr>
  </w:style>
  <w:style w:type="paragraph" w:styleId="NormalWeb">
    <w:name w:val="Normal (Web)"/>
    <w:basedOn w:val="Normal"/>
    <w:uiPriority w:val="99"/>
    <w:semiHidden/>
    <w:unhideWhenUsed/>
    <w:rsid w:val="00046A6B"/>
    <w:rPr>
      <w:rFonts w:ascii="Calibri" w:hAnsi="Calibri" w:cs="Calibri"/>
      <w:sz w:val="22"/>
      <w:lang w:val="sv-SE" w:eastAsia="sv-SE"/>
    </w:rPr>
  </w:style>
  <w:style w:type="paragraph" w:customStyle="1" w:styleId="FWBL2">
    <w:name w:val="FWB_L2"/>
    <w:basedOn w:val="FWBL1"/>
    <w:link w:val="FWBL2CharChar1"/>
    <w:uiPriority w:val="99"/>
    <w:rsid w:val="00046A6B"/>
    <w:pPr>
      <w:keepNext w:val="0"/>
      <w:keepLines w:val="0"/>
      <w:numPr>
        <w:ilvl w:val="1"/>
      </w:numPr>
      <w:tabs>
        <w:tab w:val="num" w:pos="720"/>
      </w:tabs>
      <w:ind w:left="0"/>
      <w:jc w:val="both"/>
      <w:outlineLvl w:val="9"/>
    </w:pPr>
    <w:rPr>
      <w:b w:val="0"/>
      <w:smallCaps w:val="0"/>
    </w:rPr>
  </w:style>
  <w:style w:type="paragraph" w:customStyle="1" w:styleId="FWBL1">
    <w:name w:val="FWB_L1"/>
    <w:basedOn w:val="Normal"/>
    <w:next w:val="FWBL2"/>
    <w:uiPriority w:val="99"/>
    <w:rsid w:val="00046A6B"/>
    <w:pPr>
      <w:keepNext/>
      <w:keepLines/>
      <w:numPr>
        <w:numId w:val="1"/>
      </w:numPr>
      <w:spacing w:before="0" w:beforeAutospacing="0" w:after="240" w:afterAutospacing="0"/>
      <w:outlineLvl w:val="0"/>
    </w:pPr>
    <w:rPr>
      <w:rFonts w:ascii="Times New Roman" w:eastAsia="Times New Roman" w:hAnsi="Times New Roman" w:cs="Times New Roman"/>
      <w:b/>
      <w:smallCaps/>
      <w:sz w:val="24"/>
      <w:szCs w:val="20"/>
      <w:lang w:val="sv-SE"/>
    </w:rPr>
  </w:style>
  <w:style w:type="character" w:customStyle="1" w:styleId="FWBL2CharChar1">
    <w:name w:val="FWB_L2 Char Char1"/>
    <w:link w:val="FWBL2"/>
    <w:uiPriority w:val="99"/>
    <w:locked/>
    <w:rsid w:val="00046A6B"/>
    <w:rPr>
      <w:rFonts w:ascii="Times New Roman" w:eastAsia="Times New Roman" w:hAnsi="Times New Roman" w:cs="Times New Roman"/>
      <w:kern w:val="0"/>
      <w:sz w:val="24"/>
      <w:szCs w:val="20"/>
      <w:lang w:val="sv-SE"/>
      <w14:ligatures w14:val="none"/>
    </w:rPr>
  </w:style>
  <w:style w:type="paragraph" w:customStyle="1" w:styleId="FWBL3">
    <w:name w:val="FWB_L3"/>
    <w:basedOn w:val="FWBL2"/>
    <w:uiPriority w:val="99"/>
    <w:rsid w:val="00046A6B"/>
    <w:pPr>
      <w:numPr>
        <w:ilvl w:val="2"/>
      </w:numPr>
      <w:tabs>
        <w:tab w:val="clear" w:pos="720"/>
        <w:tab w:val="clear" w:pos="1995"/>
        <w:tab w:val="num" w:pos="360"/>
      </w:tabs>
      <w:ind w:left="1224" w:hanging="504"/>
    </w:pPr>
  </w:style>
  <w:style w:type="paragraph" w:customStyle="1" w:styleId="FWBL4">
    <w:name w:val="FWB_L4"/>
    <w:basedOn w:val="FWBL3"/>
    <w:uiPriority w:val="99"/>
    <w:rsid w:val="00046A6B"/>
    <w:pPr>
      <w:numPr>
        <w:ilvl w:val="3"/>
      </w:numPr>
      <w:tabs>
        <w:tab w:val="clear" w:pos="216"/>
        <w:tab w:val="num" w:pos="360"/>
      </w:tabs>
      <w:ind w:left="1728" w:hanging="648"/>
    </w:pPr>
  </w:style>
  <w:style w:type="paragraph" w:customStyle="1" w:styleId="FWBL5">
    <w:name w:val="FWB_L5"/>
    <w:basedOn w:val="FWBL4"/>
    <w:uiPriority w:val="99"/>
    <w:rsid w:val="00046A6B"/>
    <w:pPr>
      <w:numPr>
        <w:ilvl w:val="4"/>
      </w:numPr>
      <w:tabs>
        <w:tab w:val="clear" w:pos="2160"/>
        <w:tab w:val="num" w:pos="360"/>
      </w:tabs>
      <w:ind w:left="2232" w:hanging="792"/>
    </w:pPr>
  </w:style>
  <w:style w:type="paragraph" w:customStyle="1" w:styleId="FWBL6">
    <w:name w:val="FWB_L6"/>
    <w:basedOn w:val="FWBL5"/>
    <w:uiPriority w:val="99"/>
    <w:rsid w:val="00046A6B"/>
    <w:pPr>
      <w:numPr>
        <w:ilvl w:val="5"/>
      </w:numPr>
      <w:tabs>
        <w:tab w:val="clear" w:pos="2880"/>
        <w:tab w:val="num" w:pos="360"/>
      </w:tabs>
      <w:ind w:left="2736" w:hanging="936"/>
    </w:pPr>
  </w:style>
  <w:style w:type="paragraph" w:customStyle="1" w:styleId="FWBL7">
    <w:name w:val="FWB_L7"/>
    <w:basedOn w:val="FWBL6"/>
    <w:uiPriority w:val="99"/>
    <w:rsid w:val="00046A6B"/>
    <w:pPr>
      <w:numPr>
        <w:ilvl w:val="6"/>
      </w:numPr>
      <w:tabs>
        <w:tab w:val="clear" w:pos="3600"/>
        <w:tab w:val="num" w:pos="360"/>
      </w:tabs>
      <w:ind w:left="3240" w:hanging="1080"/>
    </w:pPr>
  </w:style>
  <w:style w:type="paragraph" w:customStyle="1" w:styleId="FWBL8">
    <w:name w:val="FWB_L8"/>
    <w:basedOn w:val="FWBL7"/>
    <w:uiPriority w:val="99"/>
    <w:rsid w:val="00046A6B"/>
    <w:pPr>
      <w:numPr>
        <w:ilvl w:val="7"/>
      </w:numPr>
      <w:tabs>
        <w:tab w:val="clear" w:pos="4320"/>
        <w:tab w:val="num" w:pos="360"/>
      </w:tabs>
      <w:ind w:left="3744" w:hanging="1224"/>
    </w:pPr>
  </w:style>
  <w:style w:type="character" w:styleId="CommentReference">
    <w:name w:val="annotation reference"/>
    <w:basedOn w:val="DefaultParagraphFont"/>
    <w:uiPriority w:val="99"/>
    <w:semiHidden/>
    <w:unhideWhenUsed/>
    <w:rsid w:val="0030485C"/>
    <w:rPr>
      <w:sz w:val="16"/>
      <w:szCs w:val="16"/>
    </w:rPr>
  </w:style>
  <w:style w:type="paragraph" w:styleId="CommentText">
    <w:name w:val="annotation text"/>
    <w:basedOn w:val="Normal"/>
    <w:link w:val="CommentTextChar"/>
    <w:uiPriority w:val="99"/>
    <w:unhideWhenUsed/>
    <w:rsid w:val="0030485C"/>
    <w:rPr>
      <w:sz w:val="20"/>
      <w:szCs w:val="20"/>
    </w:rPr>
  </w:style>
  <w:style w:type="character" w:customStyle="1" w:styleId="CommentTextChar">
    <w:name w:val="Comment Text Char"/>
    <w:basedOn w:val="DefaultParagraphFont"/>
    <w:link w:val="CommentText"/>
    <w:uiPriority w:val="99"/>
    <w:rsid w:val="0030485C"/>
    <w:rPr>
      <w:rFonts w:ascii="Arial" w:hAnsi="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485C"/>
    <w:rPr>
      <w:b/>
      <w:bCs/>
    </w:rPr>
  </w:style>
  <w:style w:type="character" w:customStyle="1" w:styleId="CommentSubjectChar">
    <w:name w:val="Comment Subject Char"/>
    <w:basedOn w:val="CommentTextChar"/>
    <w:link w:val="CommentSubject"/>
    <w:uiPriority w:val="99"/>
    <w:semiHidden/>
    <w:rsid w:val="0030485C"/>
    <w:rPr>
      <w:rFonts w:ascii="Arial" w:hAnsi="Arial"/>
      <w:b/>
      <w:bCs/>
      <w:kern w:val="0"/>
      <w:sz w:val="20"/>
      <w:szCs w:val="20"/>
      <w:lang w:val="en-GB"/>
      <w14:ligatures w14:val="none"/>
    </w:rPr>
  </w:style>
  <w:style w:type="paragraph" w:styleId="Revision">
    <w:name w:val="Revision"/>
    <w:hidden/>
    <w:uiPriority w:val="99"/>
    <w:semiHidden/>
    <w:rsid w:val="0030485C"/>
    <w:pPr>
      <w:spacing w:after="0" w:line="240" w:lineRule="auto"/>
    </w:pPr>
    <w:rPr>
      <w:rFonts w:ascii="Arial" w:hAnsi="Arial"/>
      <w:kern w:val="0"/>
      <w:sz w:val="18"/>
      <w:lang w:val="en-GB"/>
      <w14:ligatures w14:val="none"/>
    </w:rPr>
  </w:style>
  <w:style w:type="character" w:styleId="UnresolvedMention">
    <w:name w:val="Unresolved Mention"/>
    <w:basedOn w:val="DefaultParagraphFont"/>
    <w:uiPriority w:val="99"/>
    <w:semiHidden/>
    <w:unhideWhenUsed/>
    <w:rsid w:val="0030485C"/>
    <w:rPr>
      <w:color w:val="605E5C"/>
      <w:shd w:val="clear" w:color="auto" w:fill="E1DFDD"/>
    </w:rPr>
  </w:style>
  <w:style w:type="character" w:customStyle="1" w:styleId="BATHeading3Char">
    <w:name w:val="BAT Heading 3 Char"/>
    <w:basedOn w:val="DefaultParagraphFont"/>
    <w:link w:val="BATHeading3"/>
    <w:locked/>
    <w:rsid w:val="007F20E2"/>
    <w:rPr>
      <w:rFonts w:ascii="Montserrat SemiBold" w:hAnsi="Montserrat SemiBold"/>
      <w:color w:val="156082" w:themeColor="accent1"/>
      <w:szCs w:val="18"/>
    </w:rPr>
  </w:style>
  <w:style w:type="paragraph" w:customStyle="1" w:styleId="BATHeading3">
    <w:name w:val="BAT Heading 3"/>
    <w:basedOn w:val="Normal"/>
    <w:link w:val="BATHeading3Char"/>
    <w:qFormat/>
    <w:rsid w:val="007F20E2"/>
    <w:pPr>
      <w:tabs>
        <w:tab w:val="left" w:pos="425"/>
        <w:tab w:val="left" w:pos="851"/>
      </w:tabs>
      <w:spacing w:before="0" w:beforeAutospacing="0" w:after="160" w:afterAutospacing="0" w:line="256" w:lineRule="auto"/>
      <w:jc w:val="both"/>
    </w:pPr>
    <w:rPr>
      <w:rFonts w:ascii="Montserrat SemiBold" w:hAnsi="Montserrat SemiBold"/>
      <w:color w:val="156082" w:themeColor="accent1"/>
      <w:kern w:val="2"/>
      <w:sz w:val="22"/>
      <w:szCs w:val="18"/>
      <w:lang w:val="en-US"/>
      <w14:ligatures w14:val="standardContextual"/>
    </w:rPr>
  </w:style>
  <w:style w:type="character" w:styleId="Mention">
    <w:name w:val="Mention"/>
    <w:basedOn w:val="DefaultParagraphFont"/>
    <w:uiPriority w:val="99"/>
    <w:unhideWhenUsed/>
    <w:rsid w:val="00D24A14"/>
    <w:rPr>
      <w:color w:val="2B579A"/>
      <w:shd w:val="clear" w:color="auto" w:fill="E1DFDD"/>
    </w:rPr>
  </w:style>
  <w:style w:type="paragraph" w:styleId="FootnoteText">
    <w:name w:val="footnote text"/>
    <w:basedOn w:val="Normal"/>
    <w:link w:val="FootnoteTextChar"/>
    <w:uiPriority w:val="99"/>
    <w:semiHidden/>
    <w:unhideWhenUsed/>
    <w:rsid w:val="008E4FDB"/>
    <w:pPr>
      <w:spacing w:before="0" w:after="0"/>
    </w:pPr>
    <w:rPr>
      <w:sz w:val="20"/>
      <w:szCs w:val="20"/>
    </w:rPr>
  </w:style>
  <w:style w:type="character" w:customStyle="1" w:styleId="FootnoteTextChar">
    <w:name w:val="Footnote Text Char"/>
    <w:basedOn w:val="DefaultParagraphFont"/>
    <w:link w:val="FootnoteText"/>
    <w:uiPriority w:val="99"/>
    <w:semiHidden/>
    <w:rsid w:val="008E4FDB"/>
    <w:rPr>
      <w:rFonts w:ascii="Arial" w:hAnsi="Arial"/>
      <w:kern w:val="0"/>
      <w:sz w:val="20"/>
      <w:szCs w:val="20"/>
      <w:lang w:val="en-GB"/>
      <w14:ligatures w14:val="none"/>
    </w:rPr>
  </w:style>
  <w:style w:type="character" w:styleId="FootnoteReference">
    <w:name w:val="footnote reference"/>
    <w:basedOn w:val="DefaultParagraphFont"/>
    <w:uiPriority w:val="99"/>
    <w:semiHidden/>
    <w:unhideWhenUsed/>
    <w:rsid w:val="008E4FDB"/>
    <w:rPr>
      <w:vertAlign w:val="superscript"/>
    </w:rPr>
  </w:style>
  <w:style w:type="paragraph" w:styleId="Header">
    <w:name w:val="header"/>
    <w:basedOn w:val="Normal"/>
    <w:link w:val="HeaderChar"/>
    <w:uiPriority w:val="99"/>
    <w:unhideWhenUsed/>
    <w:rsid w:val="0065161E"/>
    <w:pPr>
      <w:tabs>
        <w:tab w:val="center" w:pos="4680"/>
        <w:tab w:val="right" w:pos="9360"/>
      </w:tabs>
      <w:spacing w:before="0" w:after="0"/>
    </w:pPr>
  </w:style>
  <w:style w:type="character" w:customStyle="1" w:styleId="HeaderChar">
    <w:name w:val="Header Char"/>
    <w:basedOn w:val="DefaultParagraphFont"/>
    <w:link w:val="Header"/>
    <w:uiPriority w:val="99"/>
    <w:rsid w:val="0065161E"/>
    <w:rPr>
      <w:rFonts w:ascii="Arial" w:hAnsi="Arial"/>
      <w:kern w:val="0"/>
      <w:sz w:val="18"/>
      <w:lang w:val="en-GB"/>
      <w14:ligatures w14:val="none"/>
    </w:rPr>
  </w:style>
  <w:style w:type="paragraph" w:styleId="Footer">
    <w:name w:val="footer"/>
    <w:basedOn w:val="Normal"/>
    <w:link w:val="FooterChar"/>
    <w:uiPriority w:val="99"/>
    <w:unhideWhenUsed/>
    <w:rsid w:val="0065161E"/>
    <w:pPr>
      <w:tabs>
        <w:tab w:val="center" w:pos="4680"/>
        <w:tab w:val="right" w:pos="9360"/>
      </w:tabs>
      <w:spacing w:before="0" w:after="0"/>
    </w:pPr>
  </w:style>
  <w:style w:type="character" w:customStyle="1" w:styleId="FooterChar">
    <w:name w:val="Footer Char"/>
    <w:basedOn w:val="DefaultParagraphFont"/>
    <w:link w:val="Footer"/>
    <w:uiPriority w:val="99"/>
    <w:rsid w:val="0065161E"/>
    <w:rPr>
      <w:rFonts w:ascii="Arial" w:hAnsi="Arial"/>
      <w:kern w:val="0"/>
      <w:sz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660">
      <w:bodyDiv w:val="1"/>
      <w:marLeft w:val="0"/>
      <w:marRight w:val="0"/>
      <w:marTop w:val="0"/>
      <w:marBottom w:val="0"/>
      <w:divBdr>
        <w:top w:val="none" w:sz="0" w:space="0" w:color="auto"/>
        <w:left w:val="none" w:sz="0" w:space="0" w:color="auto"/>
        <w:bottom w:val="none" w:sz="0" w:space="0" w:color="auto"/>
        <w:right w:val="none" w:sz="0" w:space="0" w:color="auto"/>
      </w:divBdr>
    </w:div>
    <w:div w:id="551042695">
      <w:bodyDiv w:val="1"/>
      <w:marLeft w:val="0"/>
      <w:marRight w:val="0"/>
      <w:marTop w:val="0"/>
      <w:marBottom w:val="0"/>
      <w:divBdr>
        <w:top w:val="none" w:sz="0" w:space="0" w:color="auto"/>
        <w:left w:val="none" w:sz="0" w:space="0" w:color="auto"/>
        <w:bottom w:val="none" w:sz="0" w:space="0" w:color="auto"/>
        <w:right w:val="none" w:sz="0" w:space="0" w:color="auto"/>
      </w:divBdr>
    </w:div>
    <w:div w:id="1256132655">
      <w:bodyDiv w:val="1"/>
      <w:marLeft w:val="0"/>
      <w:marRight w:val="0"/>
      <w:marTop w:val="0"/>
      <w:marBottom w:val="0"/>
      <w:divBdr>
        <w:top w:val="none" w:sz="0" w:space="0" w:color="auto"/>
        <w:left w:val="none" w:sz="0" w:space="0" w:color="auto"/>
        <w:bottom w:val="none" w:sz="0" w:space="0" w:color="auto"/>
        <w:right w:val="none" w:sz="0" w:space="0" w:color="auto"/>
      </w:divBdr>
    </w:div>
    <w:div w:id="1613782507">
      <w:bodyDiv w:val="1"/>
      <w:marLeft w:val="0"/>
      <w:marRight w:val="0"/>
      <w:marTop w:val="0"/>
      <w:marBottom w:val="0"/>
      <w:divBdr>
        <w:top w:val="none" w:sz="0" w:space="0" w:color="auto"/>
        <w:left w:val="none" w:sz="0" w:space="0" w:color="auto"/>
        <w:bottom w:val="none" w:sz="0" w:space="0" w:color="auto"/>
        <w:right w:val="none" w:sz="0" w:space="0" w:color="auto"/>
      </w:divBdr>
    </w:div>
    <w:div w:id="1879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nicotineproducten-zonder-tabak-voor-recreatief-gebruik" TargetMode="External"/><Relationship Id="rId2" Type="http://schemas.openxmlformats.org/officeDocument/2006/relationships/hyperlink" Target="https://www.bfr.bund.de/cm/349/health-risk-assessment-of-nicotine-pouches.pdf" TargetMode="External"/><Relationship Id="rId1" Type="http://schemas.openxmlformats.org/officeDocument/2006/relationships/hyperlink" Target="https://vizhub.healthdata.org/gbd-comp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D17561885014498CDD94894BF3948" ma:contentTypeVersion="14" ma:contentTypeDescription="Create a new document." ma:contentTypeScope="" ma:versionID="be1478cf074ce1744bec7f1f5115711d">
  <xsd:schema xmlns:xsd="http://www.w3.org/2001/XMLSchema" xmlns:xs="http://www.w3.org/2001/XMLSchema" xmlns:p="http://schemas.microsoft.com/office/2006/metadata/properties" xmlns:ns2="1a108f4e-c297-4235-86f7-5984d4569d02" xmlns:ns3="a6a3c2f0-8e04-4728-a282-4f6d649480ce" targetNamespace="http://schemas.microsoft.com/office/2006/metadata/properties" ma:root="true" ma:fieldsID="67c57c75db21d8bf65f12b0a4a82d7a7" ns2:_="" ns3:_="">
    <xsd:import namespace="1a108f4e-c297-4235-86f7-5984d4569d02"/>
    <xsd:import namespace="a6a3c2f0-8e04-4728-a282-4f6d64948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8f4e-c297-4235-86f7-5984d456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3c2f0-8e04-4728-a282-4f6d649480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8056ee-24b0-4fee-abf5-cf35ddd2ff57}" ma:internalName="TaxCatchAll" ma:showField="CatchAllData" ma:web="a6a3c2f0-8e04-4728-a282-4f6d64948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3c2f0-8e04-4728-a282-4f6d649480ce" xsi:nil="true"/>
    <lcf76f155ced4ddcb4097134ff3c332f xmlns="1a108f4e-c297-4235-86f7-5984d4569d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9191-B0F3-4AEF-BD72-8FC13F33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8f4e-c297-4235-86f7-5984d4569d02"/>
    <ds:schemaRef ds:uri="a6a3c2f0-8e04-4728-a282-4f6d6494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115A9-88A7-465D-B087-B653185C775C}">
  <ds:schemaRefs>
    <ds:schemaRef ds:uri="http://schemas.microsoft.com/sharepoint/v3/contenttype/forms"/>
  </ds:schemaRefs>
</ds:datastoreItem>
</file>

<file path=customXml/itemProps3.xml><?xml version="1.0" encoding="utf-8"?>
<ds:datastoreItem xmlns:ds="http://schemas.openxmlformats.org/officeDocument/2006/customXml" ds:itemID="{DDC032E7-DC45-431D-85ED-7D5B45661CDC}">
  <ds:schemaRefs>
    <ds:schemaRef ds:uri="http://schemas.microsoft.com/office/2006/metadata/properties"/>
    <ds:schemaRef ds:uri="http://schemas.microsoft.com/office/infopath/2007/PartnerControls"/>
    <ds:schemaRef ds:uri="a6a3c2f0-8e04-4728-a282-4f6d649480ce"/>
    <ds:schemaRef ds:uri="1a108f4e-c297-4235-86f7-5984d4569d02"/>
  </ds:schemaRefs>
</ds:datastoreItem>
</file>

<file path=customXml/itemProps4.xml><?xml version="1.0" encoding="utf-8"?>
<ds:datastoreItem xmlns:ds="http://schemas.openxmlformats.org/officeDocument/2006/customXml" ds:itemID="{E2BF9936-DE33-43F9-BC69-2C5899A16E13}">
  <ds:schemaRefs>
    <ds:schemaRef ds:uri="http://schemas.openxmlformats.org/officeDocument/2006/bibliography"/>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Links>
    <vt:vector size="42" baseType="variant">
      <vt:variant>
        <vt:i4>3670141</vt:i4>
      </vt:variant>
      <vt:variant>
        <vt:i4>6</vt:i4>
      </vt:variant>
      <vt:variant>
        <vt:i4>0</vt:i4>
      </vt:variant>
      <vt:variant>
        <vt:i4>5</vt:i4>
      </vt:variant>
      <vt:variant>
        <vt:lpwstr>https://technical-regulation-information-system.ec.europa.eu/en/notification/16379</vt:lpwstr>
      </vt:variant>
      <vt:variant>
        <vt:lpwstr/>
      </vt:variant>
      <vt:variant>
        <vt:i4>1769483</vt:i4>
      </vt:variant>
      <vt:variant>
        <vt:i4>3</vt:i4>
      </vt:variant>
      <vt:variant>
        <vt:i4>0</vt:i4>
      </vt:variant>
      <vt:variant>
        <vt:i4>5</vt:i4>
      </vt:variant>
      <vt:variant>
        <vt:lpwstr>https://europa.eu/webtools/rest/html2m/output/html2m-1730140593-ohrlt.pdf</vt:lpwstr>
      </vt:variant>
      <vt:variant>
        <vt:lpwstr/>
      </vt:variant>
      <vt:variant>
        <vt:i4>3211391</vt:i4>
      </vt:variant>
      <vt:variant>
        <vt:i4>0</vt:i4>
      </vt:variant>
      <vt:variant>
        <vt:i4>0</vt:i4>
      </vt:variant>
      <vt:variant>
        <vt:i4>5</vt:i4>
      </vt:variant>
      <vt:variant>
        <vt:lpwstr>https://technical-regulation-information-system.ec.europa.eu/en/notification/26151</vt:lpwstr>
      </vt:variant>
      <vt:variant>
        <vt:lpwstr/>
      </vt:variant>
      <vt:variant>
        <vt:i4>2883643</vt:i4>
      </vt:variant>
      <vt:variant>
        <vt:i4>9</vt:i4>
      </vt:variant>
      <vt:variant>
        <vt:i4>0</vt:i4>
      </vt:variant>
      <vt:variant>
        <vt:i4>5</vt:i4>
      </vt:variant>
      <vt:variant>
        <vt:lpwstr>https://www.rivm.nl/publicaties/nicotineproducten-zonder-tabak-voor-recreatief-gebruik</vt:lpwstr>
      </vt:variant>
      <vt:variant>
        <vt:lpwstr/>
      </vt:variant>
      <vt:variant>
        <vt:i4>1704027</vt:i4>
      </vt:variant>
      <vt:variant>
        <vt:i4>6</vt:i4>
      </vt:variant>
      <vt:variant>
        <vt:i4>0</vt:i4>
      </vt:variant>
      <vt:variant>
        <vt:i4>5</vt:i4>
      </vt:variant>
      <vt:variant>
        <vt:lpwstr>https://cot.food.gov.uk/sites/default/files/2023-04/Publishable  COT Oral nicotine pouches - final v1-0 Acc V.pdf</vt:lpwstr>
      </vt:variant>
      <vt:variant>
        <vt:lpwstr/>
      </vt:variant>
      <vt:variant>
        <vt:i4>6226015</vt:i4>
      </vt:variant>
      <vt:variant>
        <vt:i4>3</vt:i4>
      </vt:variant>
      <vt:variant>
        <vt:i4>0</vt:i4>
      </vt:variant>
      <vt:variant>
        <vt:i4>5</vt:i4>
      </vt:variant>
      <vt:variant>
        <vt:lpwstr>https://www.bfr.bund.de/cm/349/health-risk-assessment-of-nicotine-pouches.pdf</vt:lpwstr>
      </vt:variant>
      <vt:variant>
        <vt:lpwstr/>
      </vt:variant>
      <vt:variant>
        <vt:i4>6357111</vt:i4>
      </vt:variant>
      <vt:variant>
        <vt:i4>0</vt:i4>
      </vt:variant>
      <vt:variant>
        <vt:i4>0</vt:i4>
      </vt:variant>
      <vt:variant>
        <vt:i4>5</vt:i4>
      </vt:variant>
      <vt:variant>
        <vt:lpwstr>https://vizhub.healthdata.org/gbd-compare/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Casinge</dc:creator>
  <cp:keywords/>
  <dc:description/>
  <cp:lastModifiedBy>Robert Casinge</cp:lastModifiedBy>
  <cp:revision>4</cp:revision>
  <dcterms:created xsi:type="dcterms:W3CDTF">2024-12-02T15:46:00Z</dcterms:created>
  <dcterms:modified xsi:type="dcterms:W3CDTF">2024-12-02T16:09:00Z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2024-08-23T13:18:02Z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281a6690-205e-4e7b-b689-bc604224b335</vt:lpwstr>
  </property>
  <property fmtid="{D5CDD505-2E9C-101B-9397-08002B2CF9AE}" pid="8" name="MSIP_Label_e9fea72e-161c-48c8-8e82-3fc1e9b3162c_ContentBits">
    <vt:lpwstr>0</vt:lpwstr>
  </property>
  <property fmtid="{D5CDD505-2E9C-101B-9397-08002B2CF9AE}" pid="9" name="ContentTypeId">
    <vt:lpwstr>0x010100C1AD17561885014498CDD94894BF3948</vt:lpwstr>
  </property>
  <property fmtid="{D5CDD505-2E9C-101B-9397-08002B2CF9AE}" pid="10" name="MediaServiceImageTags">
    <vt:lpwstr/>
  </property>
</Properties>
</file>