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Liste over forbudte stoffer i tobaksprodukter og elektroniske cigaretter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Følgende liste repræsenterer som eksempel de stoffer eller kategorier af stoffer, der i øjeblikket er omfattet af de lovbestemte forbud i den østrigske lov om tobaks- og ikkerygerbeskyttelse (TNRSG), men udgør ikke en udtømmende liste.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Forbudte ingredienser i nikotinholdige elektroniske cigaretter og genopfyldningsbeholdere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Stofkategorier, herunder retsgrundlaget for forbuddet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Eksempler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Vitaminer eller andre tilsætningsstoffer, der giver indtryk af, at en tobaksvare har en sundhedsmæssig fordel eller udgør en reduceret sundhedsrisiko.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(§ 10b, stk. 7, nr. 3, sammenholdt med § 8b, stk. 2, nr. 1, i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Vitaminer, der er opført på "EU-listen" i bilaget til forordning (EU) nr. 609/2013, som ændret, i overensstemmelse med artikel 15 i forordningen.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Aminosyrer og deres derivater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hampeplanten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Cannabinoider (naturlige eller syntetiske af oprindelse)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Hormoner og hormonlignende stoffer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Flavonoider og phospholipider med antioxiderende virkninger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Andre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Cholinchlorid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Cholinhydroxid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Cholincitrat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Cholintartrat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S-Adenosylmethionin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L-5-Hydroxytryptophan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L-carnitinhydrochlorid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L-carnitin-L-tartrat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Natriumselenit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Koffein eller taurin eller andre tilsætningsstoffer og stimulerende forbindelser, der er forbundet med energi og vitalitet (§ 10b, stk. 7, nr. 3, sammenholdt med § 8b, stk. 2, nr. 2, i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olier, fra </w:t>
            </w:r>
            <w:r>
              <w:rPr>
                <w:rStyle w:val="a"/>
                <w:color w:val="000000"/>
                <w:sz w:val="14"/>
                <w:b/>
              </w:rPr>
              <w:t xml:space="preserve">kaffeplante</w:t>
            </w:r>
            <w:r>
              <w:rPr>
                <w:rStyle w:val="a"/>
                <w:color w:val="000000"/>
                <w:sz w:val="14"/>
              </w:rPr>
              <w:t xml:space="preserve"> og fra </w:t>
            </w:r>
            <w:r>
              <w:rPr>
                <w:rStyle w:val="a"/>
                <w:color w:val="000000"/>
                <w:sz w:val="14"/>
                <w:b/>
              </w:rPr>
              <w:t xml:space="preserve">kaffebønner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  <w:b/>
              </w:rPr>
              <w:t xml:space="preserve">teplanten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olier, fra </w:t>
            </w:r>
            <w:r>
              <w:rPr>
                <w:rStyle w:val="a"/>
                <w:color w:val="000000"/>
                <w:sz w:val="14"/>
                <w:b/>
              </w:rPr>
              <w:t xml:space="preserve">guaranaplanten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  <w:b/>
              </w:rPr>
              <w:t xml:space="preserve">kolatræet</w:t>
            </w:r>
            <w:r>
              <w:rPr>
                <w:rStyle w:val="a"/>
                <w:color w:val="000000"/>
                <w:sz w:val="14"/>
              </w:rPr>
              <w:t xml:space="preserve"> eller </w:t>
            </w:r>
            <w:r>
              <w:rPr>
                <w:rStyle w:val="a"/>
                <w:color w:val="000000"/>
                <w:sz w:val="14"/>
                <w:b/>
              </w:rPr>
              <w:t xml:space="preserve">kolanødden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Sukker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Glucose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Fructose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Galaktose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Saccharose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Laktose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Maltose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Andre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Tilsætningsstoffer, der har farvende egenskaber for emissioner.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(§ 10b, stk. 7, nr. 3, sammenholdt med § 8b, stk. 2, nr. 3, i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Forbudte ingredienser i nikotinholdige og nikotinfrie elektroniske cigaretter og genopfyldningsbeholdere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Stofkategorier, herunder retsgrundlaget for forbuddet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Eksempler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Yderligere begrundelse for forbuddet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Tilsætningsstoffer, der har CMR-egenskaber i uforbrændt form.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(§ 10b, stk. 7, nr. 3, sammenholdt med § 8b, stk. 2, nr. 5, i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§ 10b, stk. 7, nr. 5, i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 klassificeret i overensstemmelse med del 3 i bilag VI til Europa-Parlamentets og Rådets forordning (EF) nr. 1272/2008 af 16. december 2008 om klassificering, mærkning og emballering af stoffer og blandinger og om ændring og ophævelse af direktiv 67/548/EØF og 1999/45/EF og om ændring af forordning (EF) nr. 1907/2006 (EUT L 353 af 31.12.2006, s. 1), senest ændret ved forordning (EU) 2016/1179 (EUT L 195 af 20.7.2016, s. 11), som </w:t>
            </w:r>
            <w:r>
              <w:rPr>
                <w:rStyle w:val="a"/>
                <w:color w:val="000000"/>
                <w:b/>
              </w:rPr>
              <w:t xml:space="preserve">CMR-stoffer i kategori 1A, 1B, 2 eller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Stoffer, der er klassificeret i henhold til Det Internationale Kræftforskningscenters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liste over klassificeringer med hensyn til kræftfremkaldende virkninger hos mennesker, i </w:t>
            </w:r>
            <w:r>
              <w:rPr>
                <w:rStyle w:val="a"/>
                <w:color w:val="000000"/>
                <w:b/>
              </w:rPr>
              <w:t xml:space="preserve">gruppe 1, 2A eller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 klassificeret som enten "kendte" eller "med rimelighed forventede" at være kræftfremkaldende hos mennesker af USA's National Toxicology Program (NTP)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Stoffer, der ifølge </w:t>
            </w:r>
            <w:r>
              <w:rPr>
                <w:rStyle w:val="a"/>
                <w:color w:val="000000"/>
                <w:b/>
              </w:rPr>
              <w:t xml:space="preserve">listen over MAK- og BAT-værdier</w:t>
            </w:r>
            <w:r>
              <w:rPr>
                <w:rStyle w:val="a"/>
                <w:color w:val="000000"/>
              </w:rPr>
              <w:t xml:space="preserve"> (offentliggjort af Deutsche Forschungsgemeinschaft (DFG)) er blevet klassificeret af MAK-udvalget som kræftfremkaldende i kategorierne 1, 2, 4 eller 5, som teratogene i kategorierne A, B eller C, og som kimcellemutagene i kategorierne 1, 2, 3A eller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Stoffer, der er klassificeret som kræftfremkaldende, mutagene eller reproduktionstoksiske af Den Europæiske Fødevaresikkerhedsautoritet (EFSA).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Eksempler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Isophoron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Pyridin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Myrcen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Chrysen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Benzo(a)anthracen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Benzo(b)fluoranthen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Titandioxid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Methyleugenol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Stoffer med virkninger på reproduktionssystemet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Propylparaben (para-hydroxybenzoesyrepropylester)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Visse parabener viser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reproduktionstoksiske virkninger.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of the Scientific Panel on food additives, flavourings, processing aids and materials in contact with food (AFC) related to para hydroxybenzoates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 propylparaben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Kalium propylparaben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 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Kalium 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 isobutylparaben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Sassafrasolie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Indeholder safrol.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Sassafrastræ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blade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Sassafrasbark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Ingredienser (undtagen nikotin i nikotinholdige væsker), der udgør en risiko for menneskers sundhed i opvarmet eller uopvarmet form.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(§ 10b, stk. 7, nr. 5, i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Stoffer, der har CMR-egenskaber i uforbrændt form.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(Se punkt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 klassificeret i overensstemmelse med del 3 i bilag VI til Europa-Parlamentets og Rådets forordning (EF) nr. 1272/2008 af 16. december 2008 om klassificering, mærkning og emballering af stoffer og blandinger og om ændring og ophævelse af direktiv 67/548/EØF og 1999/45/EF og om ændring af forordning (EF) nr. 1907/2006 (EUT L 353 af 31.12.2006, s. 1), senest ændret ved forordning (EU) 2016/1179 (EUT L 195 af 20.7.2016, s. 11), som </w:t>
            </w:r>
            <w:r>
              <w:rPr>
                <w:rStyle w:val="a"/>
                <w:color w:val="000000"/>
                <w:b/>
              </w:rPr>
              <w:t xml:space="preserve">respiratorisk sensibiliserende (Resp. Sens.)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Stoffer, der er opført i </w:t>
            </w:r>
            <w:r>
              <w:rPr>
                <w:rStyle w:val="a"/>
                <w:color w:val="000000"/>
                <w:b/>
              </w:rPr>
              <w:t xml:space="preserve">bilag III</w:t>
            </w:r>
            <w:r>
              <w:rPr>
                <w:rStyle w:val="a"/>
                <w:color w:val="000000"/>
              </w:rPr>
              <w:t xml:space="preserve">, del A, i Europa-Parlamentets og Rådets forordning (EF) nr. 1334/2008 af 16. december 2008 om </w:t>
            </w:r>
            <w:r>
              <w:rPr>
                <w:rStyle w:val="a"/>
                <w:color w:val="000000"/>
                <w:b/>
              </w:rPr>
              <w:t xml:space="preserve">ar</w:t>
            </w:r>
            <w:r>
              <w:rPr>
                <w:rStyle w:val="a"/>
                <w:color w:val="000000"/>
                <w:b/>
              </w:rPr>
              <w:t xml:space="preserve">omaer </w:t>
            </w:r>
            <w:r>
              <w:rPr>
                <w:rStyle w:val="a"/>
                <w:color w:val="000000"/>
              </w:rPr>
              <w:t xml:space="preserve">og visse fødevareingredienser med aromagivende egenskaber til anvendelse i og på fødevarer og ajourføringer heraf er opført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Agaricinsyre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1,2-benzopyron, coumarin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Hypericin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1-allyl-4-methoxybenzen,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Hydrogencyanid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Menthofuran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4-allyl-1,2-dimethoxybenzen, methyleugenol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1-allyl-3,4-methylendioxybenzen,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Thujon (alpha- og beta-)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Stoffer, der ifølge </w:t>
            </w:r>
            <w:r>
              <w:rPr>
                <w:rStyle w:val="a"/>
                <w:color w:val="000000"/>
                <w:b/>
              </w:rPr>
              <w:t xml:space="preserve">MAK- og BAT-værdilisten </w:t>
            </w:r>
            <w:r>
              <w:rPr>
                <w:rStyle w:val="a"/>
                <w:color w:val="000000"/>
              </w:rPr>
              <w:t xml:space="preserve">(udgivet af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klassificeres af MAK-udvalget som </w:t>
            </w:r>
            <w:r>
              <w:rPr>
                <w:rStyle w:val="a"/>
                <w:color w:val="000000"/>
                <w:b/>
              </w:rPr>
              <w:t xml:space="preserve">substantielle allergener</w:t>
            </w:r>
            <w:r>
              <w:rPr>
                <w:rStyle w:val="a"/>
                <w:color w:val="000000"/>
              </w:rPr>
              <w:t xml:space="preserve"> ("Sa", "Sah").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Forarbejdede bestanddele, ekstrakter og olier udvundet af </w:t>
            </w:r>
            <w:r>
              <w:rPr>
                <w:rStyle w:val="a"/>
                <w:color w:val="000000"/>
                <w:b/>
              </w:rPr>
              <w:t xml:space="preserve">polejmynte</w:t>
            </w:r>
            <w:r>
              <w:rPr>
                <w:rStyle w:val="a"/>
                <w:color w:val="000000"/>
              </w:rPr>
              <w:t xml:space="preserve">-planten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Polejmynte indeholder pulegon, et hepatotoksisk stof.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European Food Safety Authority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and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Olieholdige/fedtede stoffer såsom mættede eller umættede frie fedtsyrer og derivater heraf,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alkaner, alkener og alkyner med en kulstofkædelængde på 12 eller derover,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og triglycerider,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voks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(medium chain triglycerides)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Inhalering eller aspiration af lipider (fedtholdige/olieholdige stoffer) betragtes som den centrale årsag til udvikling af eksogen lipoid pneumoni (kronisk lungebetændelse).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Eksogen lipoid pneumoni kan udløses af mineralolier samt af olieholdige/fedtholdige stoffer af animalsk og vegetabilsk oprindelse.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Da de videnskabelige forklaringer altid henviser til olier og fedtstoffer eller olieholdige og fedtholdige stoffer generelt, bør den olieholdige/fedtholdige karakter snarere end en specifik sammensætning af stoffet være afgørende for den sundhedsskadelige virkning (Hadda og Khilnani 2010, M. Schwaiblmair et al. 2010, Nguyen og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and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and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Lipidpneumonie – ein unterschätztes Krankheitsbild?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Kolofonium, harpisk eller harpikssyrer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Abietinsyre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Harpiksdampe er klassificeret som respiratoriske sensibiliserende stoffer og mulige udløsere for astma.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Pimarinsyre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Isopimarinsyre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Palustrinsyre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Levopimarinsyre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Vitamin-E-acetat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Vitamin-E-acetat er tæt forbundet med 2019-udbruddet af EVALI (e-cigarette, or vaping, product use associated lung injury) i USA.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Diacetyl og visse strukturelle analoger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Diacetyl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Diacetyl og 2,3-pentadion kan forårsage alvorlig inflammation og luftvejssygdomme ved indånding.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Som en sikkerhedsforanstaltning anbefales det at udvide forbuddet til at omfatte de strukturelle analoger 2,3-hexadion og 2,3-heptadion.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"Diacetyl [MAK Value Documentation in German Language, 2015]."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"2,3-Pentandion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(det tyske forbundsinstitut for risikovurdering)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Sundhedsvurdering af tilsætningsstoffer til tobaksvarer og elektroniske cigaretter.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(på tysk: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"Gesundheitliche Bewertung von Zusatzstoffen für Tabakerzeugnisse und elektronische Zigaretten.")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BfR's udtalelse nr. 045/2015 af 30. juli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Bitter mandelolie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Bitter mandelolie kan naturligt indeholde hydrogencyanid.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Hydrogencyanid er en stærk gift, der kan lamme det centrale åndedrætssystem.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MAK-udvalget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Hydrogencyanid, kalium- og natriumcyanid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Documentation in German language,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Forbudte ingredienser i tobaksprodukter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Stofkategorier, herunder retsgrundlaget for forbuddet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Eksempler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Yderligere begrundelse for forbuddet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Vitaminer eller andre tilsætningsstoffer, der giver indtryk af, at en tobaksvare har en sundhedsmæssig fordel eller udgør en reduceret sundhedsrisiko.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(§ 8b, stk. 2, nr. 1, i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Vitaminer, der er opført på "EU-listen" i bilaget til forordning (EU) nr. 609/2013, som ændret, i overensstemmelse med artikel 15 i forordningen.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Aminosyrer og deres derivater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  <w:b/>
              </w:rPr>
              <w:t xml:space="preserve">hampeplanten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Cannabinoider (naturlige eller syntetiske af oprindelse)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Hormoner og hormonlignende stoffer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Flavonoider og phospholipider med antioxiderende virkninger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Andre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Cholinchlorid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Cholinhydroxid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Cholincitrat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Cholintartrat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S-Adenosylmethionin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L-5-Hydroxytryptophan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L-carnitinhydrochlorid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L-carnitin-L-tartrat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Natriumselenit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Koffein eller taurin eller andre tilsætningsstoffer og stimulerende forbindelser, der er forbundet med energi og vitalitet (§ 8b, stk. 2, nr. 2, i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olier, fra </w:t>
            </w:r>
            <w:r>
              <w:rPr>
                <w:rStyle w:val="a"/>
                <w:color w:val="000000"/>
                <w:sz w:val="14"/>
                <w:b/>
              </w:rPr>
              <w:t xml:space="preserve">kaffeplante</w:t>
            </w:r>
            <w:r>
              <w:rPr>
                <w:rStyle w:val="a"/>
                <w:color w:val="000000"/>
                <w:sz w:val="14"/>
              </w:rPr>
              <w:t xml:space="preserve"> og fra </w:t>
            </w:r>
            <w:r>
              <w:rPr>
                <w:rStyle w:val="a"/>
                <w:color w:val="000000"/>
                <w:sz w:val="14"/>
                <w:b/>
              </w:rPr>
              <w:t xml:space="preserve">kaffebønner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  <w:b/>
              </w:rPr>
              <w:t xml:space="preserve">teplanten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olier, fra </w:t>
            </w:r>
            <w:r>
              <w:rPr>
                <w:rStyle w:val="a"/>
                <w:color w:val="000000"/>
                <w:sz w:val="14"/>
                <w:b/>
              </w:rPr>
              <w:t xml:space="preserve">guaranaplanten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</w:t>
            </w:r>
            <w:r>
              <w:rPr>
                <w:rStyle w:val="a"/>
                <w:color w:val="000000"/>
                <w:sz w:val="14"/>
                <w:b/>
              </w:rPr>
              <w:t xml:space="preserve">kolatræet</w:t>
            </w:r>
            <w:r>
              <w:rPr>
                <w:rStyle w:val="a"/>
                <w:color w:val="000000"/>
                <w:sz w:val="14"/>
              </w:rPr>
              <w:t xml:space="preserve"> eller </w:t>
            </w:r>
            <w:r>
              <w:rPr>
                <w:rStyle w:val="a"/>
                <w:color w:val="000000"/>
                <w:sz w:val="14"/>
                <w:b/>
              </w:rPr>
              <w:t xml:space="preserve">kolanødden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Andre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Tilsætningsstoffer, der har farvende egenskaber for emissioner.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(§ 8b, stk. 2, nr. 3, i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Tilsætningsstoffer, der letter inhalering eller nikotinoptagelse for tobaksvarer (§ 8b, stk. 2, nr. 4, i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og analoger, TRPM-8-agonister, "cooling compounds", "synthetic coolants"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p-Menthan-3-substituerede og modificerede forbindelser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Alle stoffer eller blandinger med kølende eller smertestillende virkninger betragtes som stoffer, der letter inhalering.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Reference: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Date: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December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Doc. Ref. No: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p-Menthan-3-carboxamid, herunder. p-Menthan-3-N-alkylcarboxamid og p-Menthan-3-N-arylcarboxamid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p-Menthan-3-ether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p-Menthan-3-carboxylsyrer og deres estere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Andre p-Menthan-3-substituerede og modificerede forbindelser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p-Menthan-alkoholer og deres estere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Eksempler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N-Ethyl-p-menthan-3-carboxamid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2-Isopropyl-5-methyl-cyclohexancarboxylsyre(4 methoxy- phenyl)-amid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(1R,2S,5R)-N-((ethoxycarbonyl)methyl)-p-menthan-3- carboxamid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N-tert-butyl-p-menthan-3-carboxamid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2-Isopropyl-N,2,3-trimethylbutyramid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N-(p-menthan-3-carbonyl)-D-alanin ethyl ester (CPS- 369,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N-(4-fluorphenyl)-p-menthan-3-carboxamid (CPS- 124)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N-(4-ethoxyphenyl)-p-menthan-3-carboxamid (CPS- 128)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Menthyllactat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Menthoxypropan-1,2-diol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2-Isopropyl-5-methylcyclohexancarboxylsyre 2,3-dihydroxy-propyl 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Menthon 1,2-glycerolketal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Monomenthylsuccinat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Menthyl-3-hydroxybutyrat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Menthylacetat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Menthol ethylen glycol carbonat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2,3-Dihydroxypropyl p-menthan-3-carboxylat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Cis-p-menthan-3,8-diol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Cooling Agent AG-3-5 (3,4-Dihydro-3-(2-hydroxyphenyl)-6-(3-nitrophenyl)-(1H)-pyrimidin-2-on)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 2,3-trimethylbutyramid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1-(Di-sec-butyl-phosphinoyl)-heptan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5-methyl-4-(1-pyrolidinyl)-3-2H-furanon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(-)-Menthon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(+)-Menthon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L-carvon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(eucalyptol)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Hydroxycitronellal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Bestanddele, herunder forarbejdede bestanddele, ekstrakter og olier fra planter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Eukalyptus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Nikotinsalte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Nikotinbenzoat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Nikotinsalte kan absorberes hurtigere i kroppen ved indhalering og forårsage mindre irritation end nikotin i fri form.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Referencer: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Nikotinditartrat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Nikotinlaktat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Nikotinlevulinat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Nikotinmalat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Nikotinsalicylat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Tilsætningsstoffer, der har CMR-egenskaber i uforbrændt form.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(§ 10b, stk. 7, nr. 3, sammenholdt med § 8b, stk. 2, nr. 5, i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Stoffer klassificeret i overensstemmelse med del 3 i bilag VI til Europa-Parlamentets og Rådets forordning (EF) nr. 1272/2008 af 16. december 2008 om klassificering, mærkning og emballering af stoffer og blandinger og om ændring og ophævelse af direktiv 67/548/EØF og 1999/45/EF og om ændring af forordning (EF) nr. 1907/2006 (EUT L 353 af 31.12.2006, s. 1), senest ændret ved forordning (EU) 2016/1179 (EUT L 195 af 20.7.2016, s. 11), som </w:t>
            </w:r>
            <w:r>
              <w:rPr>
                <w:rStyle w:val="a"/>
                <w:color w:val="000000"/>
                <w:sz w:val="12"/>
                <w:b/>
              </w:rPr>
              <w:t xml:space="preserve">CMR-stoffer i kategori 1A, 1B, 2 eller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Stoffer, der er klassificeret i henhold til Det Internationale Kræftforskningscenters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liste over klassificeringer med hensyn til kræftfremkaldende virkninger hos mennesker, i </w:t>
            </w:r>
            <w:r>
              <w:rPr>
                <w:rStyle w:val="a"/>
                <w:color w:val="000000"/>
                <w:sz w:val="12"/>
                <w:b/>
              </w:rPr>
              <w:t xml:space="preserve">gruppe 1, 2A eller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Stoffer klassificeret som enten "kendte" eller "med rimelighed forventede" at være kræftfremkaldende hos mennesker af USA's National Toxicology Program (NTP)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Stoffer, der ifølge </w:t>
            </w:r>
            <w:r>
              <w:rPr>
                <w:rStyle w:val="a"/>
                <w:color w:val="000000"/>
                <w:sz w:val="12"/>
                <w:b/>
              </w:rPr>
              <w:t xml:space="preserve">listen over MAK- og BAT-værdier</w:t>
            </w:r>
            <w:r>
              <w:rPr>
                <w:rStyle w:val="a"/>
                <w:color w:val="000000"/>
                <w:sz w:val="12"/>
              </w:rPr>
              <w:t xml:space="preserve"> (offentliggjort af Deutsche Forschungsgemeinschaft (DFG)) er blevet klassificeret af MAK-udvalget som kræftfremkaldende i kategorierne 1, 2, 4 eller 5, som teratogene i kategorierne A, B eller C, og som kimcellemutagene i kategorierne 1, 2, 3A eller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Stoffer, der er klassificeret som kræftfremkaldende, mutagene eller reproduktionstoksiske af Den Europæiske Fødevaresikkerhedsautoritet (EFSA).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Eksempler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Isophoron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Pyridin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Myrcen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Chrysen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Benzo(a)anthracen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Benzo(b)fluoranthen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Titandioxid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Methyleugenol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Stoffer med virkninger på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reproduktionssystemet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Parabener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Propylparaben (para-hydroxybenzoesyre-propylester)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Visse parabener viser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reproduktionstoksiske virkninger.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Referencer: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 propylparaben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Kalium propylparaben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 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Kalium 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 isobutylparaben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Sassafrasolie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Indeholder safrol.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Sassafrastræ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Sassafrasblade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Sassafrasbark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Side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af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Side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af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Endelig udgave ifølge det rådgivende udvalg for ingredienser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Endelig udgave ifølge det rådgivende udvalg for ingredienser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da-DK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