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Luettelo tupakkatuotteissa ja sähkösavukkeissa kielletyistä aineista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Seuraavassa luettelossa esitetään esimerkinomaisesti aineet tai aineluokat, jotka kuuluvat tällä hetkellä tupakasta ja tupakoimattomien henkilöiden suojelusta annetun Itävallan lain (TNRSG) lakisääteisten kieltojen soveltamisalaan. Luettelo ei ole tyhjentävä.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Nikotiinia sisältävissä sähkösavukkeissa ja täyttösäiliöissä kielletyt ainesosat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Aineiden luokat, mukaan lukien kiellon oikeusperusta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Esimerkkejä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Vitamiinit tai muut lisäaineet, jotka luovat vaikutelman, että tupakkatuotteella on terveysvaikutuksia tai sen aiheuttama terveysriski on alhaisempi.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(TNRSG-lain 10 b §:n 7 momentin 3 kohta yhdessä 8 b §:n 2 momentin 1 kohdan kanssa)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Vitamiinit, jotka mainitaan asetuksen (EU) N:o 609/2013, sellaisena kuin se on muutettuna, liitteessä olevassa ”Unionin luettelossa” asetuksen 15 artiklan mukaisesti.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Aminohapot ja niiden johdannaiset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Kipulääkkeet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Hamppukasvista</w:t>
            </w:r>
            <w:r>
              <w:rPr>
                <w:rStyle w:val="a"/>
                <w:color w:val="000000"/>
                <w:sz w:val="14"/>
              </w:rPr>
              <w:t xml:space="preserve"> 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</w:rPr>
              <w:t xml:space="preserve">saatavat ainesosat, mukaan lukien jalostetut ainesosat, uutteet ja öljyt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Kannabinoidit (luonnollista tai synteettistä alkuperää)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Kannabidioli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Hormonit ja hormonien kaltaiset aineet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Melatoniini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Flavonoidit ja fosfolipidit, joilla on antioksidatiivisia vaikutuksia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Naringiini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Muut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Koliinikloridi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Koliinihydroksidi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Koliinisitraatti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Koliinitartraatti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Betaiini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S-adenosyylimetioniini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L-5-hydroksitryptofaani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Karnitiini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L-karnitiini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L-karnitiinihydrokloridi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L-karnitiini-L-tartraatti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Natriumseleniitti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Kofeiini tai tauriini sekä muut lisäaineet ja piristeet, jotka yhdistetään energiaan ja elinvoimaan (TNRSG-lain 10 b §:n 7 momentin 3 kohta yhdessä 8 b §:n 2 momentin 2 kohdan kanssa)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Kahvikasvista</w:t>
            </w:r>
            <w:r>
              <w:rPr>
                <w:rStyle w:val="a"/>
                <w:color w:val="000000"/>
                <w:sz w:val="14"/>
              </w:rPr>
              <w:t xml:space="preserve"> ja </w:t>
            </w:r>
            <w:r>
              <w:rPr>
                <w:rStyle w:val="a"/>
                <w:color w:val="000000"/>
                <w:sz w:val="14"/>
                <w:b/>
              </w:rPr>
              <w:t xml:space="preserve">kahvipavuista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Teekasvista </w:t>
            </w:r>
            <w:r>
              <w:rPr>
                <w:rStyle w:val="a"/>
                <w:color w:val="000000"/>
                <w:sz w:val="14"/>
              </w:rPr>
              <w:t xml:space="preserve">Camellia sinensis (L.) Kuntze saatavat ainesosat, mukaan lukien jalostetut ainesosat, uutteet ja öljyt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Guaranakasvista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Yerba mate -kasvista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Kolapuusta</w:t>
            </w:r>
            <w:r>
              <w:rPr>
                <w:rStyle w:val="a"/>
                <w:color w:val="000000"/>
                <w:sz w:val="14"/>
              </w:rPr>
              <w:t xml:space="preserve"> tai </w:t>
            </w:r>
            <w:r>
              <w:rPr>
                <w:rStyle w:val="a"/>
                <w:color w:val="000000"/>
                <w:sz w:val="14"/>
                <w:b/>
              </w:rPr>
              <w:t xml:space="preserve">kolapähkinästä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Sokeri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Glukoosi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Fruktoosi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Galaktoosi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Sakkaroosi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Laktoosi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Maltoosi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Muut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Maltodekstriini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Inositoli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Lisäaineet, joilla on päästöjä värjääviä ominaisuuksia.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(TNRSG-lain 10 b §:n 7 momentin 3 kohta yhdessä 8 b §:n 2 momentin 3 kohdan kanssa)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Nikotiinia sisältävissä ja nikotiinittomissa sähkösavukkeissa ja täyttösäiliöissä kielletyt ainesosat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Aineiden luokat, mukaan lukien kiellon oikeusperusta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Esimerkkejä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Kiellon lisäperustelut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Lisäaineet, joilla on CMR-ominaisuuksia polttamattomassa muodossa.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(TNRSG-lain 10 b §:n 7 momentin 3 kohta yhdessä 8 b §:n 2 momentin 5 kohdan kanssa;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TNRSG-lain 10 b §:n 7 momentin 5 kohta)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jotka on luokiteltu aineiden ja seosten luokituksesta, merkinnöistä ja pakkaamisesta sekä direktiivien 67/548/ETY ja 1999/45/EY muuttamisesta ja kumoamisesta ja asetuksen (EY) N:o 1907/2006 muuttamisesta 16 päivänä joulukuuta 2008 annetun Euroopan parlamentin ja neuvoston asetuksen (EY) N:o 1272/2008 (EUVL L 353, 31.12.2006, s. 1), sellaisena kuin se on viimeksi muutettuna asetuksella (EU) 2016/1179 (EUVL L 195, 20.7.2016, s. 11), liitteessä VI olevan 3 osan mukaisesti </w:t>
            </w:r>
            <w:r>
              <w:rPr>
                <w:rStyle w:val="a"/>
                <w:color w:val="000000"/>
                <w:b/>
              </w:rPr>
              <w:t xml:space="preserve">kategoriaan 1A, 1B, 2 tai Lact. kuuluviksi CMR-aineiksi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jotka on luokiteltu Kansainvälisen syöväntutkimuslaitoksen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luokitusluettelossa ihmisille karsinogeenisten vaikutusten osalta </w:t>
            </w:r>
            <w:r>
              <w:rPr>
                <w:rStyle w:val="a"/>
                <w:color w:val="000000"/>
                <w:b/>
              </w:rPr>
              <w:t xml:space="preserve">ryhmään 1, 2A tai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jotka on luokiteltu joko ”tunnetuiksi” tai ”kohtuudella ennakoitaviksi” ihmisille syöpää aiheuttaviksi aineiksi Yhdysvaltojen kansallisessa toksikologiaohjelmassa (National Toxicology Program, NTP)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joilla MAK-komitean luokitukseen perustuvan (Deutsche Forschungsgemeinschaftin [DFG] julkaiseman) </w:t>
            </w:r>
            <w:r>
              <w:rPr>
                <w:rStyle w:val="a"/>
                <w:color w:val="000000"/>
                <w:b/>
              </w:rPr>
              <w:t xml:space="preserve">MAK- ja BAT-arvojen luettelon</w:t>
            </w:r>
            <w:r>
              <w:rPr>
                <w:rStyle w:val="a"/>
                <w:color w:val="000000"/>
              </w:rPr>
              <w:t xml:space="preserve"> mukaan on luokan 1, 2, 4 tai 5 karsinogeenisia vaikutuksia, luokan A, B tai C teratogeenisia vaikutuksia ja luokan 1, 2, 3A tai 3B sukusolujen perimää vaurioittavia vaikutuksia.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jotka Euroopan elintarviketurvallisuusviranomainen (EFSA) on luokitellut syöpää aiheuttaviksi, perimää vaurioittaviksi tai lisääntymiselle vaarallisiksi.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1.1–1.5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Esimerkkejä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Isoforoni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Pyridiini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Myrseeni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Kryseeni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Bentso(a)antraseeni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Bentso(b)fluoranteeni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Titaanidioksidi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Metyylieugenoli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Aineet, joilla on vaikutuksia lisääntymiselimiin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Parabeenit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Propyyliparabeeni (para-hydroksibentsoehapon propyyliesteri)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Tietyillä parabeeneilla on havaittu lisääntymiselle vaarallisia vaikutuksia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Viittaukset: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(Scientific Committee on Consumer Safety)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(European Food Safety Authority)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of the Scientific Panel on food additives, flavourings, processing aids and materials in contact with food (AFC) related to para hydroxybenzoates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Natriumpropyyliparabeeni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Kaliumpropyyliparabeeni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Butyyliparabeeni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Natriumbutyyliparabeeni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Kaliumbutyyliparabeeni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Isobutyyliparabeeni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Natriumisobutyyliparabeeni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Sassafrasöljy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Sisältää safrolia.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</w:t>
            </w:r>
            <w:r>
              <w:rPr>
                <w:rStyle w:val="a"/>
                <w:color w:val="000000"/>
              </w:rPr>
              <w:t xml:space="preserve">puu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</w:t>
            </w:r>
            <w:r>
              <w:rPr>
                <w:rStyle w:val="a"/>
                <w:color w:val="000000"/>
              </w:rPr>
              <w:t xml:space="preserve">lehdet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</w:t>
            </w:r>
            <w:r>
              <w:rPr>
                <w:rStyle w:val="a"/>
                <w:color w:val="000000"/>
              </w:rPr>
              <w:t xml:space="preserve">kaarna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Ainesosat (lukuun ottamatta nikotiinia sisältävissä nesteissä olevaa nikotiinia), jotka vaarantavat ihmisten terveyden kuumennetussa tai kuumentamattomassa muodossa.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(TNRSG-lain 10 b §:n 7 momentin 5 kohta)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joilla on CMR-ominaisuuksia polttamattomassa muodossa.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(Ks. 1 kohta)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jotka on luokiteltu aineiden ja seosten luokituksesta, merkinnöistä ja pakkaamisesta sekä direktiivien 67/548/ETY ja 1999/45/EY muuttamisesta ja kumoamisesta ja asetuksen (EY) N:o 1907/2006 muuttamisesta 16 päivänä joulukuuta 2008 annetun Euroopan parlamentin ja neuvoston asetuksen (EY) N:o 1272/2008 (EUVL L 353, 31.12.2006, s. 1), sellaisena kuin se on viimeksi muutettuna asetuksella (EU) 2016/1179 (EUVL L 195, 20.7.2016, s. 11), liitteessä VI olevan 3 osan mukaisesti </w:t>
            </w:r>
            <w:r>
              <w:rPr>
                <w:rStyle w:val="a"/>
                <w:color w:val="000000"/>
                <w:b/>
              </w:rPr>
              <w:t xml:space="preserve">hengityselimiä herkistäviksi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jotka on mainittu elintarvikkeissa käytettävistä </w:t>
            </w:r>
            <w:r>
              <w:rPr>
                <w:rStyle w:val="a"/>
                <w:color w:val="000000"/>
                <w:b/>
              </w:rPr>
              <w:t xml:space="preserve">aromeista</w:t>
            </w:r>
            <w:r>
              <w:rPr>
                <w:rStyle w:val="a"/>
                <w:color w:val="000000"/>
              </w:rPr>
              <w:t xml:space="preserve"> ja tietyistä ainesosista, joilla on aromaattisia ominaisuuksia, 16 päivänä joulukuuta 2008 annetun Euroopan parlamentin ja neuvoston asetuksen (EY) N:o 1334/2008 </w:t>
            </w:r>
            <w:r>
              <w:rPr>
                <w:rStyle w:val="a"/>
                <w:color w:val="000000"/>
                <w:b/>
              </w:rPr>
              <w:t xml:space="preserve">liitteessä III</w:t>
            </w:r>
            <w:r>
              <w:rPr>
                <w:rStyle w:val="a"/>
                <w:color w:val="000000"/>
              </w:rPr>
              <w:t xml:space="preserve">,</w:t>
            </w:r>
            <w:r>
              <w:rPr>
                <w:rStyle w:val="a"/>
                <w:color w:val="000000"/>
              </w:rPr>
              <w:t xml:space="preserve">sellaisena kuin se on kulloinkin voimassa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Agariinihappo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Aloiini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Kapsaisiini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1,2-bentsopyroni, kumariini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Hyperisiini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1-allyyli-4-metoksibentseeni, estragoli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Syaanivetyhappo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Mentofuraani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4-allyyli-1,2-dimetoksibentseeni, metyylieugenoli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Kvassiini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1-allyyli-3,4-metyleenidioksibentseeni, safroli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 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Tujonit (alfa ja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Aineet, jotka MAK-komitean luokitukseen perustuvan (Deutsche Forschungsgemeinschaftin [DFG] julkaiseman) </w:t>
            </w:r>
            <w:r>
              <w:rPr>
                <w:rStyle w:val="a"/>
                <w:color w:val="000000"/>
                <w:b/>
              </w:rPr>
              <w:t xml:space="preserve">MAK- ja BAT-arvojen luettelon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mukaan ovat </w:t>
            </w:r>
            <w:r>
              <w:rPr>
                <w:rStyle w:val="a"/>
                <w:color w:val="000000"/>
                <w:b/>
              </w:rPr>
              <w:t xml:space="preserve">merkittävästi allergiaa aiheuttavia</w:t>
            </w:r>
            <w:r>
              <w:rPr>
                <w:rStyle w:val="a"/>
                <w:color w:val="000000"/>
              </w:rPr>
              <w:t xml:space="preserve"> (”Sa”, ”Sah”).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Puolanminttu</w:t>
            </w:r>
            <w:r>
              <w:rPr>
                <w:rStyle w:val="a"/>
                <w:color w:val="000000"/>
              </w:rPr>
              <w:t xml:space="preserve">-kasvista saatavat jalostetut ainesosat, uutteet ja öljyt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Puolanminttu sisältää pulegonia, joka on hepatotoksinen aine.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Viittaukset: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European Food Safety Authority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and Menthofuran in flavourings - Opinion of the Scientific Panel on Food Additives, Flavourings, Processing Aids and Materials in contact with Food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&amp;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Rasvaiset/öljyiset aineet, kuten tyydyttyneet tai tyydyttymättömät vapaat rasvahapot ja niiden johdannaiset;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alkaanit, alkeenit ja alkyynit, joiden hiiliketjun pituus on vähintään 12;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ja triglyseridit;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vahat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(medium chain triglycerides eli keskipitkäketjuiset triglyseridit)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Lipidien (rasvaisten/öljyisten aineiden) hengittämistä tai aspiraatiota pidetään keskeisenä syynä eksogeenisen lipidikeuhkokuumeen (kroonisen keuhkokuumeen) kehittymiseen.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Eksogeenisen lipidikeuhkokuumeen voivat aiheuttaa mineraaliöljyt sekä eläin- ja kasviperäiset öljyiset/rasvaiset aineet.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Koska tieteellisissä selvityksissä viitataan aina öljyihin ja rasvoihin tai yleisemmin öljyisiin ja rasvaisiin aineisiin, olisi katsottava, että haitallisen terveysvaikutuksen kannalta ratkaisevaa ei ole aineen tietty koostumus vaan sen öljyinen/rasvainen luonne (Hadda &amp; Khilnani 2010, M. Schwaiblmair ym. 2010, Nguyen &amp;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Viittaukset: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&amp;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D. &amp; Oh Scott S.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 ym.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Lipidpneumonie – ein unterschätztes Krankheitsbild?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 ym.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Skvalaani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Skvaleeni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Kolofoni, hartsi tai hartsihapot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Abietiinihappo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Hartsihöyryt on luokiteltu hengitysteitä herkistäviksi ja mahdollisiksi astman aiheuttajiksi.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Viittaukset: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Pimaarihappo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Isopimaarihappo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Palustriinihappo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Levopimaarihappo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E-vitamiiniasetaatti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E-vitamiiniasetaatti liittyy läheisesti EVALI-tapausten (e-cigarette, or vaping, product use associated lung injury) merkittävään kasvuun Yhdysvalloissa vuonna 2019.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Viittaukset: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ym.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Diasetyyli ja tietyt rakenteelliset analogit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Diasetyyli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Diasetyyli ja 2,3-pentadioni voivat aiheuttaa vakavia tulehduksia ja hengityselinsairauksia hengitettynä.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Varotoimenpiteenä suositellaan kiellon laajentamista koskemaan rakenteellisia analogeja 2,3-heksadioni ja 2,3-heptadioni.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Viittaukset: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”Diacetyl [MAK Value Documentation in German Language, 2015]”.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”2,3-Pentandion [MAK Value Documentation in German language, 2017]”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(Bundesinstitut für Risikobewertung, Saksan liittovaltion riskinarviointilaitos)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Tupakkatuotteiden ja sähkösavukkeiden lisäaineiden terveysarviointi.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(saksaksi: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”Gesundheitliche Bewertung von Zusatzstoffen für Tabakerzeugnisse und elektronische Zigaretten”.)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BfR:n lausunto nro 045/2015, 30. heinäkuuta 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2,3-pentadioni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2,3-heksadioni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2,3-heptadioni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Karvasmanteliöljy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Karvasmanteliöljy voi luonnostaan sisältää syaanivetyhappoa.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Syaanivetyhappo on voimakas myrkky, joka voi halvaannuttaa hengityselimistön.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Viittaukset: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Cyanwasserstoff, Kalium- und Natriumcyanid [MAK Value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Documentation in German language,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Tupakkatuotteissa kielletyt ainesosat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Aineiden luokat, mukaan lukien kiellon oikeusperusta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Esimerkkejä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Kiellon lisäperustelut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Vitamiinit tai muut lisäaineet, jotka luovat vaikutelman, että tupakkatuotteella on terveysvaikutuksia tai sen aiheuttama terveysriski on alhaisempi.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(TNRSG-lain 8 b §:n 2 momentin 1 kohta)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Vitamiinit, jotka mainitaan asetuksen (EU) N:o 609/2013, sellaisena kuin se on muutettuna, liitteessä olevassa ”Unionin luettelossa” asetuksen 15 artiklan mukaisesti.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Aminohapot ja niiden johdannaiset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Kipulääkkeet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Hamppukasvista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Kannabinoidit (luonnollista tai synteettistä alkuperää)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Kannabidioli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Hormonit ja hormonien kaltaiset aineet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Melatoniini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Flavonoidit ja fosfolipidit, joilla on antioksidatiivisia vaikutuksia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Naringiini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Muut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Koliinikloridi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Koliinihydroksidi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Koliinisitraatti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Koliinitartraatti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Betaiini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S-adenosyylimetioniini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L-5-hydroksitryptofaani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Karnitiini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L-karnitiinihydrokloridi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L-karnitiini-L-tartraatti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Natriumseleniitti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Kofeiini tai tauriini sekä muut lisäaineet ja piristeet, jotka yhdistetään energiaan ja elinvoimaan (TNRSG-lain 8 b §:n 2 momentin 2 kohta)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Kahvikasvista</w:t>
            </w:r>
            <w:r>
              <w:rPr>
                <w:rStyle w:val="a"/>
                <w:color w:val="000000"/>
                <w:sz w:val="14"/>
              </w:rPr>
              <w:t xml:space="preserve"> ja </w:t>
            </w:r>
            <w:r>
              <w:rPr>
                <w:rStyle w:val="a"/>
                <w:color w:val="000000"/>
                <w:sz w:val="14"/>
                <w:b/>
              </w:rPr>
              <w:t xml:space="preserve">kahvipavuista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Teekasvista </w:t>
            </w:r>
            <w:r>
              <w:rPr>
                <w:rStyle w:val="a"/>
                <w:color w:val="000000"/>
                <w:sz w:val="14"/>
              </w:rPr>
              <w:t xml:space="preserve">Camellia sinensis (L.) Kuntze saatavat ainesosat, mukaan lukien jalostetut ainesosat, uutteet ja öljyt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Guaranakasvista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Yerba mate -kasvista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Kolapuusta</w:t>
            </w:r>
            <w:r>
              <w:rPr>
                <w:rStyle w:val="a"/>
                <w:color w:val="000000"/>
                <w:sz w:val="14"/>
              </w:rPr>
              <w:t xml:space="preserve"> tai </w:t>
            </w:r>
            <w:r>
              <w:rPr>
                <w:rStyle w:val="a"/>
                <w:color w:val="000000"/>
                <w:sz w:val="14"/>
                <w:b/>
              </w:rPr>
              <w:t xml:space="preserve">kolapähkinästä</w:t>
            </w:r>
            <w:r>
              <w:rPr>
                <w:rStyle w:val="a"/>
                <w:color w:val="000000"/>
                <w:sz w:val="14"/>
              </w:rPr>
              <w:t xml:space="preserve"> saatavat ainesosat, mukaan lukien jalostetut ainesosat, uutteet ja öljyt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Muut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Maltodekstriini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Inositoli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Lisäaineet, joilla on päästöjä värjääviä ominaisuuksia.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(TNRSG-lain 8 b §:n 2 momentin 3 kohta)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Poltettavaksi tarkoitettujen tupakkatuotteiden osalta lisäaineet, jotka edistävät savun hengittämistä keuhkoihin tai nikotiinin imeytymistä (TNRSG-lain 8 b §:n 2 momentin 4 kohta)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Mentoli ja analogit, TRPM-8-agonistit, ”cooling compounds”, ”synthetic coolants”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p-mentaani-3-substituoidut ja modifioidut yhdisteet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Kaikki aineet tai seokset, joilla on viilentäviä tai kipua lievittäviä vaikutuksia, katsotaan aineiksi, jotka helpottavat savun hengittämistä keuhkoihin.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Viite: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and the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Date: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joulukuuta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Doc. Ref. No: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p-mentaani-3-karboksamidi, mukaan lukien p-mentaani-3-N-alkyylikarboksamidi ja p-mentaani-3-N-aryylikarboksamidi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p-mentaani-3-esteri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p-mentaani-3-eetteri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p-mentaani-3-karboksyylihapot ja niiden esterit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Muut p-mentaani-3-substituoidut ja modifioidut yhdisteet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p-mentaanialkoholit ja niiden esterit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Esimerkkejä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N-etyyli-p-mentaani-3-karboksamidi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2-isopropyyli-5-metyylisykloheksaanikarboksyylihapon (4-metoksifenyyli)amidi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(1R,2S,5R)-N-((etoksikarbonyyli)metyyli)-p-mentaani-3-karboksamidi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N-tert-butyyli-p-mentaani-3-karboksamidi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2-isopropyyli-N,2,3-trimetyylibutyyriamidi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N-(p-mentaani-3-karbonyyli)-D-alaniinin etyyliesteri (CPS- 369,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N-(4-fluorifenyyli)-p-mentaani-3-karboksamidi (CPS- 124)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N-(4-etoksifenyyli)-p-mentaani-3-karboksamidi (CPS- 128)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Mentyylilaktaatti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Mentoksipropaani-1,2-dioli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2-isopropyyli-5-metyylisykloheksaanikarboksyylihapon 2,3-dihydroksipropyyliesteri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Mentoni-1,2-glyseroliketaali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Monomentyylisukkinaatti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Mentyyli-3-hydroksibutyraatti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Mentyyliasetaatti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Mentolietyleeniglykolikarbonaatti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2,3-dihydroksipropyyli-p-mentaani-3-karboksylaatti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Cis-p-mentaani-3,8-dioli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Cooling Agent AG-3-5 AG-3-5 (3,4-dihydro-3-(2-hydroksifenyyli)-6-(3-nitrofenyyli)-(1H)-pyrimidin-2-oni)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2-isopropyyli-N-2,3-trimetyylibutyramidi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1-(di-sek-butyyli-fosfinoyyli)-heptaani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5-metyyli-4-(1-pyrolidinyyli)-3-2H-furanoni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(-)-mentoni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L-karvoni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1,8-sineoli (eukalyptoli)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1,4-sineoli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Hydroksisitronellaali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Mainituista kasveista saatavat ainesosat, mukaan lukien jalostetut ainesosat, uutteet ja öljyt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Mentha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Eucalyptus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Nikotiinin suolat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Nikotiinibentsoaatti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Nikotiinin suolat imeytyvät nopeammin elimistöön hengitettynä ja aiheuttavat vähemmän ärsytystä kuin nikotiini vapaassa muodossa.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Viittaukset: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ym.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ym.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ym.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Nikotiiniditartraatti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Nikotiinilaktaatti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Nikotiinilevulinaatti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Nikotiinimalaatti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Nikotiinisalisylaatti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Lisäaineet, joilla on CMR-ominaisuuksia polttamattomassa muodossa.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(TNRSG-lain 10 b §:n 7 momentin 3 kohta yhdessä 8 b §:n 2 momentin 5 kohdan kanssa)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Aineet, jotka on luokiteltu aineiden ja seosten luokituksesta, merkinnöistä ja pakkaamisesta sekä direktiivien 67/548/ETY ja 1999/45/EY muuttamisesta ja kumoamisesta ja asetuksen (EY) N:o 1907/2006 muuttamisesta 16 päivänä joulukuuta 2008 annetun Euroopan parlamentin ja neuvoston asetuksen (EY) N:o 1272/2008 (EUVL L 353, 31.12.2006, s. 1), sellaisena kuin se on viimeksi muutettuna asetuksella (EU) 2016/1179 (EUVL L 195, 20.7.2016, s. 11), liitteessä VI olevan 3 osan mukaisesti </w:t>
            </w:r>
            <w:r>
              <w:rPr>
                <w:rStyle w:val="a"/>
                <w:color w:val="000000"/>
                <w:sz w:val="12"/>
                <w:b/>
              </w:rPr>
              <w:t xml:space="preserve">kategoriaan 1A, 1B, 2 tai Lact. kuuluviksi CMR-aineiksi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Aineet, jotka on luokiteltu Kansainvälisen syöväntutkimuslaitoksen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luokitusluettelossa ihmisille karsinogeenisten vaikutusten osalta </w:t>
            </w:r>
            <w:r>
              <w:rPr>
                <w:rStyle w:val="a"/>
                <w:color w:val="000000"/>
                <w:sz w:val="12"/>
                <w:b/>
              </w:rPr>
              <w:t xml:space="preserve">ryhmään 1, 2A tai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Aineet, jotka on luokiteltu joko ”tunnetuiksi” tai ”kohtuudella ennakoitaviksi” ihmisille syöpää aiheuttaviksi aineiksi Yhdysvaltojen kansallisessa toksikologiaohjelmassa (National Toxicology Program, NTP)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Aineet, joilla MAK-komitean luokitukseen perustuvan (Deutsche Forschungsgemeinschaftin [DFG] julkaiseman) </w:t>
            </w:r>
            <w:r>
              <w:rPr>
                <w:rStyle w:val="a"/>
                <w:color w:val="000000"/>
                <w:sz w:val="12"/>
                <w:b/>
              </w:rPr>
              <w:t xml:space="preserve">MAK- ja BAT-arvojen luettelon</w:t>
            </w:r>
            <w:r>
              <w:rPr>
                <w:rStyle w:val="a"/>
                <w:color w:val="000000"/>
                <w:sz w:val="12"/>
              </w:rPr>
              <w:t xml:space="preserve"> mukaan on luokan 1, 2, 4 tai 5 karsinogeenisia vaikutuksia, luokan A, B tai C teratogeenisia vaikutuksia ja luokan 1, 2, 3A tai 3B sukusolujen perimää vaurioittavia vaikutuksia.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Aineet, jotka Euroopan elintarviketurvallisuusviranomainen (EFSA) on luokitellut syöpää aiheuttaviksi, perimää vaurioittaviksi tai lisääntymiselle vaarallisiksi.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5.1–5.5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Esimerkkejä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Isoforoni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Pyridiini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Myrseeni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Kryseeni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Bentso(a)antraseeni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Bentso(b)fluoranteeni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Titaanidioksidi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Metyylieugenoli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Aineet, joilla on vaikutuksia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lisääntymiselimiin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Parabeenit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Propyyliparabeeni (para-hydroksibentsoehapon propyyliesteri)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Tietyillä parabeeneilla on havaittu lisääntymiselle vaarallisia vaikutuksia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Viittaukset: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(Scientific Committee on Consumer Safety)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(European Food Safety Authority)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Scientific Panel on food additives, flavourings, processing aids and materials in contact with food (AFC) related to para hydroxybenzoates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Natriumpropyyliparabeeni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Kaliumpropyyliparabeeni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Butyyliparabeeni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Natriumbutyyliparabeeni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Kaliumbutyyliparabeeni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Isobutyyliparabeeni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Natriumisobutyyliparabeeni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Sassafrasöljy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Sisältää safrolia.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Sassafraspuu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Sassafraslehdet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Sassafraskaarna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Sivu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/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Sivu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/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Ainesosia käsittelevän neuvoa-antavan komitean laatima lopullinen versio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Ainesosia käsittelevän neuvoa-antavan komitean laatima lopullinen versio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fi-F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