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Liste des substances interdites dans les produits du tabac et les cigarettes électroniques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La liste suivante représente, à titre d'exemple, les substances ou catégories de substances qui relèvent actuellement des interdictions légales de la loi autrichienne sur le tabac et la protection des non-fumeurs (TNRSG), mais ne constitue pas une liste exhaustive.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Ingrédients interdits dans les cigarettes électroniques contenant de la nicotine et les flacons de recharge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Catégories de substances, y compris la base juridique de l'interdiction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Exemples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Les vitamines ou autres additifs créant l’impression qu’un produit du tabac a des effets bénéfiques sur la santé ou présente des risques réduits pour la santé;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(Article 10b, paragraphe 7, point 3, en liaison avec l'article 8b, paragraphe 2, point 1, du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Vitamines figurant à l'annexe «Liste de l'Union» visée à l'article 15 du règlement (UE) n° 609/2013, tel que modifié.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Acides aminés et leurs dérivés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Analgésiques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 de la </w:t>
            </w:r>
            <w:r>
              <w:rPr>
                <w:rStyle w:val="a"/>
                <w:color w:val="000000"/>
                <w:sz w:val="14"/>
                <w:b/>
              </w:rPr>
              <w:t xml:space="preserve">plante de chanvre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Cannabinoïdes (d'origine naturelle ou synthétique)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Hormones et substances analogues aux hormones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Mélatonine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Flavonoïdes et phospholipides ayant des effets antioxydants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Naringine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Autres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Choline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Chlorure de choline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Hydroxyde de choline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Citrate de choline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Tartate de choline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Bétaïne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S-adénosylméthionine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L-5-hydroxytryptophane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Carnitine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L-chlorhydrate de carnitine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L-carnitine-L-tartrate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Slénite de sodium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Caféine ou taurine ou autres additifs et composés stimulants associés à l’énergie et à la vitalité (article 10 ter, paragraphe 7, point 3, en liaison avec l’article 8 ter, paragraphe 2, point 2, de la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huiles, du </w:t>
            </w:r>
            <w:r>
              <w:rPr>
                <w:rStyle w:val="a"/>
                <w:color w:val="000000"/>
                <w:sz w:val="14"/>
                <w:b/>
              </w:rPr>
              <w:t xml:space="preserve">caféier</w:t>
            </w:r>
            <w:r>
              <w:rPr>
                <w:rStyle w:val="a"/>
                <w:color w:val="000000"/>
                <w:sz w:val="14"/>
              </w:rPr>
              <w:t xml:space="preserve"> et des </w:t>
            </w:r>
            <w:r>
              <w:rPr>
                <w:rStyle w:val="a"/>
                <w:color w:val="000000"/>
                <w:sz w:val="14"/>
                <w:b/>
              </w:rPr>
              <w:t xml:space="preserve">grains de café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 du </w:t>
            </w:r>
            <w:r>
              <w:rPr>
                <w:rStyle w:val="a"/>
                <w:color w:val="000000"/>
                <w:sz w:val="14"/>
                <w:b/>
              </w:rPr>
              <w:t xml:space="preserve">théier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huiles, de la </w:t>
            </w:r>
            <w:r>
              <w:rPr>
                <w:rStyle w:val="a"/>
                <w:color w:val="000000"/>
                <w:sz w:val="14"/>
                <w:b/>
              </w:rPr>
              <w:t xml:space="preserve">plante de guarana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 de </w:t>
            </w:r>
            <w:r>
              <w:rPr>
                <w:rStyle w:val="a"/>
                <w:color w:val="000000"/>
                <w:sz w:val="14"/>
                <w:b/>
              </w:rPr>
              <w:t xml:space="preserve">yerba maté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 de l’</w:t>
            </w:r>
            <w:r>
              <w:rPr>
                <w:rStyle w:val="a"/>
                <w:color w:val="000000"/>
                <w:sz w:val="14"/>
                <w:b/>
              </w:rPr>
              <w:t xml:space="preserve">arbre de kola</w:t>
            </w:r>
            <w:r>
              <w:rPr>
                <w:rStyle w:val="a"/>
                <w:color w:val="000000"/>
                <w:sz w:val="14"/>
              </w:rPr>
              <w:t xml:space="preserve"> ou de la </w:t>
            </w:r>
            <w:r>
              <w:rPr>
                <w:rStyle w:val="a"/>
                <w:color w:val="000000"/>
                <w:sz w:val="14"/>
                <w:b/>
              </w:rPr>
              <w:t xml:space="preserve">noix de kola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Sucre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Glucose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Fructose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Galactose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Saccharose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Lactose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Maltose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Autres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Maltodextrine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Additifs ayant des propriétés colorantes pour les émissions.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(Article 10b, paragraphe 7, point 3, en liaison avec l'article 8b, paragraphe 2, point 3, du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Ingrédients interdits dans les cigarettes électroniques contenant de la nicotine et sans nicotine, ainsi que dans les flacons de recharge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Catégories de substances, y compris la base juridique de l'interdiction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Exemples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Justification supplémentaire de l'interdiction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Additifs qui présentent des propriétés CMR sous forme non brûlée.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(Article 10b, paragraphe 7, point 3, en liaison avec l'article 8b, paragraphe 2, point 5, de la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Article 10 ter, paragraphe 7, point 5, du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classées conformément à l’annexe VI, partie 3, du règlement (CE) nº 1272/2008 du Parlement européen et du Conseil du 16 décembre 2008 relatif à la classification, à l’étiquetage et à l’emballage des substances et des mélanges, modifiant et abrogeant les directives 67/548/CEE et 1999/45/CE et modifiant le règlement (CE) nº 1907/2006 (JO L 353 du 31.12.2006, p. 1), modifié en dernier lieu par le règlement (UE) 2016/1179 (JO L 195 du 20.7.2016, p. 11), en tant que </w:t>
            </w:r>
            <w:r>
              <w:rPr>
                <w:rStyle w:val="a"/>
                <w:color w:val="000000"/>
                <w:b/>
              </w:rPr>
              <w:t xml:space="preserve">substances CMR des catégories 1A, 1B, 2 ou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classées selon la liste des classifications du Centre international de recherche sur le cancer (</w:t>
            </w:r>
            <w:r>
              <w:rPr>
                <w:rStyle w:val="a"/>
                <w:color w:val="000000"/>
                <w:b/>
              </w:rPr>
              <w:t xml:space="preserve">CIRC</w:t>
            </w:r>
            <w:r>
              <w:rPr>
                <w:rStyle w:val="a"/>
                <w:color w:val="000000"/>
              </w:rPr>
              <w:t xml:space="preserve">) en ce qui concerne les effets cancérogènes chez l'homme dans les </w:t>
            </w:r>
            <w:r>
              <w:rPr>
                <w:rStyle w:val="a"/>
                <w:color w:val="000000"/>
                <w:b/>
              </w:rPr>
              <w:t xml:space="preserve">Groupes 1, 2A ou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classées comme cancérogènes pour l'homme «connues» ou «raisonnablement anticipées» par le National Toxicology Program (NTP) des États-Unis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qui, selon la </w:t>
            </w:r>
            <w:r>
              <w:rPr>
                <w:rStyle w:val="a"/>
                <w:color w:val="000000"/>
                <w:b/>
              </w:rPr>
              <w:t xml:space="preserve">liste des valeurs MAK et BAT</w:t>
            </w:r>
            <w:r>
              <w:rPr>
                <w:rStyle w:val="a"/>
                <w:color w:val="000000"/>
              </w:rPr>
              <w:t xml:space="preserve"> (publiée par la Deutsche Forschungsgemeinschaft (DFG)), ont été classées par la Commission MAK comme ayant des effets cancérogènes dans les catégories 1, 2, 4 ou 5, comme des effets tératogènes dans les catégories A, B ou C, et comme des effets mutagènes sur les cellules germinales dans les catégories 1, 2, 3A ou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classées comme cancérogènes, mutagènes ou reprotoxiques par l'Autorité européenne de sécurité des aliments (EFSA).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Exemples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Isophorone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Pyridine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Myrcène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Chrysène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Benzo(a)anthracène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Benzo(b)fluoranthène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Dioxyde de titane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Méthyleugénol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Substances ayant des effets sur le système reproductif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Parabènes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Propylparabène (ester propyle de l'acide parahydroxybenzoïque)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Certains parabèness montrent des effets reprotoxiques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(Comité scientifique pour la sécurité des consommateurs)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(Autorité européenne de sécurité des aliments)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of the Scientific Panel on food additives, flavourings, processing aids and materials in contact with food (AFC) related to para hydroxybenzoates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Sodium propylparabène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Propylparabène de potassium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Sodium butylparabène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Butylparabènate de potassium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Isobutylparabène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Sodium isobutylparabène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 officinal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Huile de sassafras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Contient du safrole.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Bois de 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Feuilles de 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Écorce de 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Ingrédients (à l'exception de la nicotine dans les liquides contenant de la nicotine) qui présentent un risque pour la santé humaine sous forme chauffée ou non chauffée.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(article 10b, paragraphe 7, point 5, du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qui présentent des propriétés CMR sous forme non brûlée.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(voir point 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classées conformément à l’annexe VI, partie 3, du règlement (CE) nº 1272/2008 du Parlement européen et du Conseil du 16 décembre 2008 relatif à la classification, à l’étiquetage et à l’emballage des substances et des mélanges, modifiant et abrogeant les directives 67/548/CEE et 1999/45/CE et modifiant le règlement (CE) no 1907/2006 (JO L 353 du 31.12.2006, p. 1), modifié en dernier lieu par le règlement (UE) 2016/1179 (JO L 195 du 20.7.2016, p. 11), </w:t>
            </w:r>
            <w:r>
              <w:rPr>
                <w:rStyle w:val="a"/>
                <w:color w:val="000000"/>
                <w:b/>
              </w:rPr>
              <w:t xml:space="preserve">en tant que sensibilisantes pour les voies respiratoires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énumérées dans </w:t>
            </w:r>
            <w:r>
              <w:rPr>
                <w:rStyle w:val="a"/>
                <w:color w:val="000000"/>
                <w:b/>
              </w:rPr>
              <w:t xml:space="preserve">l'annexe III</w:t>
            </w:r>
            <w:r>
              <w:rPr>
                <w:rStyle w:val="a"/>
                <w:color w:val="000000"/>
              </w:rPr>
              <w:t xml:space="preserve">, partie A, du règlement (CE) n° 1334/2008 du Parlement européen et du Conseil du 16 décembre 2008 relatif</w:t>
            </w:r>
            <w:r>
              <w:rPr>
                <w:rStyle w:val="a"/>
                <w:color w:val="000000"/>
              </w:rPr>
              <w:t xml:space="preserve">aux </w:t>
            </w:r>
            <w:r>
              <w:rPr>
                <w:rStyle w:val="a"/>
                <w:color w:val="000000"/>
                <w:b/>
                <w:bCs/>
              </w:rPr>
              <w:t xml:space="preserve">arômes</w:t>
            </w:r>
            <w:r>
              <w:rPr>
                <w:rStyle w:val="a"/>
                <w:color w:val="000000"/>
              </w:rPr>
              <w:t xml:space="preserve"> et à certains ingrédients alimentaires possédant des propriétés aromatisantes destinés à être utilisés dans et sur les denrées alimentaires et leurs mises à jour sont répertoriés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Acide agarique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Aloïne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Capsaïcine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1,2-benzopyrone, coumarine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Hypericine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Bêta-Asarone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1-allyl-4-méthoxybenzène, estragole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Acide cyanhydrique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Menthofuranne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4-allyl-1,2-diméthoxybenzène, méthyleugénol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Pulégone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1-allyl-3,4-méthylènedioxybenzène, safrole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Thujone (alpha et bêta)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qui, selon la </w:t>
            </w:r>
            <w:r>
              <w:rPr>
                <w:rStyle w:val="a"/>
                <w:color w:val="000000"/>
                <w:b/>
              </w:rPr>
              <w:t xml:space="preserve">liste des valeurs MAK et MTD </w:t>
            </w:r>
            <w:r>
              <w:rPr>
                <w:rStyle w:val="a"/>
                <w:color w:val="000000"/>
              </w:rPr>
              <w:t xml:space="preserve">(publiée par la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sont classées par la Commission MAK comme </w:t>
            </w:r>
            <w:r>
              <w:rPr>
                <w:rStyle w:val="a"/>
                <w:color w:val="000000"/>
                <w:b/>
              </w:rPr>
              <w:t xml:space="preserve">substances allergènes</w:t>
            </w:r>
            <w:r>
              <w:rPr>
                <w:rStyle w:val="a"/>
                <w:color w:val="000000"/>
              </w:rPr>
              <w:t xml:space="preserve"> («Sa», «Sah»).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Composants, extraits et huiles transformés dérivés de la </w:t>
            </w:r>
            <w:r>
              <w:rPr>
                <w:rStyle w:val="a"/>
                <w:color w:val="000000"/>
                <w:b/>
              </w:rPr>
              <w:t xml:space="preserve">menthe pouliot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La menthe pouliot contient de la pulegone, une substance hépatotoxique.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Autorité européenne de sécurité des aliments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Journal EFSA 6 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and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Substances huileuses/graisseuses telles que les acides gras libres saturés ou insaturés et leurs dérivés;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Alcanes, alcènes et alcynes ayant une longueur de chaîne carbonée égale ou supérieure à 12;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Monoglycérides, diglycérides et triglycérides;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Cires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(triglycérides à chaîne moyenne)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L'inhalation ou l'aspiration de lipides (substances grasses/huileuses) est considérée comme la cause centrale du développement de pneumonie lipidique exogène (pneumonie chronique).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La pneumonie lipidique exogène peut être déclenchée par les huiles minérales ainsi que par des substances grasses d'origine animale et végétale.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Étant donné que les explications scientifiques se réfèrent toujours aux huiles et aux graisses ou aux substances huileuses et grasses en général, le caractère huileux/graisseux, plutôt qu’une composition spécifique de la substance, devrait être déterminant pour l’effet néfaste sur la santé (Hadda et Khilnani 2010, M. Schwaiblmair et al. 2010, Nguyen et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et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et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 pneumonia – an underestimated syndrome?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 et coll.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Squalène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Squalène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Rosine, résine ou acides résiniques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Acide abiétique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Les fumées de résine sont classées comme sensibilisants respiratoires et déclencheurs possibles de l'asthme.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Acide pimarique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Acide isopimarique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Acide palustrique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Acide lévopimarique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Acétate de vitamine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L'acétate de vitamine E est étroitement lié à l'épidémie d'EVALI de 2019 (lésion pulmonaire associée à l'utilisation de produits de cigarette électronique ou de vapotage) aux États-Unis.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Diacétyle et certains analogues structurels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Diacétyle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Le diacétyle et la 2,3-pentanédione peuvent provoquer une inflammation grave et des maladies respiratoires lors de l'inhalation.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Par mesure de précaution, il est recommandé d'étendre l'interdiction aux analogues structurels 2,3-hexanédione et 2,3-heptanédione.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‘Diacetyl [MAK Value Documentation in German Language, 2015].’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‘2,3-Pentandion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(Institut fédéral allemand d'évaluation des risques)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Évaluation des additifs pour les produits du tabac et les cigarettes électroniques.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(en allemand: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«Gesundheitliche Bewertung von Zusatzstoffen für Tabakerzeugnisse und elektronische Zigaretten.»)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Avis n° 045/2015 du BfR du 30 juillet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2,3-Hexanedione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Huile d'amande amère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L'huile d'amande amère peut naturellement contenir de l'acide cyanhydrique.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L'acide cyanhydrique est un poison puissant qui peut paralyser le système respiratoire central.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Commission MAK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Cyanure d'hydrogène, cyanure de potassium et cyanure de sodium [valeur MAK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Documentation en langue allemande,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Ingrédients interdits dans les produits du tabac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Catégories de substances, y compris la base juridique de l'interdiction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Exemples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Justification supplémentaire de l'interdiction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Les vitamines ou autres additifs créant l’impression qu’un produit du tabac a des effets bénéfiques sur la santé ou présente des risques réduits pour la santé;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(article 8b, paragraphe 2, point 1, du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Vitamines figurant à l'annexe «Liste de l'Union» visée à l'article 15 du règlement (UE) n° 609/2013, tel que modifié.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Acides aminés et leurs dérivés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Analgésiques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les extraits et les huiles de la </w:t>
            </w:r>
            <w:r>
              <w:rPr>
                <w:rStyle w:val="a"/>
                <w:color w:val="000000"/>
                <w:sz w:val="14"/>
                <w:b/>
              </w:rPr>
              <w:t xml:space="preserve">plante de chanvre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Cannabinoïdes (d'origine naturelle ou synthétique)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Hormones et substances analogues aux hormones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Mélatonine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Flavonoïdes et phospholipides ayant des effets antioxydants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Autres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Chlorure de choline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Hydroxyde de choline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Citrate de choline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Tartate de choline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Bétaïne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S-adénosylméthionine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L-5-hydroxytryptophane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L-chlorhydrate de carnitine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L-carnitine-L-tartrate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Slénite de sodium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Caféine ou taurine ou autres additifs et composés stimulants associés à l’énergie et à la vitalité (article 8 ter, paragraphe 2, point 2, de la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huiles, du </w:t>
            </w:r>
            <w:r>
              <w:rPr>
                <w:rStyle w:val="a"/>
                <w:color w:val="000000"/>
                <w:sz w:val="14"/>
                <w:b/>
              </w:rPr>
              <w:t xml:space="preserve">caféier</w:t>
            </w:r>
            <w:r>
              <w:rPr>
                <w:rStyle w:val="a"/>
                <w:color w:val="000000"/>
                <w:sz w:val="14"/>
              </w:rPr>
              <w:t xml:space="preserve"> et des </w:t>
            </w:r>
            <w:r>
              <w:rPr>
                <w:rStyle w:val="a"/>
                <w:color w:val="000000"/>
                <w:sz w:val="14"/>
                <w:b/>
              </w:rPr>
              <w:t xml:space="preserve">grains de café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 du </w:t>
            </w:r>
            <w:r>
              <w:rPr>
                <w:rStyle w:val="a"/>
                <w:color w:val="000000"/>
                <w:sz w:val="14"/>
                <w:b/>
              </w:rPr>
              <w:t xml:space="preserve">théier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huiles, de la </w:t>
            </w:r>
            <w:r>
              <w:rPr>
                <w:rStyle w:val="a"/>
                <w:color w:val="000000"/>
                <w:sz w:val="14"/>
                <w:b/>
              </w:rPr>
              <w:t xml:space="preserve">plante de guarana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 de </w:t>
            </w:r>
            <w:r>
              <w:rPr>
                <w:rStyle w:val="a"/>
                <w:color w:val="000000"/>
                <w:sz w:val="14"/>
                <w:b/>
              </w:rPr>
              <w:t xml:space="preserve">yerba maté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extraits et huiles de l’</w:t>
            </w:r>
            <w:r>
              <w:rPr>
                <w:rStyle w:val="a"/>
                <w:color w:val="000000"/>
                <w:sz w:val="14"/>
                <w:b/>
              </w:rPr>
              <w:t xml:space="preserve">arbre de kola</w:t>
            </w:r>
            <w:r>
              <w:rPr>
                <w:rStyle w:val="a"/>
                <w:color w:val="000000"/>
                <w:sz w:val="14"/>
              </w:rPr>
              <w:t xml:space="preserve"> ou de la </w:t>
            </w:r>
            <w:r>
              <w:rPr>
                <w:rStyle w:val="a"/>
                <w:color w:val="000000"/>
                <w:sz w:val="14"/>
                <w:b/>
              </w:rPr>
              <w:t xml:space="preserve">noix de kola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Autres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Additifs ayant des propriétés colorantes pour les émissions.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(article 8b, paragraphe 2, point 3, du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Additifs qui facilitent l’inhalation ou l’absorption de nicotine pour les produits du tabac (article 8b, paragraphe 2, point 4, de la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Menthol et substances similaires, agonistes TRPM-8, «composés rafraîchissants», «réfrigérants synthétiques»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Composés substitués et modifiés de p-menthane-3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Toutes les substances ou mélanges ayant des effets rafraîchissants ou analgésiques sont considérés comme des substances qui facilitent l'inhalation.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Référence: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et le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Date: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décembre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N° de réf. du document: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p-menthane-3-carboxamide, y compris p-menthane-3-N-alkylcarboxamide et p-menthane-3-N-arylcarboxamide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p-menthane-3-ester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p-menthane-3-éther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Acides p-menthane-3-carboxyliques et leurs esters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Autres composés substitués en p-menthane-3 et composés modifiés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Alcools de p-menthane et leurs esters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Exemples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N-éthyl-p-menthane-3-carboxamide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Acide 2-isopropyl-5-méthylcyclohexanecarboxylique (4-méthoxyphényl) amide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(1R,2S,5R)-N-((éthoxycarbonyl)méthyl)-p-menthane-3-carboxamide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N-tert-butyl-p-menthane-3-carboxamide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2-isopropyl-N,2,3-triméthylbutyramide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 éthylique de la N-(p-menthane-3-carbonyl)-D-alanine (CPS-369,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N-(4-fluorophényl)-p-menthane-3-carboxamide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N-(4-éthoxyphényl)-p-menthane-3-carboxamide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Lactate de menthyle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Menthoxypropane-1,2-diol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 2,3-dihydroxypropylique de l'acide 2-isopropyl-5-méthylcyclohexanecarboxylique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Menthone 1,2-glycérol cétal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Succinate de monomenthyle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3-hydroxybutyrate de menthyle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Acétate de menthyle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Carbonate d'éthylène glycol de menthol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P-menthane-3-carboxylate de 2,3-dihydroxypropyle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Cis-p-menthane-3,8-diol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Agent de refroidissement AG-3-5 (3,4-Dihydro-3-(2-hydroxyphényl)-6-(3-nitrophényl)-(1H)-pyrimidin-2-one)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 2,3-triméthylbutyramide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Isopulégol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1-(Di-sec-butyl-phosphinoyl)-heptane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5-méthyl-4-(1-pyrrolidinyl)-3-2H-furanone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(-)-Menthone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(+)-Menthone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L-carvone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1,8-cinéole (eucalyptol)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1,4-cinéole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Hydroxycitronellal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Composants, y compris les composants transformés, les extraits et les huiles de plantes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Eucalyptus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Sels de nicotine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Benzoate de nicotine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Les sels de nicotine peuvent être absorbés dans le corps plus rapidement lorsqu'ils sont inhalés et causer moins d'irritation que la nicotine sous forme libre.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Références: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Ditartrate de nicotine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Lactate de nicotine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Levulinate de nicotine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Malate de nicotine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Salicylate de nicotine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Additifs qui présentent des propriétés CMR sous forme non brûlée.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(Article 10b, paragraphe 7, point 3, en liaison avec l'article 8b, paragraphe 2, point 5, du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Substances classées conformément à l’annexe VI, partie 3, du règlement (CE) nº 1272/2008 du Parlement européen et du Conseil du 16 décembre 2008 relatif à la classification, à l’étiquetage et à l’emballage des substances et des mélanges, modifiant et abrogeant les directives 67/548/CEE et 1999/45/CE et modifiant le règlement (CE) nº 1907/2006 (JO L 353 du 31.12.2006, p. 1), modifié en dernier lieu par le règlement (UE) 2016/1179 (JO L 195 du 20.7.2016, p. 11), en tant que </w:t>
            </w:r>
            <w:r>
              <w:rPr>
                <w:rStyle w:val="a"/>
                <w:color w:val="000000"/>
                <w:sz w:val="12"/>
                <w:b/>
              </w:rPr>
              <w:t xml:space="preserve">substances CMR des catégories 1A, 1B, 2 ou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Substances classées selon la liste des classifications du Centre international de recherche sur le cancer (</w:t>
            </w:r>
            <w:r>
              <w:rPr>
                <w:rStyle w:val="a"/>
                <w:color w:val="000000"/>
                <w:sz w:val="12"/>
                <w:b/>
              </w:rPr>
              <w:t xml:space="preserve">CIRC</w:t>
            </w:r>
            <w:r>
              <w:rPr>
                <w:rStyle w:val="a"/>
                <w:color w:val="000000"/>
                <w:sz w:val="12"/>
              </w:rPr>
              <w:t xml:space="preserve">) en ce qui concerne les effets cancérogènes chez l'homme dans les </w:t>
            </w:r>
            <w:r>
              <w:rPr>
                <w:rStyle w:val="a"/>
                <w:color w:val="000000"/>
                <w:sz w:val="12"/>
                <w:b/>
              </w:rPr>
              <w:t xml:space="preserve">Groupes 1, 2A ou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Substances classées comme cancérogènes pour l'homme «connues» ou «raisonnablement anticipées» par le National Toxicology Program (NTP) des États-Unis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Substances qui, selon la </w:t>
            </w:r>
            <w:r>
              <w:rPr>
                <w:rStyle w:val="a"/>
                <w:color w:val="000000"/>
                <w:sz w:val="12"/>
                <w:b/>
              </w:rPr>
              <w:t xml:space="preserve">liste des valeurs MAK et BAT</w:t>
            </w:r>
            <w:r>
              <w:rPr>
                <w:rStyle w:val="a"/>
                <w:color w:val="000000"/>
                <w:sz w:val="12"/>
              </w:rPr>
              <w:t xml:space="preserve"> (publiée par la Deutsche Forschungsgemeinschaft (DFG)), ont été classées par la Commission MAK comme ayant des effets cancérogènes dans les catégories 1, 2, 4 ou 5, comme des effets tératogènes dans les catégories A, B ou C, et comme des effets mutagènes sur les cellules germinales dans les catégories 1, 2, 3A ou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Substances classées comme cancérogènes, mutagènes ou reprotoxiques par l'Autorité européenne de sécurité des aliments (EFSA).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Exemples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Isophorone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Pyridine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Myrcène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Chrysène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Benzo(a)anthracène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Benzo(b)fluoranthène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Dioxyde de titane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Méthyleugénol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Substances ayant des effets sur le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système reproducteur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Parabènes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Propylparabènes (ester de propyle de l'acide para-hydroxybenzoïque)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Certains parabèness montrent des effets reprotoxiques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Références: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(Comité scientifique pour la sécurité des consommateurs)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82f7-650081bf250c_fr?filename=sccs_o_243.pdf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(Autorité européenne de sécurité des aliments)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Sodium propylparabène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Propylparabène de potassium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Sodium butylparabène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Butylparabènate de potassium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Isobutylparabène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Sodium isobutylparabène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 officinal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Huile de sassafras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Contient du safrole.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Bois de</w:t>
            </w:r>
            <w:r>
              <w:rPr>
                <w:rStyle w:val="a"/>
                <w:color w:val="000000"/>
                <w:sz w:val="12"/>
              </w:rPr>
              <w:t xml:space="preserve"> 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Feuilles de</w:t>
            </w:r>
            <w:r>
              <w:rPr>
                <w:rStyle w:val="a"/>
                <w:color w:val="000000"/>
                <w:sz w:val="12"/>
              </w:rPr>
              <w:t xml:space="preserve"> 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Écorce de</w:t>
            </w:r>
            <w:r>
              <w:rPr>
                <w:rStyle w:val="a"/>
                <w:color w:val="000000"/>
                <w:sz w:val="12"/>
              </w:rPr>
              <w:t xml:space="preserve"> 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Page 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sur 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Page 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sur 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Version finale selon le Conseil consultatif sur les ingrédients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Version finale selon le Conseil consultatif sur les ingrédients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