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Lista substanțelor interzise în produsele din tutun și în țigaretele electronice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Următoarea listă reprezintă, cu titlu de exemplu, acele substanțe sau categorii de substanțe care intră în prezent sub incidența interdicțiilor legale prevăzute de Legea austriacă privind protecția tutunului și a nefumătorilor (TNRSG), dar nu constituie o listă exhaustivă.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Ingrediente interzise în țigaretele electronice care conțin nicotină și în flacoanele de reumplere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Categorii de substanțe, inclusiv temeiul juridic al interdicției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Exemple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Vitamine sau alți aditivi care creează impresia că un produs din tutun are un beneficiu pentru sănătate sau prezintă riscuri reduse pentru sănătate.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[Articolul 10b alineatul (7) punctul 3 coroborat cu articolul 8b alineatul (2) punctul 1 din TNRSG]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Vitaminele enumerate pe „lista Uniunii” anexată la Regulamentul (UE) nr. 609/2013, astfel cum a fost modificat, în conformitate cu articolul 15 din regulamentul respectiv.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Aminoacizi și derivații acestora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Analgezice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Componente, inclusiv componente prelucrate, extracte și uleiuri din </w:t>
            </w:r>
            <w:r>
              <w:rPr>
                <w:rStyle w:val="a"/>
                <w:color w:val="000000"/>
                <w:sz w:val="14"/>
              </w:rPr>
              <w:br/>
            </w:r>
            <w:r>
              <w:rPr>
                <w:rStyle w:val="a"/>
                <w:color w:val="000000"/>
                <w:sz w:val="14"/>
                <w:b/>
              </w:rPr>
              <w:t xml:space="preserve">planta de cânepă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Canabinoizi (de origine naturală sau sintetică)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Cannabidiol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Hormoni și substanțe asemănătoare hormonilor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Melatonină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Flavonoide și fosfolipide cu efecte antioxidative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Naringină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Altele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Colină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Clorură de colină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Hidroxid de colină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Citrat de colină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Tartrat de colină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Betaină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S-Adenozil metionină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L-5-hidroxitriptofan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Carnitină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L-carnitină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L-clorhidrat de carnitină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L-tartrat de L-carnitină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Selenit de sodiu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Cofeină sau taurină sau alți aditivi și compuși stimulanți care sunt asociați cu energia și vitalitatea [articolul 10b alineatul (7) punctul 3 coroborat cu articolul 8b alineatul (2) punctul 2 din TNRSG]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Componente, inclusiv componente prelucrate, extracte și uleiuri, ale </w:t>
            </w:r>
            <w:r>
              <w:rPr>
                <w:rStyle w:val="a"/>
                <w:color w:val="000000"/>
                <w:sz w:val="14"/>
                <w:b/>
              </w:rPr>
              <w:t xml:space="preserve">plantei de cafea</w:t>
            </w:r>
            <w:r>
              <w:rPr>
                <w:rStyle w:val="a"/>
                <w:color w:val="000000"/>
                <w:sz w:val="14"/>
              </w:rPr>
              <w:t xml:space="preserve"> și ale </w:t>
            </w:r>
            <w:r>
              <w:rPr>
                <w:rStyle w:val="a"/>
                <w:color w:val="000000"/>
                <w:sz w:val="14"/>
                <w:b/>
              </w:rPr>
              <w:t xml:space="preserve">boabelor de cafea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Componente, inclusiv componente prelucrate, extracte și uleiuri din </w:t>
            </w:r>
            <w:r>
              <w:rPr>
                <w:rStyle w:val="a"/>
                <w:color w:val="000000"/>
                <w:sz w:val="14"/>
                <w:b/>
              </w:rPr>
              <w:t xml:space="preserve">planta de ceai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Componente, inclusiv componente prelucrate, extracte și uleiuri, ale </w:t>
            </w:r>
            <w:r>
              <w:rPr>
                <w:rStyle w:val="a"/>
                <w:color w:val="000000"/>
                <w:sz w:val="14"/>
                <w:b/>
              </w:rPr>
              <w:t xml:space="preserve">plantei de guarana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Componente, inclusiv componente prelucrate, extracte și uleiuri din 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Componente, inclusiv componente prelucrate, extracte și uleiuri din </w:t>
            </w:r>
            <w:r>
              <w:rPr>
                <w:rStyle w:val="a"/>
                <w:color w:val="000000"/>
                <w:sz w:val="14"/>
                <w:b/>
              </w:rPr>
              <w:t xml:space="preserve">arborele de cola</w:t>
            </w:r>
            <w:r>
              <w:rPr>
                <w:rStyle w:val="a"/>
                <w:color w:val="000000"/>
                <w:sz w:val="14"/>
              </w:rPr>
              <w:t xml:space="preserve"> sau </w:t>
            </w:r>
            <w:r>
              <w:rPr>
                <w:rStyle w:val="a"/>
                <w:color w:val="000000"/>
                <w:sz w:val="14"/>
                <w:b/>
              </w:rPr>
              <w:t xml:space="preserve">nuca de cola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Zahăr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Glucoză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Fructoză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Galactoză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Zaharoză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Lactoză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Maltoză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Altele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Maltodextrină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Inozitol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Aditivi cu proprietăți colorante pentru emisii.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[Articolul 10b alineatul (7) punctul 3 coroborat cu articolul 8b alineatul (2) punctul 3 din TNRSG]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Ingrediente interzise în țigaretele electronice care conțin nicotină și în cele fără nicotină, precum și în flacoanele de reumplere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Categorii de substanțe, inclusiv temeiul juridic al interdicției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Exemple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Justificarea suplimentară a interdicției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Aditivi care au proprietăți CMR în formă nearsă.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[Articolul 10b alineatul (7) punctul 3 coroborat cu articolul 8b alineatul (2) punctul 5 din TNRSG;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Articolul 10b alineatul (7) punctul 5 din TNRSG]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Substanțe clasificate în conformitate cu partea 3 din anexa VI la Regulamentul (CE) nr. 1272/2008 al Parlamentului European și al Consiliului din 16 decembrie 2008 privind clasificarea, etichetarea și ambalarea substanțelor și a amestecurilor, de modificare și de abrogare a Directivelor 67/548/CEE și 1999/45/CE, precum și de modificare a Regulamentului (CE) nr. 1907/2006 (JO L 353, 31.12.2006, p. 1), astfel cum a fost modificat ultima dată prin Regulamentul (UE) 2016/1179 (JO L 195, 20.7.2016, p. 11), ca </w:t>
            </w:r>
            <w:r>
              <w:rPr>
                <w:rStyle w:val="a"/>
                <w:color w:val="000000"/>
                <w:b/>
              </w:rPr>
              <w:t xml:space="preserve">substanțe CMR din categoriile 1A, 1B, 2 sau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Substanțe clasificate în conformitate cu lista clasificărilor întocmită de Agenția Internațională pentru Cercetare în Domeniul Cancerului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cu privire la efectele cancerigene la om în </w:t>
            </w:r>
            <w:r>
              <w:rPr>
                <w:rStyle w:val="a"/>
                <w:color w:val="000000"/>
                <w:b/>
              </w:rPr>
              <w:t xml:space="preserve">grupa 1, 2A sau 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Substanțe clasificate ca fiind „cunoscute” sau „anticipate în mod rezonabil” ca fiind cancerigene pentru om de către Programul Național de Toxicologie (NTP) al Statelor Unite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Substanțe care, în conformitate cu </w:t>
            </w:r>
            <w:r>
              <w:rPr>
                <w:rStyle w:val="a"/>
                <w:color w:val="000000"/>
                <w:b/>
              </w:rPr>
              <w:t xml:space="preserve">lista valorilor MAK și BAT</w:t>
            </w:r>
            <w:r>
              <w:rPr>
                <w:rStyle w:val="a"/>
                <w:color w:val="000000"/>
              </w:rPr>
              <w:t xml:space="preserve"> [publicate de Deutsche Forschungsgemeinschaft (DFG)], au fost clasificate de Comisia MAK ca având efecte cancerigene în categoriile 1, 2, 4 sau 5, ca efecte teratogene în categoriile A, B sau C și ca efecte mutagene asupra celulelor germinale în categoriile 1, 2, 3A sau 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Substanțe clasificate drept cancerigene, mutagene sau toxice pentru reproducere de către Autoritatea Europeană pentru Siguranța Alimentară (EFSA).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1.1 - 1.5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Exemple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Izoforonă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Piridină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Mircen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Crisen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Benzo(a)antracen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Benzo(b)fluoranten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Dioxid de titaniu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Metil eugenol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Substanțe cu efecte asupra sistemului reproducător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Parabeni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Propilparaben (ester propilic al acidului parahidroxibenzoic)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Anumiți parabeni prezintă efecte reprotoxice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Referințe: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CSSC (Comitetul Științific pentru Siguranța Consumatorilor)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Aviz privind propilparabenul (nr. CAS 94-13-3, nr. CE 202-307-7), versiunea preliminară din 27-28 octombrie 2020, versiunea finală din 30-31 martie 2021,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(Autoritatea Europeană pentru Siguranța Alimentară)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Avizul Grupului științific pentru aditivi alimentari, aromatizanți, adjuvanți tehnologici și materiale care vin în contact cu alimentele (AFC) referitor la parahidroxibenzoați (E 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Jurnalul EFSA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Propilparaben de sodiu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Propilparabenat de potasiu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Butilparaben sodic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Butilparabenat de potasiu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Izobutilparaben sodic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Sasafras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Ulei de </w:t>
            </w:r>
            <w:r>
              <w:rPr>
                <w:rStyle w:val="a"/>
                <w:color w:val="000000"/>
              </w:rPr>
              <w:t xml:space="preserve">Sassafras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Conține safrol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Lemn de </w:t>
            </w:r>
            <w:r>
              <w:rPr>
                <w:rStyle w:val="a"/>
                <w:color w:val="000000"/>
              </w:rPr>
              <w:t xml:space="preserve">Sassafras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Frunze de </w:t>
            </w:r>
            <w:r>
              <w:rPr>
                <w:rStyle w:val="a"/>
                <w:color w:val="000000"/>
              </w:rPr>
              <w:t xml:space="preserve">Sassafras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Extract de scoarță de </w:t>
            </w:r>
            <w:r>
              <w:rPr>
                <w:rStyle w:val="a"/>
                <w:color w:val="000000"/>
              </w:rPr>
              <w:t xml:space="preserve">Sassafras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Ingrediente (cu excepția nicotinei din lichidele care conțin nicotină) care prezintă un risc pentru sănătatea umană în formă încălzită sau neîncălzită.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[Articolul 10b alineatul (7) punctul 5 din TNRSG]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Substanțe care au proprietăți CMR în formă nearsă.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(A se vedea punctul 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Substanțe clasificate în conformitate cu partea 3 din anexa VI la Regulamentul (CE) nr. 1272/2008 al Parlamentului European și al Consiliului din 16 decembrie 2008 privind clasificarea, etichetarea și ambalarea substanțelor și a amestecurilor, de modificare și de abrogare a Directivelor 67/548/CEE și 1999/45/CE, precum și de modificare a Regulamentului (CE) nr. 1907/2006 (JO L 353, 31.12.2006, p. 1), astfel cum a fost modificat ultima dată prin Regulamentul (UE) 2016/1179 (JO L 195, 20.7.2016, p. 11), ca </w:t>
            </w:r>
            <w:r>
              <w:rPr>
                <w:rStyle w:val="a"/>
                <w:color w:val="000000"/>
                <w:b/>
              </w:rPr>
              <w:t xml:space="preserve">sensibilizant respirator 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Substanțele enumerate în </w:t>
            </w:r>
            <w:r>
              <w:rPr>
                <w:rStyle w:val="a"/>
                <w:color w:val="000000"/>
                <w:b/>
              </w:rPr>
              <w:t xml:space="preserve">anexa III</w:t>
            </w:r>
            <w:r>
              <w:rPr>
                <w:rStyle w:val="a"/>
                <w:color w:val="000000"/>
              </w:rPr>
              <w:t xml:space="preserve">, partea A, din Regulamentul (CE) nr. 1334/2008 al Parlamentului European și al Consiliului din 16 decembrie 2008 privind</w:t>
            </w:r>
            <w:r>
              <w:rPr>
                <w:rStyle w:val="a"/>
                <w:color w:val="000000"/>
                <w:b/>
              </w:rPr>
              <w:t xml:space="preserve">aromele </w:t>
            </w:r>
            <w:r>
              <w:rPr>
                <w:rStyle w:val="a"/>
                <w:color w:val="000000"/>
              </w:rPr>
              <w:t xml:space="preserve">și sunt enumerate anumite ingrediente alimentare cu proprietăți aromatizante destinate utilizării în și pe produsele alimentare și actualizările acestora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 agaric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Aloină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Capsaicină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1,2-benzopironă, cumarină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Hipericină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Beta-asaronă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1-alil-4-metoxibenzen, estragol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 cianhidric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Mentofuran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4-alil-1,2-dimetoxibenzen, metil eugenol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Pulegonă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Quassin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1-alil-3,4-metilendioxibenzen, safrol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Teucrin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Tujonă (alfa și beta)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Substanțe care, în conformitate cu </w:t>
            </w:r>
            <w:r>
              <w:rPr>
                <w:rStyle w:val="a"/>
                <w:color w:val="000000"/>
                <w:b/>
              </w:rPr>
              <w:t xml:space="preserve">lista valorilor MAK și BAT </w:t>
            </w:r>
            <w:r>
              <w:rPr>
                <w:rStyle w:val="a"/>
                <w:color w:val="000000"/>
              </w:rPr>
              <w:t xml:space="preserve">(publicată de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 sunt clasificate de Comisia MAK drept </w:t>
            </w:r>
            <w:r>
              <w:rPr>
                <w:rStyle w:val="a"/>
                <w:color w:val="000000"/>
                <w:b/>
              </w:rPr>
              <w:t xml:space="preserve">alergeni de substanță</w:t>
            </w:r>
            <w:r>
              <w:rPr>
                <w:rStyle w:val="a"/>
                <w:color w:val="000000"/>
              </w:rPr>
              <w:t xml:space="preserve"> („Sa”, „Sah”).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Componente prelucrate, extracte și uleiuri derivate din planta </w:t>
            </w:r>
            <w:r>
              <w:rPr>
                <w:rStyle w:val="a"/>
                <w:color w:val="000000"/>
                <w:b/>
              </w:rPr>
              <w:t xml:space="preserve">busuiocul cerbilor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Busuiocul cerbilor conține pulegonă, o substanță hepatotoxică.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Referințe: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Autoritatea Europeană pentru Siguranța Alimentară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Pulegonă și mentofuran în arome – Avizul Grupului științific pentru aditivi alimentari, arome, adjuvanți tehnologici și materiale care vin în contact cu produsele alimentare (AFC).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Jurnalul EFSA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și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 investigație de zeci de ani a hepatotoxicității acute bazate pe metabolism de către constituenții din plante: un studiu de caz al uleiului de Busuiocul cerbilor.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Recenzii privind metabolizarea medicamentelor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Substanțe uleioase/grase, cum ar fi acizii grași liberi saturați sau nesaturați și derivații acestora;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alcani, alchene și alchine cu o lungime a lanțului de carbon de 12 sau mai mare;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mono-, di- și trigliceride;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ceară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(trigliceride cu lanț mediu)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Inhalarea sau aspirația lipidelor (substanțe grase/uleioase) este considerată cauza centrală a dezvoltării pneumoniei lipidice exogene (pneumonie cronică).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Pneumonia lipidică exogenă poate fi declanșată de uleiuri minerale, precum și de substanțe uleioase/grase de origine animală și vegetală.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Întrucât explicațiile științifice se referă întotdeauna la uleiuri și grăsimi sau la substanțe uleioase și grase în general, caracterul uleios/gras, mai degrabă decât o compoziție specifică a substanței, ar trebui să fie decisiv pentru efectul negativ asupra sănătății (Hadda și Khilnani 2010, M. Schwaiblmair et al. 2010, Nguyen și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Referințe: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și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„Lipoid pneumonia: an overview.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Medicine” (Revizuire expertă a medicinii respiratorii Pneumonie lipoidă: o prezentare generală)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și Oh Scott S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„A Case of Exogenous Lipoid Pneumonia.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Respiratory Care” (Un caz de pneumonie lipoidă exogenă. Îngrijire respiratorie)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Schwaiblmair, et al.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„Lipid pneumonia – an underestimated syndrome?” (Pneumonia lipidică – un sindrom subestimat?)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Seong, et al.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„Squalene Aspiration Pneumonia: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Findings1. jkrs” (Pneumonie prin aspirație de squalenă: Secțiune subțire CT și constatări histopatologice1. jkrs)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Squalan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Squalen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Colofoniu, rășină sau acizi rezinici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 abietic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Vaporii de rășină sunt clasificați ca sensibilizanți respiratori și posibili declanșatori ai astmului.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Referințe: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Directoratul pentru Securitate și Sănătate în Muncă (HSE Health and Safety Executive)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Evaluări critice ale dovezilor pentru agenții implicați în astmul profesional.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Acidul pimaric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 izopimaric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Acidul palustric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Acid levopimaric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Acetat de vitamina 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Acetatul de vitamina E este strâns legat de izbucnirea din 2019 a EVALI (leziuni pulmonare asociate utilizării produselor de țigări electronice sau vaping) în Statele Unite.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Referințe: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(Centrele pentru Controlul și Prevenirea Bolilor):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Focar de leziuni pulmonare asociate cu utilizarea produselor de țigări electronice sau vaping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Acetat de vitamina E în lichidul de lavaj bronhoalveolar asociat cu EVALI.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Jurnalul de Medicină din New England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Diacetil și anumiți analogi structurali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Diacetil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Diacetilul și 2,3-pentadiona pot provoca inflamații severe și boli respiratorii la inhalare.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Ca măsură de precauție, se recomandă o extindere a interdicției pentru a include analogii structurali 2,3-hexadionă și 2,3-heptadionă.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Referințe: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(2015) „Diacetyl [MAK Value Documentation in German Language, 2015].”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Colecția MAK pentru Sănătate și Securitate Ocupațională,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„2,3-Pentandion [MAK Value Documentation in German language,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Colecția MAK pentru Sănătate și Securitate Ocupațională,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(Institutul Federal German pentru Evaluarea Riscurilor)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Evaluarea aditivilor pentru produsele din tutun și țigaretele electronice din perspectiva sănătății.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(în limba germană: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„Gesundheitliche Bewertung von Zusatzstoffen für Tabakerzeugnisse und elektronische Zigaretten.”)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Avizul BfR nr. 045/2015 din 30 iulie 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2,3-Pentadionă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2,3-Hexadionă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2,3-Heptadionă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2,10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Ulei de migdale amare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Uleiul de migdale amare poate conține în mod natural acid cianhidric.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Acidul cianhidric este o otravă puternică care poate paraliza sistemul respirator central.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Referințe: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Comisia MAK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Cianură de hidrogen, cianură de potasiu și cianură de sodiu [Valoare MAK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Documentație în limba germană,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Colecția MAK pentru Sănătate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și Securitate Ocupațională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Ingrediente interzise în produsele din tutun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Categorii de substanțe, inclusiv temeiul juridic al interdicției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Exemple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Justificarea suplimentară a interdicției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Vitamine sau alți aditivi care creează impresia că un produs din tutun are un beneficiu pentru sănătate sau prezintă riscuri reduse pentru sănătate.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[Articolul 8b alineatul (2) punctul 1 din TNRSG]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Vitaminele enumerate pe „lista Uniunii” anexată la Regulamentul (UE) nr. 609/2013, astfel cum a fost modificat, în conformitate cu articolul 15 din regulamentul respectiv.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Aminoacizi și derivații acestora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Analgezice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Componente, inclusiv componente prelucrate, extracte și uleiuri din </w:t>
            </w:r>
            <w:r>
              <w:rPr>
                <w:rStyle w:val="a"/>
                <w:color w:val="000000"/>
                <w:sz w:val="14"/>
                <w:b/>
              </w:rPr>
              <w:t xml:space="preserve">planta de cânepă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Canabinoizi (de origine naturală sau sintetică)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Cannabidiol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Hormoni și substanțe asemănătoare hormonilor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Flavonoide și fosfolipide cu efecte antioxidative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Altele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Colină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Clorură de colină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Hidroxid de colină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Citrat de colină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Tartrat de colină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S-Adenozil metionină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L-5-hidroxitriptofan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Carnitină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L-carnitină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L-clorhidrat de carnitină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L-tartrat de L-carnitină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Selenit de sodiu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Cofeină sau taurină sau alți aditivi și compuși stimulanți care sunt asociați cu energia și vitalitatea [articolul 8b alineatul (2) punctul 2 din TNRSG)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Componente, inclusiv componente prelucrate, extracte și uleiuri, ale </w:t>
            </w:r>
            <w:r>
              <w:rPr>
                <w:rStyle w:val="a"/>
                <w:color w:val="000000"/>
                <w:sz w:val="14"/>
                <w:b/>
              </w:rPr>
              <w:t xml:space="preserve">plantei de cafea</w:t>
            </w:r>
            <w:r>
              <w:rPr>
                <w:rStyle w:val="a"/>
                <w:color w:val="000000"/>
                <w:sz w:val="14"/>
              </w:rPr>
              <w:t xml:space="preserve"> și ale </w:t>
            </w:r>
            <w:r>
              <w:rPr>
                <w:rStyle w:val="a"/>
                <w:color w:val="000000"/>
                <w:sz w:val="14"/>
                <w:b/>
              </w:rPr>
              <w:t xml:space="preserve">boabelor de cafea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Componente, inclusiv componente prelucrate, extracte și uleiuri din </w:t>
            </w:r>
            <w:r>
              <w:rPr>
                <w:rStyle w:val="a"/>
                <w:color w:val="000000"/>
                <w:sz w:val="14"/>
                <w:b/>
              </w:rPr>
              <w:t xml:space="preserve">planta de ceai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Componente, inclusiv componente prelucrate, extracte și uleiuri, ale </w:t>
            </w:r>
            <w:r>
              <w:rPr>
                <w:rStyle w:val="a"/>
                <w:color w:val="000000"/>
                <w:sz w:val="14"/>
                <w:b/>
              </w:rPr>
              <w:t xml:space="preserve">plantei de guarana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Componente, inclusiv componente prelucrate, extracte și uleiuri din 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Componente, inclusiv componente prelucrate, extracte și uleiuri din </w:t>
            </w:r>
            <w:r>
              <w:rPr>
                <w:rStyle w:val="a"/>
                <w:color w:val="000000"/>
                <w:sz w:val="14"/>
                <w:b/>
              </w:rPr>
              <w:t xml:space="preserve">arborele de cola</w:t>
            </w:r>
            <w:r>
              <w:rPr>
                <w:rStyle w:val="a"/>
                <w:color w:val="000000"/>
                <w:sz w:val="14"/>
              </w:rPr>
              <w:t xml:space="preserve"> sau </w:t>
            </w:r>
            <w:r>
              <w:rPr>
                <w:rStyle w:val="a"/>
                <w:color w:val="000000"/>
                <w:sz w:val="14"/>
                <w:b/>
              </w:rPr>
              <w:t xml:space="preserve">nuca de cola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Altele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Maltodextrină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Inozitol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Aditivi cu proprietăți colorante pentru emisii.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[Articolul 8b alineatul (2) punctul 3 din TNRSG]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Aditivi care facilitează inhalarea sau absorbția nicotinei pentru produsele din tutun [articolul 8b alineatul (2) punctul 4 din TNRSG]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și analogi, agoniști TRPM-8, „compuși de răcire”, „agenți de răcire sintetici”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Compuși p-mentan-3-substituiți și modificați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Toate substanțele sau amestecurile cu efecte de răcire sau analgezice sunt considerate substanțe care facilitează inhalarea.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Referință: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Acțiune comună privind controlul tutunului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Raport privind evaluarea </w:t>
            </w:r>
            <w:r>
              <w:rPr>
                <w:rStyle w:val="a"/>
                <w:color w:val="000000"/>
                <w:sz w:val="10"/>
                <w:i/>
                <w:iCs/>
              </w:rPr>
              <w:t xml:space="preserve">inter pares</w:t>
            </w:r>
            <w:r>
              <w:rPr>
                <w:rStyle w:val="a"/>
                <w:color w:val="000000"/>
                <w:sz w:val="10"/>
              </w:rPr>
              <w:t xml:space="preserve"> a informațiilor consolidate de raportare referitoare la aditivii prioritari.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și Grupul independent de revizuire WP 9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Data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decembrie 2020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Nr. de referință al documentului: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p-mentan-3-carboxamidă, inclusiv p-mentan-3-N-alchilcarboxamidă și p-mentan-3-N-arilcarboxamidă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p-mentan-3-ester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Acizi p-mentan-3-carboxilici și esterii acestora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Alți compuși p-mentan-3-substituiți și modificați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Alcooli p-mentan și esterii lor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Exemple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N-etil-p-mentan-3-carboxamidă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Amida acidului 2-izopropil-5-metil-ciclohexancarboxilic (4-metoxifenil)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(1R,2S,5R)-N-((etoxicarbonil)metil)-p-mentan-3-carboxamidă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N-terț-butil-p-mentan-3-carboxamidă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2-Izopropil-N,2,3-trimetilbutiramidă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Ester etilic al N-(p-mentan-3-carbonil)-D-alaninei (CPS-369,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N-(4-fluorofenil)-p-mentan-3-carboxamidă (CPS- 124)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N-(4-etoxifenil)-p-mentan-3-carboxamidă (CPS- 128)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Lactat de mentil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Mentoxipropan-1,2-diol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Ester 2,3-dihidroxipropilic al acidului 2-izopropil-5-metilciclohexancarboxilic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Mentonă 1,2-glicerol ketal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Succinat de monometil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Mentil-3-hidroxibutirat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Acetat de mentil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Carbonat de etilenglicol mentolat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2,3-Dihidroxipropil p-mentan-3-carboxilat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Cis-p-mentan-3,8-diol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 / Agent de răcire AG-3-5 (3,4-Dihidro-3-(2-hidroxifenil)-6-(3-nitrofenil)-(1H)-pirimidin-2-onă)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2-Izopropil-N 2,3-trimetilbutiramidă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Isopulegol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1-(Di-sec-butil-fosfinoil)-heptan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5-metil-4-(1-pirolidinil)-3-2H-furanonă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Mentonă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(-)-Mentonă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(+)-Mentonă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L-carvonă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Linalool: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1,8-Cineol (eucaliptol)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1,4-Cineol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Hidroxicitronelal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Componente, inclusiv componente prelucrate, extracte și uleiuri de plante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Mentha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Eucalipt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Thymus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Săruri de nicotină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Benzoat de nicotină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Sărurile de nicotină pot fi absorbite în organism mai repede atunci când sunt inhalate și provoacă mai puțină iritare decât nicotina în formă liberă.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Referințe: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Un studiu clinic randomizat, deschis, încrucișat, pentru a evalua profilurile farmacocinetice ale țigaretelor și e-țigărilor cu formulări de sare de nicotină la fumătorii adulți din SUA.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Medicină internă și de urgență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Brent, et al.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Systematic Review of Nicotine by Inhalation: Is There a Role for the Inhaled Route? Nicotine &amp; Tobacco Research (O revizuire sistematică a nicotinei prin inhalare: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Există un rol pentru calea inhalatorie?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Nicotină și cercetare în domeniul tutunului)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et al.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Effect of Exposure to e-Cigarettes With Salt vs Free-Base Nicotine on the Appeal and Sensory Experience of Vaping: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Randomized Clinical Trial. (Efectul expunerii la e-țigarete cu sare vs nicotină pe bază liberă asupra atractivității și experienței senzoriale a vapatului: Un studiu clinic randomizat).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10,1001/jamanetworkopen.2020.32757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Ditartrat de nicotină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Lactat de nicotină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Levulinat de nicotină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Malat de nicotină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Salicilat de nicotină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Aditivi care au proprietăți CMR în formă nearsă.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[Articolul 10b alineatul (7) punctul 3 coroborat cu articolul 8b alineatul (2) punctul 5 din TNRSG]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Substanțe clasificate în conformitate cu partea 3 din anexa VI la Regulamentul (CE) nr. 1272/2008 al Parlamentului European și al Consiliului din 16 decembrie 2008 privind clasificarea, etichetarea și ambalarea substanțelor și a amestecurilor, de modificare și de abrogare a Directivelor 67/548/CEE și 1999/45/CE, precum și de modificare a Regulamentului (CE) nr. 1907/2006 (JO L 353, 31.12.2006, p. 1), astfel cum a fost modificat ultima dată prin Regulamentul (UE) 2016/1179 (JO L 195, 20.7.2016, p. 11), ca </w:t>
            </w:r>
            <w:r>
              <w:rPr>
                <w:rStyle w:val="a"/>
                <w:color w:val="000000"/>
                <w:sz w:val="12"/>
                <w:b/>
              </w:rPr>
              <w:t xml:space="preserve">substanțe CMR din categoriile 1A, 1B, 2 sau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Substanțe clasificate în conformitate cu lista clasificărilor întocmită de Agenția Internațională pentru Cercetare în Domeniul Cancerului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cu privire la efectele cancerigene la om în </w:t>
            </w:r>
            <w:r>
              <w:rPr>
                <w:rStyle w:val="a"/>
                <w:color w:val="000000"/>
                <w:sz w:val="12"/>
                <w:b/>
              </w:rPr>
              <w:t xml:space="preserve">grupa 1, 2A sau 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Substanțe clasificate ca fiind „cunoscute” sau „anticipate în mod rezonabil” ca fiind cancerigene pentru om de către Programul Național de Toxicologie (NTP) al Statelor Unite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Substanțe care, în conformitate cu </w:t>
            </w:r>
            <w:r>
              <w:rPr>
                <w:rStyle w:val="a"/>
                <w:color w:val="000000"/>
                <w:sz w:val="12"/>
                <w:b/>
              </w:rPr>
              <w:t xml:space="preserve">lista valorilor MAK și BAT</w:t>
            </w:r>
            <w:r>
              <w:rPr>
                <w:rStyle w:val="a"/>
                <w:color w:val="000000"/>
                <w:sz w:val="12"/>
              </w:rPr>
              <w:t xml:space="preserve"> [publicate de Deutsche Forschungsgemeinschaft (DFG)], au fost clasificate de Comisia MAK ca având efecte cancerigene în categoriile 1, 2, 4 sau 5, ca efecte teratogene în categoriile A, B sau C și ca efecte mutagene asupra celulelor germinale în categoriile 1, 2, 3A sau 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Substanțe clasificate drept cancerigene, mutagene sau toxice pentru reproducere de către Autoritatea Europeană pentru Siguranța Alimentară (EFSA).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5.1 - 5.5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Exemple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Izoforonă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Piridină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Mircen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Crisen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Benzo(a)antracen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Benzo(b)fluoranten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Dioxid de titaniu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Metil eugenol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Substanțe cu efecte asupra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sistemul reproducător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Parabeni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Propilparaben (ester propilic al acidului para-hidroxibenzoic)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Anumiți parabeni prezintă efecte reprotoxice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Referințe: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CSSC (Comitetul Științific pentru Siguranța Consumatorilor)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Aviz privind propilparabenul (nr. CAS 94-13-3, nr. CE 202-307-7), versiunea preliminară din 27-28 octombrie 2020, versiunea finală din 30-31 martie 2021,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(Autoritatea Europeană pentru Siguranța Alimentară)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Avizul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Grupul științific pentru aditivi alimentari, arome, adjuvanți tehnologici și materiale în contact cu produsele alimentare (AFC) referitor la parahidroxibenzoați (E 214-219).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Jurnalul EFSA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Propilparaben de sodiu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Propilparabenat de potasiu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Butilparaben sodic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Butilparabenat de potasiu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Izobutilparaben sodic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Sasafras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Ulei de </w:t>
            </w:r>
            <w:r>
              <w:rPr>
                <w:rStyle w:val="a"/>
                <w:color w:val="000000"/>
                <w:sz w:val="12"/>
              </w:rPr>
              <w:t xml:space="preserve">Sassafras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Conține safrol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Lemn de </w:t>
            </w:r>
            <w:r>
              <w:rPr>
                <w:rStyle w:val="a"/>
                <w:color w:val="000000"/>
                <w:sz w:val="12"/>
              </w:rPr>
              <w:t xml:space="preserve">Sassafras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Frunze de </w:t>
            </w:r>
            <w:r>
              <w:rPr>
                <w:rStyle w:val="a"/>
                <w:color w:val="000000"/>
                <w:sz w:val="12"/>
              </w:rPr>
              <w:t xml:space="preserve">Sassafras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Extract de scoarță de Sassafras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Pagina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din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Pagina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din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Versiunea finală conform avizului Consiliului consultativ privind ingredientele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Versiunea finală conform avizului Consiliului consultativ privind ingredientele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